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5A5A5A"/>
          <w:spacing w:val="60"/>
          <w:sz w:val="26"/>
          <w:szCs w:val="26"/>
        </w:rPr>
        <w:t xml:space="preserve">GRAND ORAL DU CRFPA</w:t>
      </w:r>
    </w:p>
    <w:p>
      <w:pPr>
        <w:spacing w:after="100"/>
        <w:jc w:val="center"/>
      </w:pPr>
      <w:r>
        <w:rPr>
          <w:rFonts w:ascii="Calibri" w:cs="Calibri" w:eastAsia="Calibri" w:hAnsi="Calibri"/>
          <w:b/>
          <w:bCs/>
          <w:color w:val="8C1C2B"/>
          <w:sz w:val="44"/>
          <w:szCs w:val="44"/>
        </w:rPr>
        <w:t xml:space="preserve">LIBERTÉS PUBLIQUES ET DROITS FONDAMENTAUX</w:t>
      </w:r>
    </w:p>
    <w:p>
      <w:pPr>
        <w:spacing w:after="600"/>
        <w:jc w:val="center"/>
      </w:pPr>
      <w:r>
        <w:rPr>
          <w:rFonts w:ascii="Calibri" w:cs="Calibri" w:eastAsia="Calibri" w:hAnsi="Calibri"/>
          <w:color w:val="1A1A1A"/>
          <w:sz w:val="26"/>
          <w:szCs w:val="26"/>
        </w:rPr>
        <w:t xml:space="preserve">Partie V — Les mécanismes internationaux et européens de protection (fiches n° 21 à 25)</w:t>
      </w:r>
    </w:p>
    <w:p>
      <w:pPr>
        <w:spacing w:after="100"/>
        <w:jc w:val="center"/>
      </w:pPr>
      <w:r>
        <w:rPr>
          <w:rFonts w:ascii="Calibri" w:cs="Calibri" w:eastAsia="Calibri" w:hAnsi="Calibri"/>
          <w:i/>
          <w:iCs/>
          <w:color w:val="5A5A5A"/>
          <w:sz w:val="20"/>
          <w:szCs w:val="20"/>
        </w:rPr>
        <w:t xml:space="preserve">Fiches de révision exhaustives — exposé de 15 minutes et entretien avec le jury</w:t>
      </w:r>
    </w:p>
    <w:p>
      <w:pPr>
        <w:spacing w:after="700"/>
        <w:jc w:val="center"/>
      </w:pPr>
      <w:r>
        <w:rPr>
          <w:rFonts w:ascii="Calibri" w:cs="Calibri" w:eastAsia="Calibri" w:hAnsi="Calibri"/>
          <w:i/>
          <w:iCs/>
          <w:color w:val="5A5A5A"/>
          <w:sz w:val="18"/>
          <w:szCs w:val="18"/>
        </w:rPr>
        <w:t xml:space="preserve">D’après le fascicule Objectif Barreau 2026</w:t>
      </w:r>
    </w:p>
    <w:p>
      <w:pPr>
        <w:spacing w:after="120" w:before="200"/>
      </w:pPr>
      <w:r>
        <w:rPr>
          <w:rFonts w:ascii="Calibri" w:cs="Calibri" w:eastAsia="Calibri" w:hAnsi="Calibri"/>
          <w:b/>
          <w:bCs/>
          <w:color w:val="1A1A1A"/>
          <w:sz w:val="22"/>
          <w:szCs w:val="22"/>
        </w:rPr>
        <w:t xml:space="preserve">CODE COULEUR</w:t>
      </w:r>
    </w:p>
    <w:p>
      <w:pPr>
        <w:pStyle w:val="ListParagraph"/>
        <w:numPr>
          <w:ilvl w:val="0"/>
          <w:numId w:val="2"/>
        </w:numPr>
        <w:spacing w:after="60"/>
      </w:pPr>
      <w:r>
        <w:rPr>
          <w:rFonts w:ascii="Calibri" w:cs="Calibri" w:eastAsia="Calibri" w:hAnsi="Calibri"/>
          <w:color w:val="1E88E5"/>
          <w:sz w:val="20"/>
          <w:szCs w:val="20"/>
        </w:rPr>
        <w:t xml:space="preserve">Textes normatifs</w:t>
      </w:r>
      <w:r>
        <w:rPr>
          <w:rFonts w:ascii="Calibri" w:cs="Calibri" w:eastAsia="Calibri" w:hAnsi="Calibri"/>
          <w:color w:val="1A1A1A"/>
          <w:sz w:val="20"/>
          <w:szCs w:val="20"/>
        </w:rPr>
        <w:t xml:space="preserve"> — traités, conventions, Constitution, codes, lois, règlements.</w:t>
      </w:r>
    </w:p>
    <w:p>
      <w:pPr>
        <w:pStyle w:val="ListParagraph"/>
        <w:numPr>
          <w:ilvl w:val="0"/>
          <w:numId w:val="2"/>
        </w:numPr>
        <w:spacing w:after="60"/>
      </w:pPr>
      <w:r>
        <w:rPr>
          <w:rFonts w:ascii="Calibri" w:cs="Calibri" w:eastAsia="Calibri" w:hAnsi="Calibri"/>
          <w:color w:val="E91E63"/>
          <w:sz w:val="20"/>
          <w:szCs w:val="20"/>
        </w:rPr>
        <w:t xml:space="preserve">Jurisprudence</w:t>
      </w:r>
      <w:r>
        <w:rPr>
          <w:rFonts w:ascii="Calibri" w:cs="Calibri" w:eastAsia="Calibri" w:hAnsi="Calibri"/>
          <w:color w:val="1A1A1A"/>
          <w:sz w:val="20"/>
          <w:szCs w:val="20"/>
        </w:rPr>
        <w:t xml:space="preserve"> — Cass., CE, Cons. const., CEDH, CJUE, décisions QPC.</w:t>
      </w:r>
    </w:p>
    <w:p>
      <w:pPr>
        <w:pStyle w:val="ListParagraph"/>
        <w:numPr>
          <w:ilvl w:val="0"/>
          <w:numId w:val="2"/>
        </w:numPr>
        <w:spacing w:after="60"/>
      </w:pPr>
      <w:r>
        <w:rPr>
          <w:rFonts w:ascii="Calibri" w:cs="Calibri" w:eastAsia="Calibri" w:hAnsi="Calibri"/>
          <w:color w:val="2E7D32"/>
          <w:sz w:val="20"/>
          <w:szCs w:val="20"/>
        </w:rPr>
        <w:t xml:space="preserve">Doctrine</w:t>
      </w:r>
      <w:r>
        <w:rPr>
          <w:rFonts w:ascii="Calibri" w:cs="Calibri" w:eastAsia="Calibri" w:hAnsi="Calibri"/>
          <w:color w:val="1A1A1A"/>
          <w:sz w:val="20"/>
          <w:szCs w:val="20"/>
        </w:rPr>
        <w:t xml:space="preserve"> — auteurs, thèses, controverses universitaires, avis institutionnels.</w:t>
      </w:r>
    </w:p>
    <w:p>
      <w:pPr>
        <w:pStyle w:val="ListParagraph"/>
        <w:numPr>
          <w:ilvl w:val="0"/>
          <w:numId w:val="2"/>
        </w:numPr>
        <w:spacing w:after="60"/>
      </w:pPr>
      <w:r>
        <w:rPr>
          <w:rFonts w:ascii="Calibri" w:cs="Calibri" w:eastAsia="Calibri" w:hAnsi="Calibri"/>
          <w:b/>
          <w:bCs/>
          <w:color w:val="1A1A1A"/>
          <w:sz w:val="20"/>
          <w:szCs w:val="20"/>
        </w:rPr>
        <w:t xml:space="preserve">Gras</w:t>
      </w:r>
      <w:r>
        <w:rPr>
          <w:rFonts w:ascii="Calibri" w:cs="Calibri" w:eastAsia="Calibri" w:hAnsi="Calibri"/>
          <w:color w:val="1A1A1A"/>
          <w:sz w:val="20"/>
          <w:szCs w:val="20"/>
        </w:rPr>
        <w:t xml:space="preserve"> — réservé au seul apport à mémoriser. La couleur dit d’où vient la règle, le gras dit ce qu’il faut réciter.</w:t>
      </w:r>
    </w:p>
    <w:p>
      <w:pPr>
        <w:pStyle w:val="ListParagraph"/>
        <w:numPr>
          <w:ilvl w:val="0"/>
          <w:numId w:val="2"/>
        </w:numPr>
        <w:spacing w:after="300"/>
      </w:pPr>
      <w:r>
        <w:rPr>
          <w:rFonts w:ascii="Calibri" w:cs="Calibri" w:eastAsia="Calibri" w:hAnsi="Calibri"/>
          <w:color w:val="1A1A1A"/>
          <w:sz w:val="20"/>
          <w:szCs w:val="20"/>
        </w:rPr>
        <w:t xml:space="preserve">★</w:t>
      </w:r>
      <w:r>
        <w:rPr>
          <w:rFonts w:ascii="Calibri" w:cs="Calibri" w:eastAsia="Calibri" w:hAnsi="Calibri"/>
          <w:color w:val="1A1A1A"/>
          <w:sz w:val="20"/>
          <w:szCs w:val="20"/>
        </w:rPr>
        <w:t xml:space="preserve"> — référence incontournable, à citer de mémoire le jour J.</w:t>
      </w:r>
    </w:p>
    <w:p>
      <w:pPr>
        <w:spacing w:after="120" w:before="200"/>
      </w:pPr>
      <w:r>
        <w:rPr>
          <w:rFonts w:ascii="Calibri" w:cs="Calibri" w:eastAsia="Calibri" w:hAnsi="Calibri"/>
          <w:b/>
          <w:bCs/>
          <w:color w:val="1A1A1A"/>
          <w:sz w:val="22"/>
          <w:szCs w:val="22"/>
        </w:rPr>
        <w:t xml:space="preserve">SOMMAIRE</w:t>
      </w:r>
    </w:p>
    <w:p>
      <w:pPr>
        <w:pStyle w:val="ListParagraph"/>
        <w:numPr>
          <w:ilvl w:val="0"/>
          <w:numId w:val="2"/>
        </w:numPr>
        <w:spacing w:after="40"/>
      </w:pPr>
      <w:r>
        <w:rPr>
          <w:rFonts w:ascii="Calibri" w:cs="Calibri" w:eastAsia="Calibri" w:hAnsi="Calibri"/>
          <w:color w:val="1A1A1A"/>
          <w:sz w:val="20"/>
          <w:szCs w:val="20"/>
        </w:rPr>
        <w:t xml:space="preserve">Fiche n° 21 — Les Comités onusiens</w:t>
      </w:r>
    </w:p>
    <w:p>
      <w:pPr>
        <w:pStyle w:val="ListParagraph"/>
        <w:numPr>
          <w:ilvl w:val="0"/>
          <w:numId w:val="2"/>
        </w:numPr>
        <w:spacing w:after="40"/>
      </w:pPr>
      <w:r>
        <w:rPr>
          <w:rFonts w:ascii="Calibri" w:cs="Calibri" w:eastAsia="Calibri" w:hAnsi="Calibri"/>
          <w:color w:val="1A1A1A"/>
          <w:sz w:val="20"/>
          <w:szCs w:val="20"/>
        </w:rPr>
        <w:t xml:space="preserve">Fiche n° 22 — La Cour européenne des droits de l’homme</w:t>
      </w:r>
    </w:p>
    <w:p>
      <w:pPr>
        <w:pStyle w:val="ListParagraph"/>
        <w:numPr>
          <w:ilvl w:val="0"/>
          <w:numId w:val="2"/>
        </w:numPr>
        <w:spacing w:after="40"/>
      </w:pPr>
      <w:r>
        <w:rPr>
          <w:rFonts w:ascii="Calibri" w:cs="Calibri" w:eastAsia="Calibri" w:hAnsi="Calibri"/>
          <w:color w:val="1A1A1A"/>
          <w:sz w:val="20"/>
          <w:szCs w:val="20"/>
        </w:rPr>
        <w:t xml:space="preserve">Fiche n° 23 — La Cour de justice de l’Union européenne</w:t>
      </w:r>
    </w:p>
    <w:p>
      <w:pPr>
        <w:pStyle w:val="ListParagraph"/>
        <w:numPr>
          <w:ilvl w:val="0"/>
          <w:numId w:val="2"/>
        </w:numPr>
        <w:spacing w:after="40"/>
      </w:pPr>
      <w:r>
        <w:rPr>
          <w:rFonts w:ascii="Calibri" w:cs="Calibri" w:eastAsia="Calibri" w:hAnsi="Calibri"/>
          <w:color w:val="1A1A1A"/>
          <w:sz w:val="20"/>
          <w:szCs w:val="20"/>
        </w:rPr>
        <w:t xml:space="preserve">Fiche n° 24 — Les autres juridictions régionales</w:t>
      </w:r>
    </w:p>
    <w:p>
      <w:pPr>
        <w:pStyle w:val="ListParagraph"/>
        <w:numPr>
          <w:ilvl w:val="0"/>
          <w:numId w:val="2"/>
        </w:numPr>
        <w:spacing w:after="40"/>
      </w:pPr>
      <w:r>
        <w:rPr>
          <w:rFonts w:ascii="Calibri" w:cs="Calibri" w:eastAsia="Calibri" w:hAnsi="Calibri"/>
          <w:color w:val="1A1A1A"/>
          <w:sz w:val="20"/>
          <w:szCs w:val="20"/>
        </w:rPr>
        <w:t xml:space="preserve">Fiche n° 25 — La protection politique et administrative internationale</w:t>
      </w:r>
    </w:p>
    <w:p>
      <w:pPr>
        <w:pStyle w:val="ListParagraph"/>
        <w:numPr>
          <w:ilvl w:val="0"/>
          <w:numId w:val="2"/>
        </w:numPr>
        <w:spacing w:after="40"/>
      </w:pPr>
      <w:r>
        <w:rPr>
          <w:rFonts w:ascii="Calibri" w:cs="Calibri" w:eastAsia="Calibri" w:hAnsi="Calibri"/>
          <w:color w:val="1A1A1A"/>
          <w:sz w:val="20"/>
          <w:szCs w:val="20"/>
        </w:rPr>
        <w:t xml:space="preserve">Annexe — Compléments à la chronologie et à l’index (parties I à V)</w:t>
      </w:r>
    </w:p>
    <w:p>
      <w:pPr>
        <w:spacing w:after="80" w:before="300"/>
      </w:pPr>
      <w:r>
        <w:rPr>
          <w:rFonts w:ascii="Calibri" w:cs="Calibri" w:eastAsia="Calibri" w:hAnsi="Calibri"/>
          <w:i/>
          <w:iCs/>
          <w:color w:val="5A5A5A"/>
          <w:sz w:val="18"/>
          <w:szCs w:val="18"/>
        </w:rPr>
        <w:t xml:space="preserve">Chaque fiche s’ouvre sur une FICHE-MÉMOIRE d’une page — accroche, définition en trois lignes, cinq références incontournables, deux matrices de plan, trois pièges. C’est elle que l’on relit ; les pages suivantes forment le dossier de consultation.</w:t>
      </w:r>
    </w:p>
    <w:p>
      <w:r>
        <w:rPr>
          <w:rFonts w:ascii="Calibri" w:cs="Calibri" w:eastAsia="Calibri" w:hAnsi="Calibri"/>
          <w:i/>
          <w:iCs/>
          <w:color w:val="5A5A5A"/>
          <w:sz w:val="18"/>
          <w:szCs w:val="18"/>
        </w:rPr>
        <w:t xml:space="preserve">Dossier : architecture textuelle — ligne prétorienne et évolutions — débats doctrinaux et critiques — dispositif « Grand Oral » (relances du jury, sujets d’exposé, angles morts formulés en question / réponse pour le rappel actif).</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21 — LES COMITÉS ONUSIENS</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Les comités onusiens sont les </w:t>
      </w:r>
      <w:r>
        <w:rPr>
          <w:rFonts w:ascii="Calibri" w:cs="Calibri" w:eastAsia="Calibri" w:hAnsi="Calibri"/>
          <w:b/>
          <w:bCs/>
          <w:color w:val="1A1A1A"/>
          <w:sz w:val="20"/>
          <w:szCs w:val="20"/>
        </w:rPr>
        <w:t xml:space="preserve">seuls organes ayant une prétention universaliste</w:t>
      </w:r>
      <w:r>
        <w:rPr>
          <w:rFonts w:ascii="Calibri" w:cs="Calibri" w:eastAsia="Calibri" w:hAnsi="Calibri"/>
          <w:color w:val="1A1A1A"/>
          <w:sz w:val="20"/>
          <w:szCs w:val="20"/>
        </w:rPr>
        <w:t xml:space="preserve"> en matière de droits humains — il n’existe pas de cour mondiale. Mais ce sont des comités d’</w:t>
      </w:r>
      <w:r>
        <w:rPr>
          <w:rFonts w:ascii="Calibri" w:cs="Calibri" w:eastAsia="Calibri" w:hAnsi="Calibri"/>
          <w:b/>
          <w:bCs/>
          <w:color w:val="1A1A1A"/>
          <w:sz w:val="20"/>
          <w:szCs w:val="20"/>
        </w:rPr>
        <w:t xml:space="preserve">experts</w:t>
      </w:r>
      <w:r>
        <w:rPr>
          <w:rFonts w:ascii="Calibri" w:cs="Calibri" w:eastAsia="Calibri" w:hAnsi="Calibri"/>
          <w:color w:val="1A1A1A"/>
          <w:sz w:val="20"/>
          <w:szCs w:val="20"/>
        </w:rPr>
        <w:t xml:space="preserve">, non de juges : leurs constatations « sont l’œuvre d’experts et non de juges », et ne bénéficient pas de l’autorité de la chose jugée.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même loi, deux organes internationaux, deux solutions inverses. </w:t>
      </w:r>
      <w:r>
        <w:rPr>
          <w:rFonts w:ascii="Calibri" w:cs="Calibri" w:eastAsia="Calibri" w:hAnsi="Calibri"/>
          <w:color w:val="E91E63"/>
          <w:sz w:val="20"/>
          <w:szCs w:val="20"/>
        </w:rPr>
        <w:t xml:space="preserve">CEDH, GC, 1er juillet 2014, S.A.S. c. France, n° 43835/11</w:t>
      </w:r>
      <w:r>
        <w:rPr>
          <w:rFonts w:ascii="Calibri" w:cs="Calibri" w:eastAsia="Calibri" w:hAnsi="Calibri"/>
          <w:color w:val="1A1A1A"/>
          <w:sz w:val="20"/>
          <w:szCs w:val="20"/>
        </w:rPr>
        <w:t xml:space="preserve"> valide l’interdiction de la dissimulation du visage au nom du « vivre ensemble » ; </w:t>
      </w:r>
      <w:r>
        <w:rPr>
          <w:rFonts w:ascii="Calibri" w:cs="Calibri" w:eastAsia="Calibri" w:hAnsi="Calibri"/>
          <w:color w:val="E91E63"/>
          <w:sz w:val="20"/>
          <w:szCs w:val="20"/>
        </w:rPr>
        <w:t xml:space="preserve">CDH, 22 octobre 2018, S. Yaker c. France, n° 2747/2016</w:t>
      </w:r>
      <w:r>
        <w:rPr>
          <w:rFonts w:ascii="Calibri" w:cs="Calibri" w:eastAsia="Calibri" w:hAnsi="Calibri"/>
          <w:color w:val="1A1A1A"/>
          <w:sz w:val="20"/>
          <w:szCs w:val="20"/>
        </w:rPr>
        <w:t xml:space="preserve"> y voit une violation de la liberté de manifester sa religion et une discrimination croisée. La France a suivi Strasbourg.</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Les comités onusiens (</w:t>
      </w:r>
      <w:r>
        <w:rPr>
          <w:rFonts w:ascii="Calibri" w:cs="Calibri" w:eastAsia="Calibri" w:hAnsi="Calibri"/>
          <w:i/>
          <w:iCs/>
          <w:color w:val="1A1A1A"/>
          <w:sz w:val="20"/>
          <w:szCs w:val="20"/>
        </w:rPr>
        <w:t xml:space="preserve">treaty bodies</w:t>
      </w:r>
      <w:r>
        <w:rPr>
          <w:rFonts w:ascii="Calibri" w:cs="Calibri" w:eastAsia="Calibri" w:hAnsi="Calibri"/>
          <w:color w:val="1A1A1A"/>
          <w:sz w:val="20"/>
          <w:szCs w:val="20"/>
        </w:rPr>
        <w:t xml:space="preserve">, « organes de traité ») sont les organes chargés de </w:t>
      </w:r>
      <w:r>
        <w:rPr>
          <w:rFonts w:ascii="Calibri" w:cs="Calibri" w:eastAsia="Calibri" w:hAnsi="Calibri"/>
          <w:b/>
          <w:bCs/>
          <w:color w:val="1A1A1A"/>
          <w:sz w:val="20"/>
          <w:szCs w:val="20"/>
        </w:rPr>
        <w:t xml:space="preserve">surveiller la bonne mise en œuvre</w:t>
      </w:r>
      <w:r>
        <w:rPr>
          <w:rFonts w:ascii="Calibri" w:cs="Calibri" w:eastAsia="Calibri" w:hAnsi="Calibri"/>
          <w:color w:val="1A1A1A"/>
          <w:sz w:val="20"/>
          <w:szCs w:val="20"/>
        </w:rPr>
        <w:t xml:space="preserve"> par les États parties des </w:t>
      </w:r>
      <w:r>
        <w:rPr>
          <w:rFonts w:ascii="Calibri" w:cs="Calibri" w:eastAsia="Calibri" w:hAnsi="Calibri"/>
          <w:b/>
          <w:bCs/>
          <w:color w:val="1A1A1A"/>
          <w:sz w:val="20"/>
          <w:szCs w:val="20"/>
        </w:rPr>
        <w:t xml:space="preserve">neuf principales conventions</w:t>
      </w:r>
      <w:r>
        <w:rPr>
          <w:rFonts w:ascii="Calibri" w:cs="Calibri" w:eastAsia="Calibri" w:hAnsi="Calibri"/>
          <w:color w:val="1A1A1A"/>
          <w:sz w:val="20"/>
          <w:szCs w:val="20"/>
        </w:rPr>
        <w:t xml:space="preserve"> onusiennes de protection. Ils sont institués soit directement par la convention, soit par un </w:t>
      </w:r>
      <w:r>
        <w:rPr>
          <w:rFonts w:ascii="Calibri" w:cs="Calibri" w:eastAsia="Calibri" w:hAnsi="Calibri"/>
          <w:b/>
          <w:bCs/>
          <w:color w:val="1A1A1A"/>
          <w:sz w:val="20"/>
          <w:szCs w:val="20"/>
        </w:rPr>
        <w:t xml:space="preserve">protocole facultatif</w:t>
      </w:r>
      <w:r>
        <w:rPr>
          <w:rFonts w:ascii="Calibri" w:cs="Calibri" w:eastAsia="Calibri" w:hAnsi="Calibri"/>
          <w:color w:val="1A1A1A"/>
          <w:sz w:val="20"/>
          <w:szCs w:val="20"/>
        </w:rPr>
        <w:t xml:space="preserve"> adopté </w:t>
      </w:r>
      <w:r>
        <w:rPr>
          <w:rFonts w:ascii="Calibri" w:cs="Calibri" w:eastAsia="Calibri" w:hAnsi="Calibri"/>
          <w:i/>
          <w:iCs/>
          <w:color w:val="1A1A1A"/>
          <w:sz w:val="20"/>
          <w:szCs w:val="20"/>
        </w:rPr>
        <w:t xml:space="preserve">a posteriori</w:t>
      </w:r>
      <w:r>
        <w:rPr>
          <w:rFonts w:ascii="Calibri" w:cs="Calibri" w:eastAsia="Calibri" w:hAnsi="Calibri"/>
          <w:color w:val="1A1A1A"/>
          <w:sz w:val="20"/>
          <w:szCs w:val="20"/>
        </w:rPr>
        <w:t xml:space="preserve"> que chaque État reste libre de ratifier.</w:t>
      </w:r>
    </w:p>
    <w:p>
      <w:pPr>
        <w:pStyle w:val="ListParagraph"/>
        <w:numPr>
          <w:ilvl w:val="0"/>
          <w:numId w:val="2"/>
        </w:numPr>
        <w:spacing w:after="70" w:line="264"/>
        <w:jc w:val="both"/>
      </w:pPr>
      <w:r>
        <w:rPr>
          <w:rFonts w:ascii="Calibri" w:cs="Calibri" w:eastAsia="Calibri" w:hAnsi="Calibri"/>
          <w:b/>
          <w:bCs/>
          <w:color w:val="1A1A1A"/>
          <w:sz w:val="20"/>
          <w:szCs w:val="20"/>
        </w:rPr>
        <w:t xml:space="preserve">Cinq fonctions</w:t>
      </w:r>
      <w:r>
        <w:rPr>
          <w:rFonts w:ascii="Calibri" w:cs="Calibri" w:eastAsia="Calibri" w:hAnsi="Calibri"/>
          <w:color w:val="1A1A1A"/>
          <w:sz w:val="20"/>
          <w:szCs w:val="20"/>
        </w:rPr>
        <w:t xml:space="preserve"> : examen des </w:t>
      </w:r>
      <w:r>
        <w:rPr>
          <w:rFonts w:ascii="Calibri" w:cs="Calibri" w:eastAsia="Calibri" w:hAnsi="Calibri"/>
          <w:b/>
          <w:bCs/>
          <w:color w:val="1A1A1A"/>
          <w:sz w:val="20"/>
          <w:szCs w:val="20"/>
        </w:rPr>
        <w:t xml:space="preserve">rapports périodiques</w:t>
      </w:r>
      <w:r>
        <w:rPr>
          <w:rFonts w:ascii="Calibri" w:cs="Calibri" w:eastAsia="Calibri" w:hAnsi="Calibri"/>
          <w:color w:val="1A1A1A"/>
          <w:sz w:val="20"/>
          <w:szCs w:val="20"/>
        </w:rPr>
        <w:t xml:space="preserve"> ; réception des </w:t>
      </w:r>
      <w:r>
        <w:rPr>
          <w:rFonts w:ascii="Calibri" w:cs="Calibri" w:eastAsia="Calibri" w:hAnsi="Calibri"/>
          <w:b/>
          <w:bCs/>
          <w:color w:val="1A1A1A"/>
          <w:sz w:val="20"/>
          <w:szCs w:val="20"/>
        </w:rPr>
        <w:t xml:space="preserve">communications interétatiques</w:t>
      </w:r>
      <w:r>
        <w:rPr>
          <w:rFonts w:ascii="Calibri" w:cs="Calibri" w:eastAsia="Calibri" w:hAnsi="Calibri"/>
          <w:color w:val="1A1A1A"/>
          <w:sz w:val="20"/>
          <w:szCs w:val="20"/>
        </w:rPr>
        <w:t xml:space="preserve"> ; réception des </w:t>
      </w:r>
      <w:r>
        <w:rPr>
          <w:rFonts w:ascii="Calibri" w:cs="Calibri" w:eastAsia="Calibri" w:hAnsi="Calibri"/>
          <w:b/>
          <w:bCs/>
          <w:color w:val="1A1A1A"/>
          <w:sz w:val="20"/>
          <w:szCs w:val="20"/>
        </w:rPr>
        <w:t xml:space="preserve">communications individuelles</w:t>
      </w:r>
      <w:r>
        <w:rPr>
          <w:rFonts w:ascii="Calibri" w:cs="Calibri" w:eastAsia="Calibri" w:hAnsi="Calibri"/>
          <w:color w:val="1A1A1A"/>
          <w:sz w:val="20"/>
          <w:szCs w:val="20"/>
        </w:rPr>
        <w:t xml:space="preserve"> (fonction quasi-contentieuse, soumise à l’acceptation de l’État) ; rédaction d’</w:t>
      </w:r>
      <w:r>
        <w:rPr>
          <w:rFonts w:ascii="Calibri" w:cs="Calibri" w:eastAsia="Calibri" w:hAnsi="Calibri"/>
          <w:b/>
          <w:bCs/>
          <w:color w:val="1A1A1A"/>
          <w:sz w:val="20"/>
          <w:szCs w:val="20"/>
        </w:rPr>
        <w:t xml:space="preserve">observations générales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procédures d’enquête</w:t>
      </w:r>
      <w:r>
        <w:rPr>
          <w:rFonts w:ascii="Calibri" w:cs="Calibri" w:eastAsia="Calibri" w:hAnsi="Calibri"/>
          <w:color w:val="1A1A1A"/>
          <w:sz w:val="20"/>
          <w:szCs w:val="20"/>
        </w:rPr>
        <w:t xml:space="preserve">, soumises au consentement de l’État.</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CDH, 22 octobre 2018, S. Yaker c. France, n° 2747/2016</w:t>
      </w:r>
      <w:r>
        <w:rPr>
          <w:rFonts w:ascii="Calibri" w:cs="Calibri" w:eastAsia="Calibri" w:hAnsi="Calibri"/>
          <w:color w:val="1A1A1A"/>
          <w:sz w:val="20"/>
          <w:szCs w:val="20"/>
        </w:rPr>
        <w:t xml:space="preserve"> et ★ </w:t>
      </w:r>
      <w:r>
        <w:rPr>
          <w:rFonts w:ascii="Calibri" w:cs="Calibri" w:eastAsia="Calibri" w:hAnsi="Calibri"/>
          <w:color w:val="E91E63"/>
          <w:sz w:val="20"/>
          <w:szCs w:val="20"/>
        </w:rPr>
        <w:t xml:space="preserve">CEDH, GC, 1er juillet 2014, S.A.S. c. France, n° 43835/11</w:t>
      </w:r>
      <w:r>
        <w:rPr>
          <w:rFonts w:ascii="Calibri" w:cs="Calibri" w:eastAsia="Calibri" w:hAnsi="Calibri"/>
          <w:color w:val="1A1A1A"/>
          <w:sz w:val="20"/>
          <w:szCs w:val="20"/>
        </w:rPr>
        <w:t xml:space="preserve"> : l’illustration canonique du </w:t>
      </w:r>
      <w:r>
        <w:rPr>
          <w:rFonts w:ascii="Calibri" w:cs="Calibri" w:eastAsia="Calibri" w:hAnsi="Calibri"/>
          <w:b/>
          <w:bCs/>
          <w:color w:val="1A1A1A"/>
          <w:sz w:val="20"/>
          <w:szCs w:val="20"/>
        </w:rPr>
        <w:t xml:space="preserve">conflit d’obligations</w:t>
      </w:r>
      <w:r>
        <w:rPr>
          <w:rFonts w:ascii="Calibri" w:cs="Calibri" w:eastAsia="Calibri" w:hAnsi="Calibri"/>
          <w:color w:val="1A1A1A"/>
          <w:sz w:val="20"/>
          <w:szCs w:val="20"/>
        </w:rPr>
        <w:t xml:space="preserve"> entre un comité onusien et une cour régionale.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CDH, Observation générale n° 36 sur l’article 6 : Droit à la vie, 3 septembre 2019, CCPR/C.GC.36</w:t>
      </w:r>
      <w:r>
        <w:rPr>
          <w:rFonts w:ascii="Calibri" w:cs="Calibri" w:eastAsia="Calibri" w:hAnsi="Calibri"/>
          <w:color w:val="1A1A1A"/>
          <w:sz w:val="20"/>
          <w:szCs w:val="20"/>
        </w:rPr>
        <w:t xml:space="preserve"> et </w:t>
      </w:r>
      <w:r>
        <w:rPr>
          <w:rFonts w:ascii="Calibri" w:cs="Calibri" w:eastAsia="Calibri" w:hAnsi="Calibri"/>
          <w:color w:val="2E7D32"/>
          <w:sz w:val="20"/>
          <w:szCs w:val="20"/>
        </w:rPr>
        <w:t xml:space="preserve">Observation générale n° 37 sur l’article 21 : Droit de réunion pacifique, 17 septembre 2020, CCPR/C.GC.37</w:t>
      </w:r>
      <w:r>
        <w:rPr>
          <w:rFonts w:ascii="Calibri" w:cs="Calibri" w:eastAsia="Calibri" w:hAnsi="Calibri"/>
          <w:color w:val="1A1A1A"/>
          <w:sz w:val="20"/>
          <w:szCs w:val="20"/>
        </w:rPr>
        <w:t xml:space="preserve"> : le pouvoir </w:t>
      </w:r>
      <w:r>
        <w:rPr>
          <w:rFonts w:ascii="Calibri" w:cs="Calibri" w:eastAsia="Calibri" w:hAnsi="Calibri"/>
          <w:b/>
          <w:bCs/>
          <w:color w:val="1A1A1A"/>
          <w:sz w:val="20"/>
          <w:szCs w:val="20"/>
        </w:rPr>
        <w:t xml:space="preserve">interprétatif</w:t>
      </w:r>
      <w:r>
        <w:rPr>
          <w:rFonts w:ascii="Calibri" w:cs="Calibri" w:eastAsia="Calibri" w:hAnsi="Calibri"/>
          <w:color w:val="1A1A1A"/>
          <w:sz w:val="20"/>
          <w:szCs w:val="20"/>
        </w:rPr>
        <w:t xml:space="preserve"> des comités, principal vecteur de leur influence.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CDH, 23 novembre 2005, Faure c. Australie, n° 1036/2001</w:t>
      </w:r>
      <w:r>
        <w:rPr>
          <w:rFonts w:ascii="Calibri" w:cs="Calibri" w:eastAsia="Calibri" w:hAnsi="Calibri"/>
          <w:color w:val="1A1A1A"/>
          <w:sz w:val="20"/>
          <w:szCs w:val="20"/>
        </w:rPr>
        <w:t xml:space="preserve"> : en cas d’échec du règlement amiable, le Comité </w:t>
      </w:r>
      <w:r>
        <w:rPr>
          <w:rFonts w:ascii="Calibri" w:cs="Calibri" w:eastAsia="Calibri" w:hAnsi="Calibri"/>
          <w:b/>
          <w:bCs/>
          <w:color w:val="1A1A1A"/>
          <w:sz w:val="20"/>
          <w:szCs w:val="20"/>
        </w:rPr>
        <w:t xml:space="preserve">tranche l’existence d’une violation</w:t>
      </w:r>
      <w:r>
        <w:rPr>
          <w:rFonts w:ascii="Calibri" w:cs="Calibri" w:eastAsia="Calibri" w:hAnsi="Calibri"/>
          <w:color w:val="1A1A1A"/>
          <w:sz w:val="20"/>
          <w:szCs w:val="20"/>
        </w:rPr>
        <w:t xml:space="preserve"> — le rapprochement le plus net avec une fonction juridictionnelle.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7 juillet 2011, Bayatyan c. Arménie, n° 23459/03</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Cass. crim., 5 octobre 2021, n° 21-81.062</w:t>
      </w:r>
      <w:r>
        <w:rPr>
          <w:rFonts w:ascii="Calibri" w:cs="Calibri" w:eastAsia="Calibri" w:hAnsi="Calibri"/>
          <w:color w:val="1A1A1A"/>
          <w:sz w:val="20"/>
          <w:szCs w:val="20"/>
        </w:rPr>
        <w:t xml:space="preserve"> : référence croissante au travail des comités par les juges régionaux </w:t>
      </w:r>
      <w:r>
        <w:rPr>
          <w:rFonts w:ascii="Calibri" w:cs="Calibri" w:eastAsia="Calibri" w:hAnsi="Calibri"/>
          <w:b/>
          <w:bCs/>
          <w:color w:val="1A1A1A"/>
          <w:sz w:val="20"/>
          <w:szCs w:val="20"/>
        </w:rPr>
        <w:t xml:space="preserve">et nationaux</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rév., 10 décembre 2015, n° 14REV017</w:t>
      </w:r>
      <w:r>
        <w:rPr>
          <w:rFonts w:ascii="Calibri" w:cs="Calibri" w:eastAsia="Calibri" w:hAnsi="Calibri"/>
          <w:color w:val="1A1A1A"/>
          <w:sz w:val="20"/>
          <w:szCs w:val="20"/>
        </w:rPr>
        <w:t xml:space="preserve"> : en cas de conflit, le juge interne </w:t>
      </w:r>
      <w:r>
        <w:rPr>
          <w:rFonts w:ascii="Calibri" w:cs="Calibri" w:eastAsia="Calibri" w:hAnsi="Calibri"/>
          <w:b/>
          <w:bCs/>
          <w:color w:val="1A1A1A"/>
          <w:sz w:val="20"/>
          <w:szCs w:val="20"/>
        </w:rPr>
        <w:t xml:space="preserve">privilégie d’autres sources</w:t>
      </w:r>
      <w:r>
        <w:rPr>
          <w:rFonts w:ascii="Calibri" w:cs="Calibri" w:eastAsia="Calibri" w:hAnsi="Calibri"/>
          <w:color w:val="1A1A1A"/>
          <w:sz w:val="20"/>
          <w:szCs w:val="20"/>
        </w:rPr>
        <w:t xml:space="preserve"> — la limite pratique de l’autorité des constatations.</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Les comités onusiens : garants d’une justice universelle ou simples organes consultatifs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architecture juridique au service d’une justice universelle</w:t>
      </w:r>
      <w:r>
        <w:rPr>
          <w:rFonts w:ascii="Calibri" w:cs="Calibri" w:eastAsia="Calibri" w:hAnsi="Calibri"/>
          <w:color w:val="1A1A1A"/>
          <w:sz w:val="20"/>
          <w:szCs w:val="20"/>
        </w:rPr>
        <w:t xml:space="preserve"> (A. Une compétence normative et interprétative importante : observations générales, observations finales, enquêtes ; B. Des mécanismes quasi-juridictionnels universels : plaintes individuelles avec critères de recevabilité, tranchées en cas d’échec du règlement amiable, traitement égalitaire entre États, compétence spécialisée sur des affaires échappant aux juridictions régionales) / </w:t>
      </w:r>
      <w:r>
        <w:rPr>
          <w:rFonts w:ascii="Calibri" w:cs="Calibri" w:eastAsia="Calibri" w:hAnsi="Calibri"/>
          <w:b/>
          <w:bCs/>
          <w:color w:val="1A1A1A"/>
          <w:sz w:val="20"/>
          <w:szCs w:val="20"/>
        </w:rPr>
        <w:t xml:space="preserve">II. Les limites structurelles au pouvoir des comités</w:t>
      </w:r>
      <w:r>
        <w:rPr>
          <w:rFonts w:ascii="Calibri" w:cs="Calibri" w:eastAsia="Calibri" w:hAnsi="Calibri"/>
          <w:color w:val="1A1A1A"/>
          <w:sz w:val="20"/>
          <w:szCs w:val="20"/>
        </w:rPr>
        <w:t xml:space="preserve"> (A. Une fonction judiciaire entravée : constatations non contraignantes, experts et non juges, dépendance à la coopération étatique ; B. Une influence néanmoins croissante : complémentarité, reprise par les juges régionaux et nationaux, débat sur une Cour mondiale).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Faut-il une Cour mondiale des droits de l’homme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Les carences du système actuel</w:t>
      </w:r>
      <w:r>
        <w:rPr>
          <w:rFonts w:ascii="Calibri" w:cs="Calibri" w:eastAsia="Calibri" w:hAnsi="Calibri"/>
          <w:color w:val="1A1A1A"/>
          <w:sz w:val="20"/>
          <w:szCs w:val="20"/>
        </w:rPr>
        <w:t xml:space="preserve"> (A. L’absence de juridiction universelle : la CIJ n’est saisissable que par des États ; B. Des comités sans force obligatoire ni sanction) / </w:t>
      </w:r>
      <w:r>
        <w:rPr>
          <w:rFonts w:ascii="Calibri" w:cs="Calibri" w:eastAsia="Calibri" w:hAnsi="Calibri"/>
          <w:b/>
          <w:bCs/>
          <w:color w:val="1A1A1A"/>
          <w:sz w:val="20"/>
          <w:szCs w:val="20"/>
        </w:rPr>
        <w:t xml:space="preserve">II. Les objections</w:t>
      </w:r>
      <w:r>
        <w:rPr>
          <w:rFonts w:ascii="Calibri" w:cs="Calibri" w:eastAsia="Calibri" w:hAnsi="Calibri"/>
          <w:color w:val="1A1A1A"/>
          <w:sz w:val="20"/>
          <w:szCs w:val="20"/>
        </w:rPr>
        <w:t xml:space="preserve"> (A. La souveraineté et l’hétérogénéité des engagements : seule une soixantaine d’États ont accepté la clause facultative de l’</w:t>
      </w:r>
      <w:r>
        <w:rPr>
          <w:rFonts w:ascii="Calibri" w:cs="Calibri" w:eastAsia="Calibri" w:hAnsi="Calibri"/>
          <w:color w:val="1E88E5"/>
          <w:sz w:val="20"/>
          <w:szCs w:val="20"/>
        </w:rPr>
        <w:t xml:space="preserve">art. 14 de la Convention sur l’élimination de la discrimination raciale</w:t>
      </w:r>
      <w:r>
        <w:rPr>
          <w:rFonts w:ascii="Calibri" w:cs="Calibri" w:eastAsia="Calibri" w:hAnsi="Calibri"/>
          <w:color w:val="1A1A1A"/>
          <w:sz w:val="20"/>
          <w:szCs w:val="20"/>
        </w:rPr>
        <w:t xml:space="preserve"> ; B. La concurrence avec les cours régionales et le risque de conflits d’obligations).</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Comité des droits de l’homme ≠ Conseil des droits de l’homme</w:t>
      </w:r>
      <w:r>
        <w:rPr>
          <w:rFonts w:ascii="Calibri" w:cs="Calibri" w:eastAsia="Calibri" w:hAnsi="Calibri"/>
          <w:color w:val="1A1A1A"/>
          <w:sz w:val="20"/>
          <w:szCs w:val="20"/>
        </w:rPr>
        <w:t xml:space="preserve"> : le premier est un organe de traité composé d’experts surveillant le PIDCP ; le second est un organe </w:t>
      </w:r>
      <w:r>
        <w:rPr>
          <w:rFonts w:ascii="Calibri" w:cs="Calibri" w:eastAsia="Calibri" w:hAnsi="Calibri"/>
          <w:b/>
          <w:bCs/>
          <w:color w:val="1A1A1A"/>
          <w:sz w:val="20"/>
          <w:szCs w:val="20"/>
        </w:rPr>
        <w:t xml:space="preserve">politique et diplomatique</w:t>
      </w:r>
      <w:r>
        <w:rPr>
          <w:rFonts w:ascii="Calibri" w:cs="Calibri" w:eastAsia="Calibri" w:hAnsi="Calibri"/>
          <w:color w:val="1A1A1A"/>
          <w:sz w:val="20"/>
          <w:szCs w:val="20"/>
        </w:rPr>
        <w:t xml:space="preserve"> réunissant des États, chargé de l’examen périodique universel. Le Conseil succède, par une réforme de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à l’ancienne Commission des droits de l’homme, dans le but de rendre les procédures moins opaques et moins politisées.</w:t>
      </w:r>
    </w:p>
    <w:p>
      <w:pPr>
        <w:pStyle w:val="ListParagraph"/>
        <w:numPr>
          <w:ilvl w:val="0"/>
          <w:numId w:val="2"/>
        </w:numPr>
        <w:spacing w:after="70" w:line="264"/>
        <w:jc w:val="both"/>
      </w:pPr>
      <w:r>
        <w:rPr>
          <w:rFonts w:ascii="Calibri" w:cs="Calibri" w:eastAsia="Calibri" w:hAnsi="Calibri"/>
          <w:b/>
          <w:bCs/>
          <w:color w:val="1A1A1A"/>
          <w:sz w:val="20"/>
          <w:szCs w:val="20"/>
        </w:rPr>
        <w:t xml:space="preserve">La composition varie selon les comités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10 experts</w:t>
      </w:r>
      <w:r>
        <w:rPr>
          <w:rFonts w:ascii="Calibri" w:cs="Calibri" w:eastAsia="Calibri" w:hAnsi="Calibri"/>
          <w:color w:val="1A1A1A"/>
          <w:sz w:val="20"/>
          <w:szCs w:val="20"/>
        </w:rPr>
        <w:t xml:space="preserve"> (torture, droits de l’enfant, disparitions forcées) ; </w:t>
      </w:r>
      <w:r>
        <w:rPr>
          <w:rFonts w:ascii="Calibri" w:cs="Calibri" w:eastAsia="Calibri" w:hAnsi="Calibri"/>
          <w:b/>
          <w:bCs/>
          <w:color w:val="1A1A1A"/>
          <w:sz w:val="20"/>
          <w:szCs w:val="20"/>
        </w:rPr>
        <w:t xml:space="preserve">23 membres</w:t>
      </w:r>
      <w:r>
        <w:rPr>
          <w:rFonts w:ascii="Calibri" w:cs="Calibri" w:eastAsia="Calibri" w:hAnsi="Calibri"/>
          <w:color w:val="1A1A1A"/>
          <w:sz w:val="20"/>
          <w:szCs w:val="20"/>
        </w:rPr>
        <w:t xml:space="preserve"> (discrimination à l’égard des femmes) ; </w:t>
      </w:r>
      <w:r>
        <w:rPr>
          <w:rFonts w:ascii="Calibri" w:cs="Calibri" w:eastAsia="Calibri" w:hAnsi="Calibri"/>
          <w:b/>
          <w:bCs/>
          <w:color w:val="1A1A1A"/>
          <w:sz w:val="20"/>
          <w:szCs w:val="20"/>
        </w:rPr>
        <w:t xml:space="preserve">14 experts</w:t>
      </w:r>
      <w:r>
        <w:rPr>
          <w:rFonts w:ascii="Calibri" w:cs="Calibri" w:eastAsia="Calibri" w:hAnsi="Calibri"/>
          <w:color w:val="1A1A1A"/>
          <w:sz w:val="20"/>
          <w:szCs w:val="20"/>
        </w:rPr>
        <w:t xml:space="preserve"> (travailleurs migrants) ; </w:t>
      </w:r>
      <w:r>
        <w:rPr>
          <w:rFonts w:ascii="Calibri" w:cs="Calibri" w:eastAsia="Calibri" w:hAnsi="Calibri"/>
          <w:b/>
          <w:bCs/>
          <w:color w:val="1A1A1A"/>
          <w:sz w:val="20"/>
          <w:szCs w:val="20"/>
        </w:rPr>
        <w:t xml:space="preserve">18 membres</w:t>
      </w:r>
      <w:r>
        <w:rPr>
          <w:rFonts w:ascii="Calibri" w:cs="Calibri" w:eastAsia="Calibri" w:hAnsi="Calibri"/>
          <w:color w:val="1A1A1A"/>
          <w:sz w:val="20"/>
          <w:szCs w:val="20"/>
        </w:rPr>
        <w:t xml:space="preserve"> pour tous les autres.</w:t>
      </w:r>
    </w:p>
    <w:p>
      <w:pPr>
        <w:pStyle w:val="ListParagraph"/>
        <w:numPr>
          <w:ilvl w:val="0"/>
          <w:numId w:val="2"/>
        </w:numPr>
        <w:spacing w:after="70" w:line="264"/>
        <w:jc w:val="both"/>
      </w:pPr>
      <w:r>
        <w:rPr>
          <w:rFonts w:ascii="Calibri" w:cs="Calibri" w:eastAsia="Calibri" w:hAnsi="Calibri"/>
          <w:b/>
          <w:bCs/>
          <w:color w:val="1A1A1A"/>
          <w:sz w:val="20"/>
          <w:szCs w:val="20"/>
        </w:rPr>
        <w:t xml:space="preserve">Les comités ne sont ni des juridictions ni des organes interétatiques</w:t>
      </w:r>
      <w:r>
        <w:rPr>
          <w:rFonts w:ascii="Calibri" w:cs="Calibri" w:eastAsia="Calibri" w:hAnsi="Calibri"/>
          <w:color w:val="1A1A1A"/>
          <w:sz w:val="20"/>
          <w:szCs w:val="20"/>
        </w:rPr>
        <w:t xml:space="preserve"> : leurs membres sont des experts </w:t>
      </w:r>
      <w:r>
        <w:rPr>
          <w:rFonts w:ascii="Calibri" w:cs="Calibri" w:eastAsia="Calibri" w:hAnsi="Calibri"/>
          <w:b/>
          <w:bCs/>
          <w:color w:val="1A1A1A"/>
          <w:sz w:val="20"/>
          <w:szCs w:val="20"/>
        </w:rPr>
        <w:t xml:space="preserve">siégeant à titre individuel</w:t>
      </w:r>
      <w:r>
        <w:rPr>
          <w:rFonts w:ascii="Calibri" w:cs="Calibri" w:eastAsia="Calibri" w:hAnsi="Calibri"/>
          <w:color w:val="1A1A1A"/>
          <w:sz w:val="20"/>
          <w:szCs w:val="20"/>
        </w:rPr>
        <w:t xml:space="preserve">, qui ne représentent pas l’État dont ils sont ressortissants.</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color w:val="1E88E5"/>
          <w:sz w:val="20"/>
          <w:szCs w:val="20"/>
        </w:rPr>
        <w:t xml:space="preserve">Art. 28 à 45 du Pacte international relatif aux droits civils et politiques</w:t>
      </w:r>
      <w:r>
        <w:rPr>
          <w:rFonts w:ascii="Calibri" w:cs="Calibri" w:eastAsia="Calibri" w:hAnsi="Calibri"/>
          <w:color w:val="1A1A1A"/>
          <w:sz w:val="20"/>
          <w:szCs w:val="20"/>
        </w:rPr>
        <w:t xml:space="preserve"> (Comité des droits de l’homme) ; </w:t>
      </w:r>
      <w:r>
        <w:rPr>
          <w:rFonts w:ascii="Calibri" w:cs="Calibri" w:eastAsia="Calibri" w:hAnsi="Calibri"/>
          <w:color w:val="1E88E5"/>
          <w:sz w:val="20"/>
          <w:szCs w:val="20"/>
        </w:rPr>
        <w:t xml:space="preserve">art. 1er à 15 du Protocole facultatif au Pacte international relatif aux droits économiques, sociaux et culturels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8 à 16 de la Convention internationale sur l’élimination de toutes les formes de discrimination raciale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à 12 du Protocole facultatif à la Convention sur l’élimination de toutes les formes de discrimination à l’égard des femmes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17 à 24 de la Convention contre la torture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43 à 45 de la Convention internationale des droits de l’enfant</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72 à 77 de la Convention sur la protection des droits de tous les travailleurs migrants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34 à 39 de la Convention relative aux droits des personnes handicapées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26 à 36 de la Convention internationale pour la protection de toutes les personnes contre les disparitions forcées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France a ratifié les 18 conventions onusiennes</w:t>
      </w:r>
      <w:r>
        <w:rPr>
          <w:rFonts w:ascii="Calibri" w:cs="Calibri" w:eastAsia="Calibri" w:hAnsi="Calibri"/>
          <w:color w:val="1A1A1A"/>
          <w:sz w:val="20"/>
          <w:szCs w:val="20"/>
        </w:rPr>
        <w:t xml:space="preserve">, y compris les protocoles reconnaissant la compétence de chaque comité, notamment la possibilité de connaître de communications individuelles.</w:t>
      </w:r>
    </w:p>
    <w:p>
      <w:pPr>
        <w:pStyle w:val="ListParagraph"/>
        <w:numPr>
          <w:ilvl w:val="0"/>
          <w:numId w:val="2"/>
        </w:numPr>
        <w:spacing w:after="70" w:line="264"/>
        <w:jc w:val="both"/>
      </w:pPr>
      <w:r>
        <w:rPr>
          <w:rFonts w:ascii="Calibri" w:cs="Calibri" w:eastAsia="Calibri" w:hAnsi="Calibri"/>
          <w:b/>
          <w:bCs/>
          <w:color w:val="1A1A1A"/>
          <w:sz w:val="20"/>
          <w:szCs w:val="20"/>
        </w:rPr>
        <w:t xml:space="preserve">Les neuf comités et leur fondement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Comité des droits de l’homme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28 PIDCP</w:t>
      </w:r>
      <w:r>
        <w:rPr>
          <w:rFonts w:ascii="Calibri" w:cs="Calibri" w:eastAsia="Calibri" w:hAnsi="Calibri"/>
          <w:color w:val="1A1A1A"/>
          <w:sz w:val="20"/>
          <w:szCs w:val="20"/>
        </w:rPr>
        <w:t xml:space="preserve">, complété par le Protocole facultatif) ; </w:t>
      </w:r>
      <w:r>
        <w:rPr>
          <w:rFonts w:ascii="Calibri" w:cs="Calibri" w:eastAsia="Calibri" w:hAnsi="Calibri"/>
          <w:b/>
          <w:bCs/>
          <w:color w:val="1A1A1A"/>
          <w:sz w:val="20"/>
          <w:szCs w:val="20"/>
        </w:rPr>
        <w:t xml:space="preserve">Comité des droits économiques, sociaux et culturels</w:t>
      </w:r>
      <w:r>
        <w:rPr>
          <w:rFonts w:ascii="Calibri" w:cs="Calibri" w:eastAsia="Calibri" w:hAnsi="Calibri"/>
          <w:color w:val="1A1A1A"/>
          <w:sz w:val="20"/>
          <w:szCs w:val="20"/>
        </w:rPr>
        <w:t xml:space="preserve"> (institué par le Protocole facultatif au PIDESC) ; </w:t>
      </w:r>
      <w:r>
        <w:rPr>
          <w:rFonts w:ascii="Calibri" w:cs="Calibri" w:eastAsia="Calibri" w:hAnsi="Calibri"/>
          <w:b/>
          <w:bCs/>
          <w:color w:val="1A1A1A"/>
          <w:sz w:val="20"/>
          <w:szCs w:val="20"/>
        </w:rPr>
        <w:t xml:space="preserve">Comité pour l’élimination de la discrimination raciale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Comité pour l’élimination de la discrimination à l’égard des femmes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fonctions complétées par le Protocole facultatif) ; </w:t>
      </w:r>
      <w:r>
        <w:rPr>
          <w:rFonts w:ascii="Calibri" w:cs="Calibri" w:eastAsia="Calibri" w:hAnsi="Calibri"/>
          <w:b/>
          <w:bCs/>
          <w:color w:val="1A1A1A"/>
          <w:sz w:val="20"/>
          <w:szCs w:val="20"/>
        </w:rPr>
        <w:t xml:space="preserve">Comité contre la torture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le Protocole facultatif portant sur un sous-comité) ; </w:t>
      </w:r>
      <w:r>
        <w:rPr>
          <w:rFonts w:ascii="Calibri" w:cs="Calibri" w:eastAsia="Calibri" w:hAnsi="Calibri"/>
          <w:b/>
          <w:bCs/>
          <w:color w:val="1A1A1A"/>
          <w:sz w:val="20"/>
          <w:szCs w:val="20"/>
        </w:rPr>
        <w:t xml:space="preserve">Comité des droits de l’enfant</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43</w:t>
      </w:r>
      <w:r>
        <w:rPr>
          <w:rFonts w:ascii="Calibri" w:cs="Calibri" w:eastAsia="Calibri" w:hAnsi="Calibri"/>
          <w:color w:val="1A1A1A"/>
          <w:sz w:val="20"/>
          <w:szCs w:val="20"/>
        </w:rPr>
        <w:t xml:space="preserve">, complété par le </w:t>
      </w:r>
      <w:r>
        <w:rPr>
          <w:rFonts w:ascii="Calibri" w:cs="Calibri" w:eastAsia="Calibri" w:hAnsi="Calibri"/>
          <w:color w:val="1E88E5"/>
          <w:sz w:val="20"/>
          <w:szCs w:val="20"/>
        </w:rPr>
        <w:t xml:space="preserve">troisième Protocole facultatif du 19 décembre 2011</w:t>
      </w:r>
      <w:r>
        <w:rPr>
          <w:rFonts w:ascii="Calibri" w:cs="Calibri" w:eastAsia="Calibri" w:hAnsi="Calibri"/>
          <w:color w:val="1A1A1A"/>
          <w:sz w:val="20"/>
          <w:szCs w:val="20"/>
        </w:rPr>
        <w:t xml:space="preserve"> sur les communications, en plus des protocoles de 2000 sur la vente d’enfants, la prostitution et la pornographie, et sur l’implication d’enfants dans les conflits armés) ; </w:t>
      </w:r>
      <w:r>
        <w:rPr>
          <w:rFonts w:ascii="Calibri" w:cs="Calibri" w:eastAsia="Calibri" w:hAnsi="Calibri"/>
          <w:b/>
          <w:bCs/>
          <w:color w:val="1A1A1A"/>
          <w:sz w:val="20"/>
          <w:szCs w:val="20"/>
        </w:rPr>
        <w:t xml:space="preserve">Comité pour la protection des droits des travailleurs migrants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72</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sans protocole facultatif</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Comité des droits des personnes handicapées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Comité des disparitions forcées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26</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Composition et fonctionnement</w:t>
      </w:r>
    </w:p>
    <w:p>
      <w:pPr>
        <w:pStyle w:val="ListParagraph"/>
        <w:numPr>
          <w:ilvl w:val="0"/>
          <w:numId w:val="2"/>
        </w:numPr>
        <w:spacing w:after="70" w:line="264"/>
        <w:jc w:val="both"/>
      </w:pPr>
      <w:r>
        <w:rPr>
          <w:rFonts w:ascii="Calibri" w:cs="Calibri" w:eastAsia="Calibri" w:hAnsi="Calibri"/>
          <w:b/>
          <w:bCs/>
          <w:color w:val="1A1A1A"/>
          <w:sz w:val="20"/>
          <w:szCs w:val="20"/>
        </w:rPr>
        <w:t xml:space="preserve">Élection et statut</w:t>
      </w:r>
      <w:r>
        <w:rPr>
          <w:rFonts w:ascii="Calibri" w:cs="Calibri" w:eastAsia="Calibri" w:hAnsi="Calibri"/>
          <w:color w:val="1A1A1A"/>
          <w:sz w:val="20"/>
          <w:szCs w:val="20"/>
        </w:rPr>
        <w:t xml:space="preserve"> : les membres sont ressortissants des États parties à la convention qu’ils protègent, élus pour </w:t>
      </w:r>
      <w:r>
        <w:rPr>
          <w:rFonts w:ascii="Calibri" w:cs="Calibri" w:eastAsia="Calibri" w:hAnsi="Calibri"/>
          <w:b/>
          <w:bCs/>
          <w:color w:val="1A1A1A"/>
          <w:sz w:val="20"/>
          <w:szCs w:val="20"/>
        </w:rPr>
        <w:t xml:space="preserve">quatre ans</w:t>
      </w:r>
      <w:r>
        <w:rPr>
          <w:rFonts w:ascii="Calibri" w:cs="Calibri" w:eastAsia="Calibri" w:hAnsi="Calibri"/>
          <w:color w:val="1A1A1A"/>
          <w:sz w:val="20"/>
          <w:szCs w:val="20"/>
        </w:rPr>
        <w:t xml:space="preserve"> ; ils doivent être des « </w:t>
      </w:r>
      <w:r>
        <w:rPr>
          <w:rFonts w:ascii="Calibri" w:cs="Calibri" w:eastAsia="Calibri" w:hAnsi="Calibri"/>
          <w:i/>
          <w:iCs/>
          <w:color w:val="1A1A1A"/>
          <w:sz w:val="20"/>
          <w:szCs w:val="20"/>
        </w:rPr>
        <w:t xml:space="preserve">personnalités de haute moralité</w:t>
      </w:r>
      <w:r>
        <w:rPr>
          <w:rFonts w:ascii="Calibri" w:cs="Calibri" w:eastAsia="Calibri" w:hAnsi="Calibri"/>
          <w:color w:val="1A1A1A"/>
          <w:sz w:val="20"/>
          <w:szCs w:val="20"/>
        </w:rPr>
        <w:t xml:space="preserve"> » possédant des compétences particulières dans le domaine de la convention et une expérience juridique pertinente ; la Convention relative aux droits des personnes handicapées ajoute qu’il doit être tenu compte de la </w:t>
      </w:r>
      <w:r>
        <w:rPr>
          <w:rFonts w:ascii="Calibri" w:cs="Calibri" w:eastAsia="Calibri" w:hAnsi="Calibri"/>
          <w:b/>
          <w:bCs/>
          <w:color w:val="1A1A1A"/>
          <w:sz w:val="20"/>
          <w:szCs w:val="20"/>
        </w:rPr>
        <w:t xml:space="preserve">participation d’experts handicapés</w:t>
      </w:r>
      <w:r>
        <w:rPr>
          <w:rFonts w:ascii="Calibri" w:cs="Calibri" w:eastAsia="Calibri" w:hAnsi="Calibri"/>
          <w:color w:val="1A1A1A"/>
          <w:sz w:val="20"/>
          <w:szCs w:val="20"/>
        </w:rPr>
        <w:t xml:space="preserve">. Ils sont élus par les États parties à chaque instrument, </w:t>
      </w:r>
      <w:r>
        <w:rPr>
          <w:rFonts w:ascii="Calibri" w:cs="Calibri" w:eastAsia="Calibri" w:hAnsi="Calibri"/>
          <w:b/>
          <w:bCs/>
          <w:color w:val="1A1A1A"/>
          <w:sz w:val="20"/>
          <w:szCs w:val="20"/>
        </w:rPr>
        <w:t xml:space="preserve">siègent à titre individuel</w:t>
      </w:r>
      <w:r>
        <w:rPr>
          <w:rFonts w:ascii="Calibri" w:cs="Calibri" w:eastAsia="Calibri" w:hAnsi="Calibri"/>
          <w:color w:val="1A1A1A"/>
          <w:sz w:val="20"/>
          <w:szCs w:val="20"/>
        </w:rPr>
        <w:t xml:space="preserve"> et agissent sous le sceau de l’</w:t>
      </w:r>
      <w:r>
        <w:rPr>
          <w:rFonts w:ascii="Calibri" w:cs="Calibri" w:eastAsia="Calibri" w:hAnsi="Calibri"/>
          <w:b/>
          <w:bCs/>
          <w:color w:val="1A1A1A"/>
          <w:sz w:val="20"/>
          <w:szCs w:val="20"/>
        </w:rPr>
        <w:t xml:space="preserve">impartialité</w:t>
      </w:r>
      <w:r>
        <w:rPr>
          <w:rFonts w:ascii="Calibri" w:cs="Calibri" w:eastAsia="Calibri" w:hAnsi="Calibri"/>
          <w:color w:val="1A1A1A"/>
          <w:sz w:val="20"/>
          <w:szCs w:val="20"/>
        </w:rPr>
        <w:t xml:space="preserve"> ; l’élection tient compte d’une répartition géographique équitable, de la représentation des diverses formes de civilisation, des principaux systèmes juridiques et d’une répartition équilibrée entre les hommes et les femmes.</w:t>
      </w:r>
    </w:p>
    <w:p>
      <w:pPr>
        <w:pStyle w:val="ListParagraph"/>
        <w:numPr>
          <w:ilvl w:val="0"/>
          <w:numId w:val="2"/>
        </w:numPr>
        <w:spacing w:after="70" w:line="264"/>
        <w:jc w:val="both"/>
      </w:pPr>
      <w:r>
        <w:rPr>
          <w:rFonts w:ascii="Calibri" w:cs="Calibri" w:eastAsia="Calibri" w:hAnsi="Calibri"/>
          <w:b/>
          <w:bCs/>
          <w:color w:val="1A1A1A"/>
          <w:sz w:val="20"/>
          <w:szCs w:val="20"/>
        </w:rPr>
        <w:t xml:space="preserve">À noter</w:t>
      </w:r>
      <w:r>
        <w:rPr>
          <w:rFonts w:ascii="Calibri" w:cs="Calibri" w:eastAsia="Calibri" w:hAnsi="Calibri"/>
          <w:color w:val="1A1A1A"/>
          <w:sz w:val="20"/>
          <w:szCs w:val="20"/>
        </w:rPr>
        <w:t xml:space="preserve"> : la professeure française </w:t>
      </w:r>
      <w:r>
        <w:rPr>
          <w:rFonts w:ascii="Calibri" w:cs="Calibri" w:eastAsia="Calibri" w:hAnsi="Calibri"/>
          <w:color w:val="2E7D32"/>
          <w:sz w:val="20"/>
          <w:szCs w:val="20"/>
        </w:rPr>
        <w:t xml:space="preserve">Hélène Tigroudja</w:t>
      </w:r>
      <w:r>
        <w:rPr>
          <w:rFonts w:ascii="Calibri" w:cs="Calibri" w:eastAsia="Calibri" w:hAnsi="Calibri"/>
          <w:color w:val="1A1A1A"/>
          <w:sz w:val="20"/>
          <w:szCs w:val="20"/>
        </w:rPr>
        <w:t xml:space="preserve"> a été élue pour deux mandats successifs au Comité des droits de l’homme (2019-2022 et 2023-2026) et en occupe la vice-présidence.</w:t>
      </w:r>
    </w:p>
    <w:p>
      <w:pPr>
        <w:pStyle w:val="Heading2"/>
        <w:spacing w:after="120" w:before="280"/>
      </w:pPr>
      <w:r>
        <w:rPr>
          <w:rFonts w:ascii="Calibri" w:cs="Calibri" w:eastAsia="Calibri" w:hAnsi="Calibri"/>
          <w:b/>
          <w:bCs/>
          <w:color w:val="1A1A1A"/>
          <w:sz w:val="24"/>
          <w:szCs w:val="24"/>
        </w:rPr>
        <w:t xml:space="preserve">3. L’hétérogénéité fonctionnelle des comités</w:t>
      </w:r>
    </w:p>
    <w:p>
      <w:pPr>
        <w:pStyle w:val="Heading3"/>
        <w:spacing w:after="90" w:before="200"/>
      </w:pPr>
      <w:r>
        <w:rPr>
          <w:rFonts w:ascii="Calibri" w:cs="Calibri" w:eastAsia="Calibri" w:hAnsi="Calibri"/>
          <w:b/>
          <w:bCs/>
          <w:i/>
          <w:iCs/>
          <w:color w:val="5A5A5A"/>
          <w:sz w:val="21"/>
          <w:szCs w:val="21"/>
        </w:rPr>
        <w:t xml:space="preserve">3.1. Les rapports périodiques</w:t>
      </w:r>
    </w:p>
    <w:p>
      <w:pPr>
        <w:pStyle w:val="ListParagraph"/>
        <w:numPr>
          <w:ilvl w:val="0"/>
          <w:numId w:val="2"/>
        </w:numPr>
        <w:spacing w:after="70" w:line="264"/>
        <w:jc w:val="both"/>
      </w:pPr>
      <w:r>
        <w:rPr>
          <w:rFonts w:ascii="Calibri" w:cs="Calibri" w:eastAsia="Calibri" w:hAnsi="Calibri"/>
          <w:color w:val="1A1A1A"/>
          <w:sz w:val="20"/>
          <w:szCs w:val="20"/>
        </w:rPr>
        <w:t xml:space="preserve">Chaque État partie soumet un rapport périodique selon un cycle de plusieurs années, ou dès que le comité le demande, sur « </w:t>
      </w:r>
      <w:r>
        <w:rPr>
          <w:rFonts w:ascii="Calibri" w:cs="Calibri" w:eastAsia="Calibri" w:hAnsi="Calibri"/>
          <w:i/>
          <w:iCs/>
          <w:color w:val="1A1A1A"/>
          <w:sz w:val="20"/>
          <w:szCs w:val="20"/>
        </w:rPr>
        <w:t xml:space="preserve">les mesures qu’ils auront arrêtées et qui donnent effet aux droits reconnus</w:t>
      </w:r>
      <w:r>
        <w:rPr>
          <w:rFonts w:ascii="Calibri" w:cs="Calibri" w:eastAsia="Calibri" w:hAnsi="Calibri"/>
          <w:color w:val="1A1A1A"/>
          <w:sz w:val="20"/>
          <w:szCs w:val="20"/>
        </w:rPr>
        <w:t xml:space="preserve"> », qu’elles soient d’ordre législatif, judiciaire, administratif ou autre, et « </w:t>
      </w:r>
      <w:r>
        <w:rPr>
          <w:rFonts w:ascii="Calibri" w:cs="Calibri" w:eastAsia="Calibri" w:hAnsi="Calibri"/>
          <w:i/>
          <w:iCs/>
          <w:color w:val="1A1A1A"/>
          <w:sz w:val="20"/>
          <w:szCs w:val="20"/>
        </w:rPr>
        <w:t xml:space="preserve">sur les progrès réalisés dans la jouissance de ces droits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40-1 PIDCP</w:t>
      </w:r>
      <w:r>
        <w:rPr>
          <w:rFonts w:ascii="Calibri" w:cs="Calibri" w:eastAsia="Calibri" w:hAnsi="Calibri"/>
          <w:color w:val="1A1A1A"/>
          <w:sz w:val="20"/>
          <w:szCs w:val="20"/>
        </w:rPr>
        <w:t xml:space="preserve">). Les comités peuvent demander des informations complémentaires et adopter des </w:t>
      </w:r>
      <w:r>
        <w:rPr>
          <w:rFonts w:ascii="Calibri" w:cs="Calibri" w:eastAsia="Calibri" w:hAnsi="Calibri"/>
          <w:b/>
          <w:bCs/>
          <w:color w:val="1A1A1A"/>
          <w:sz w:val="20"/>
          <w:szCs w:val="20"/>
        </w:rPr>
        <w:t xml:space="preserve">observations finales</w:t>
      </w:r>
      <w:r>
        <w:rPr>
          <w:rFonts w:ascii="Calibri" w:cs="Calibri" w:eastAsia="Calibri" w:hAnsi="Calibri"/>
          <w:color w:val="1A1A1A"/>
          <w:sz w:val="20"/>
          <w:szCs w:val="20"/>
        </w:rPr>
        <w:t xml:space="preserve">. Certains comités (personnes handicapées, droits de l’enfant) peuvent aussi solliciter des rapports d’institutions spécialisées.</w:t>
      </w:r>
    </w:p>
    <w:p>
      <w:pPr>
        <w:pStyle w:val="Heading3"/>
        <w:spacing w:after="90" w:before="200"/>
      </w:pPr>
      <w:r>
        <w:rPr>
          <w:rFonts w:ascii="Calibri" w:cs="Calibri" w:eastAsia="Calibri" w:hAnsi="Calibri"/>
          <w:b/>
          <w:bCs/>
          <w:i/>
          <w:iCs/>
          <w:color w:val="5A5A5A"/>
          <w:sz w:val="21"/>
          <w:szCs w:val="21"/>
        </w:rPr>
        <w:t xml:space="preserve">3.2. Les communications interétatiques et individuelles</w:t>
      </w:r>
    </w:p>
    <w:p>
      <w:pPr>
        <w:pStyle w:val="ListParagraph"/>
        <w:numPr>
          <w:ilvl w:val="0"/>
          <w:numId w:val="2"/>
        </w:numPr>
        <w:spacing w:after="70" w:line="264"/>
        <w:jc w:val="both"/>
      </w:pPr>
      <w:r>
        <w:rPr>
          <w:rFonts w:ascii="Calibri" w:cs="Calibri" w:eastAsia="Calibri" w:hAnsi="Calibri"/>
          <w:b/>
          <w:bCs/>
          <w:color w:val="1A1A1A"/>
          <w:sz w:val="20"/>
          <w:szCs w:val="20"/>
        </w:rPr>
        <w:t xml:space="preserve">Communications interétatiques</w:t>
      </w:r>
      <w:r>
        <w:rPr>
          <w:rFonts w:ascii="Calibri" w:cs="Calibri" w:eastAsia="Calibri" w:hAnsi="Calibri"/>
          <w:color w:val="1A1A1A"/>
          <w:sz w:val="20"/>
          <w:szCs w:val="20"/>
        </w:rPr>
        <w:t xml:space="preserve"> : prévues par toutes les conventions, soumises à une reconnaissance de cette compétence par les États parties. La communication est adressée au comité puis transmise à l’État défendeur, qui doit fournir des explications ; le comité n’intervient que si la situation n’est pas réglée par le dialogue interétatique, et rédige alors un rapport incluant observations et recommandations, assorti d’un suivi.</w:t>
      </w:r>
    </w:p>
    <w:p>
      <w:pPr>
        <w:pStyle w:val="ListParagraph"/>
        <w:numPr>
          <w:ilvl w:val="0"/>
          <w:numId w:val="2"/>
        </w:numPr>
        <w:spacing w:after="70" w:line="264"/>
        <w:jc w:val="both"/>
      </w:pPr>
      <w:r>
        <w:rPr>
          <w:rFonts w:ascii="Calibri" w:cs="Calibri" w:eastAsia="Calibri" w:hAnsi="Calibri"/>
          <w:b/>
          <w:bCs/>
          <w:color w:val="1A1A1A"/>
          <w:sz w:val="20"/>
          <w:szCs w:val="20"/>
        </w:rPr>
        <w:t xml:space="preserve">Communications individuelles — la fonction quasi-contentieuse</w:t>
      </w:r>
      <w:r>
        <w:rPr>
          <w:rFonts w:ascii="Calibri" w:cs="Calibri" w:eastAsia="Calibri" w:hAnsi="Calibri"/>
          <w:color w:val="1A1A1A"/>
          <w:sz w:val="20"/>
          <w:szCs w:val="20"/>
        </w:rPr>
        <w:t xml:space="preserve"> : réception de communications émanant de particuliers ou de groupes de particuliers </w:t>
      </w:r>
      <w:r>
        <w:rPr>
          <w:rFonts w:ascii="Calibri" w:cs="Calibri" w:eastAsia="Calibri" w:hAnsi="Calibri"/>
          <w:b/>
          <w:bCs/>
          <w:color w:val="1A1A1A"/>
          <w:sz w:val="20"/>
          <w:szCs w:val="20"/>
        </w:rPr>
        <w:t xml:space="preserve">se prétendant victimes</w:t>
      </w:r>
      <w:r>
        <w:rPr>
          <w:rFonts w:ascii="Calibri" w:cs="Calibri" w:eastAsia="Calibri" w:hAnsi="Calibri"/>
          <w:color w:val="1A1A1A"/>
          <w:sz w:val="20"/>
          <w:szCs w:val="20"/>
        </w:rPr>
        <w:t xml:space="preserve"> d’une violation. </w:t>
      </w:r>
      <w:r>
        <w:rPr>
          <w:rFonts w:ascii="Calibri" w:cs="Calibri" w:eastAsia="Calibri" w:hAnsi="Calibri"/>
          <w:b/>
          <w:bCs/>
          <w:color w:val="1A1A1A"/>
          <w:sz w:val="20"/>
          <w:szCs w:val="20"/>
        </w:rPr>
        <w:t xml:space="preserve">Critères de recevabilité communs</w:t>
      </w:r>
      <w:r>
        <w:rPr>
          <w:rFonts w:ascii="Calibri" w:cs="Calibri" w:eastAsia="Calibri" w:hAnsi="Calibri"/>
          <w:color w:val="1A1A1A"/>
          <w:sz w:val="20"/>
          <w:szCs w:val="20"/>
        </w:rPr>
        <w:t xml:space="preserve"> : requête non anonyme ; absence d’abus de droit et compatibilité avec la convention ; absence de litispendance devant un autre organe international ; </w:t>
      </w:r>
      <w:r>
        <w:rPr>
          <w:rFonts w:ascii="Calibri" w:cs="Calibri" w:eastAsia="Calibri" w:hAnsi="Calibri"/>
          <w:b/>
          <w:bCs/>
          <w:color w:val="1A1A1A"/>
          <w:sz w:val="20"/>
          <w:szCs w:val="20"/>
        </w:rPr>
        <w:t xml:space="preserve">épuisement des voies de recours internes</w:t>
      </w:r>
      <w:r>
        <w:rPr>
          <w:rFonts w:ascii="Calibri" w:cs="Calibri" w:eastAsia="Calibri" w:hAnsi="Calibri"/>
          <w:color w:val="1A1A1A"/>
          <w:sz w:val="20"/>
          <w:szCs w:val="20"/>
        </w:rPr>
        <w:t xml:space="preserve"> (sauf délais excessifs) ; faits </w:t>
      </w:r>
      <w:r>
        <w:rPr>
          <w:rFonts w:ascii="Calibri" w:cs="Calibri" w:eastAsia="Calibri" w:hAnsi="Calibri"/>
          <w:b/>
          <w:bCs/>
          <w:color w:val="1A1A1A"/>
          <w:sz w:val="20"/>
          <w:szCs w:val="20"/>
        </w:rPr>
        <w:t xml:space="preserve">postérieurs</w:t>
      </w:r>
      <w:r>
        <w:rPr>
          <w:rFonts w:ascii="Calibri" w:cs="Calibri" w:eastAsia="Calibri" w:hAnsi="Calibri"/>
          <w:color w:val="1A1A1A"/>
          <w:sz w:val="20"/>
          <w:szCs w:val="20"/>
        </w:rPr>
        <w:t xml:space="preserve"> à l’acceptation de la compétence du comité par l’État. </w:t>
      </w:r>
      <w:r>
        <w:rPr>
          <w:rFonts w:ascii="Calibri" w:cs="Calibri" w:eastAsia="Calibri" w:hAnsi="Calibri"/>
          <w:b/>
          <w:bCs/>
          <w:color w:val="1A1A1A"/>
          <w:sz w:val="20"/>
          <w:szCs w:val="20"/>
        </w:rPr>
        <w:t xml:space="preserve">Critères additionnels</w:t>
      </w:r>
      <w:r>
        <w:rPr>
          <w:rFonts w:ascii="Calibri" w:cs="Calibri" w:eastAsia="Calibri" w:hAnsi="Calibri"/>
          <w:color w:val="1A1A1A"/>
          <w:sz w:val="20"/>
          <w:szCs w:val="20"/>
        </w:rPr>
        <w:t xml:space="preserve"> selon les comités : délai d’un an après l’épuisement des recours (CDESC, droits de l’enfant) ; existence d’un « </w:t>
      </w:r>
      <w:r>
        <w:rPr>
          <w:rFonts w:ascii="Calibri" w:cs="Calibri" w:eastAsia="Calibri" w:hAnsi="Calibri"/>
          <w:b/>
          <w:bCs/>
          <w:color w:val="1A1A1A"/>
          <w:sz w:val="20"/>
          <w:szCs w:val="20"/>
        </w:rPr>
        <w:t xml:space="preserve">désavantage notable</w:t>
      </w:r>
      <w:r>
        <w:rPr>
          <w:rFonts w:ascii="Calibri" w:cs="Calibri" w:eastAsia="Calibri" w:hAnsi="Calibri"/>
          <w:color w:val="1A1A1A"/>
          <w:sz w:val="20"/>
          <w:szCs w:val="20"/>
        </w:rPr>
        <w:t xml:space="preserve"> » (CDESC) ; requête présentée par écrit (droits de l’enfant) ; requête non manifestement mal fondée ou insuffisamment motivée (personnes handicapées).</w:t>
      </w:r>
    </w:p>
    <w:p>
      <w:pPr>
        <w:pStyle w:val="ListParagraph"/>
        <w:numPr>
          <w:ilvl w:val="0"/>
          <w:numId w:val="2"/>
        </w:numPr>
        <w:spacing w:after="70" w:line="264"/>
        <w:jc w:val="both"/>
      </w:pPr>
      <w:r>
        <w:rPr>
          <w:rFonts w:ascii="Calibri" w:cs="Calibri" w:eastAsia="Calibri" w:hAnsi="Calibri"/>
          <w:b/>
          <w:bCs/>
          <w:color w:val="1A1A1A"/>
          <w:sz w:val="20"/>
          <w:szCs w:val="20"/>
        </w:rPr>
        <w:t xml:space="preserve">Mesures provisoires</w:t>
      </w:r>
      <w:r>
        <w:rPr>
          <w:rFonts w:ascii="Calibri" w:cs="Calibri" w:eastAsia="Calibri" w:hAnsi="Calibri"/>
          <w:color w:val="1A1A1A"/>
          <w:sz w:val="20"/>
          <w:szCs w:val="20"/>
        </w:rPr>
        <w:t xml:space="preserve"> : les comités peuvent demander à l’État la mise en place de mesures « </w:t>
      </w:r>
      <w:r>
        <w:rPr>
          <w:rFonts w:ascii="Calibri" w:cs="Calibri" w:eastAsia="Calibri" w:hAnsi="Calibri"/>
          <w:i/>
          <w:iCs/>
          <w:color w:val="1A1A1A"/>
          <w:sz w:val="20"/>
          <w:szCs w:val="20"/>
        </w:rPr>
        <w:t xml:space="preserve">dans des circonstances exceptionnelles pour éviter qu’un éventuel préjudice irréparable ne soit causé à la victime ou aux victimes de la violation présumée</w:t>
      </w:r>
      <w:r>
        <w:rPr>
          <w:rFonts w:ascii="Calibri" w:cs="Calibri" w:eastAsia="Calibri" w:hAnsi="Calibri"/>
          <w:color w:val="1A1A1A"/>
          <w:sz w:val="20"/>
          <w:szCs w:val="20"/>
        </w:rPr>
        <w:t xml:space="preserve"> ». Elles ne préjugent en rien de l’issue de l’affaire.</w:t>
      </w:r>
    </w:p>
    <w:p>
      <w:pPr>
        <w:pStyle w:val="ListParagraph"/>
        <w:numPr>
          <w:ilvl w:val="0"/>
          <w:numId w:val="2"/>
        </w:numPr>
        <w:spacing w:after="70" w:line="264"/>
        <w:jc w:val="both"/>
      </w:pPr>
      <w:r>
        <w:rPr>
          <w:rFonts w:ascii="Calibri" w:cs="Calibri" w:eastAsia="Calibri" w:hAnsi="Calibri"/>
          <w:b/>
          <w:bCs/>
          <w:color w:val="1A1A1A"/>
          <w:sz w:val="20"/>
          <w:szCs w:val="20"/>
        </w:rPr>
        <w:t xml:space="preserve">Déroulement</w:t>
      </w:r>
      <w:r>
        <w:rPr>
          <w:rFonts w:ascii="Calibri" w:cs="Calibri" w:eastAsia="Calibri" w:hAnsi="Calibri"/>
          <w:color w:val="1A1A1A"/>
          <w:sz w:val="20"/>
          <w:szCs w:val="20"/>
        </w:rPr>
        <w:t xml:space="preserve"> : notification à l’État défendeur, qui fournit explications et mesures envisagées ; à défaut de règlement amiable, le comité examine la requête et rend des « </w:t>
      </w:r>
      <w:r>
        <w:rPr>
          <w:rFonts w:ascii="Calibri" w:cs="Calibri" w:eastAsia="Calibri" w:hAnsi="Calibri"/>
          <w:b/>
          <w:bCs/>
          <w:color w:val="1A1A1A"/>
          <w:sz w:val="20"/>
          <w:szCs w:val="20"/>
        </w:rPr>
        <w:t xml:space="preserve">constatations</w:t>
      </w:r>
      <w:r>
        <w:rPr>
          <w:rFonts w:ascii="Calibri" w:cs="Calibri" w:eastAsia="Calibri" w:hAnsi="Calibri"/>
          <w:color w:val="1A1A1A"/>
          <w:sz w:val="20"/>
          <w:szCs w:val="20"/>
        </w:rPr>
        <w:t xml:space="preserve"> » assorties d’observations et de recommandations, puis en assure le suivi. Exemple à citer : </w:t>
      </w:r>
      <w:r>
        <w:rPr>
          <w:rFonts w:ascii="Calibri" w:cs="Calibri" w:eastAsia="Calibri" w:hAnsi="Calibri"/>
          <w:color w:val="E91E63"/>
          <w:sz w:val="20"/>
          <w:szCs w:val="20"/>
        </w:rPr>
        <w:t xml:space="preserve">CDH, 22 octobre 2018, S. Yaker c. France, n° 2747/2016</w:t>
      </w:r>
      <w:r>
        <w:rPr>
          <w:rFonts w:ascii="Calibri" w:cs="Calibri" w:eastAsia="Calibri" w:hAnsi="Calibri"/>
          <w:color w:val="1A1A1A"/>
          <w:sz w:val="20"/>
          <w:szCs w:val="20"/>
        </w:rPr>
        <w:t xml:space="preserve"> — condamnation de la France pour violation de la liberté de religion et </w:t>
      </w:r>
      <w:r>
        <w:rPr>
          <w:rFonts w:ascii="Calibri" w:cs="Calibri" w:eastAsia="Calibri" w:hAnsi="Calibri"/>
          <w:b/>
          <w:bCs/>
          <w:color w:val="1A1A1A"/>
          <w:sz w:val="20"/>
          <w:szCs w:val="20"/>
        </w:rPr>
        <w:t xml:space="preserve">discrimination croisée</w:t>
      </w:r>
      <w:r>
        <w:rPr>
          <w:rFonts w:ascii="Calibri" w:cs="Calibri" w:eastAsia="Calibri" w:hAnsi="Calibri"/>
          <w:color w:val="1A1A1A"/>
          <w:sz w:val="20"/>
          <w:szCs w:val="20"/>
        </w:rPr>
        <w:t xml:space="preserve"> fondée à la fois sur le genre et la religion.</w:t>
      </w:r>
    </w:p>
    <w:p>
      <w:pPr>
        <w:pStyle w:val="ListParagraph"/>
        <w:numPr>
          <w:ilvl w:val="0"/>
          <w:numId w:val="2"/>
        </w:numPr>
        <w:spacing w:after="70" w:line="264"/>
        <w:jc w:val="both"/>
      </w:pPr>
      <w:r>
        <w:rPr>
          <w:rFonts w:ascii="Calibri" w:cs="Calibri" w:eastAsia="Calibri" w:hAnsi="Calibri"/>
          <w:b/>
          <w:bCs/>
          <w:color w:val="1A1A1A"/>
          <w:sz w:val="20"/>
          <w:szCs w:val="20"/>
        </w:rPr>
        <w:t xml:space="preserve">Une compétence peu acceptée</w:t>
      </w:r>
      <w:r>
        <w:rPr>
          <w:rFonts w:ascii="Calibri" w:cs="Calibri" w:eastAsia="Calibri" w:hAnsi="Calibri"/>
          <w:color w:val="1A1A1A"/>
          <w:sz w:val="20"/>
          <w:szCs w:val="20"/>
        </w:rPr>
        <w:t xml:space="preserve"> : seule une </w:t>
      </w:r>
      <w:r>
        <w:rPr>
          <w:rFonts w:ascii="Calibri" w:cs="Calibri" w:eastAsia="Calibri" w:hAnsi="Calibri"/>
          <w:b/>
          <w:bCs/>
          <w:color w:val="1A1A1A"/>
          <w:sz w:val="20"/>
          <w:szCs w:val="20"/>
        </w:rPr>
        <w:t xml:space="preserve">soixantaine d’États</w:t>
      </w:r>
      <w:r>
        <w:rPr>
          <w:rFonts w:ascii="Calibri" w:cs="Calibri" w:eastAsia="Calibri" w:hAnsi="Calibri"/>
          <w:color w:val="1A1A1A"/>
          <w:sz w:val="20"/>
          <w:szCs w:val="20"/>
        </w:rPr>
        <w:t xml:space="preserve"> ont accepté la clause facultative de l’</w:t>
      </w:r>
      <w:r>
        <w:rPr>
          <w:rFonts w:ascii="Calibri" w:cs="Calibri" w:eastAsia="Calibri" w:hAnsi="Calibri"/>
          <w:color w:val="1E88E5"/>
          <w:sz w:val="20"/>
          <w:szCs w:val="20"/>
        </w:rPr>
        <w:t xml:space="preserve">art. 14 de la Convention pour l’élimination de toutes les formes de discrimination raciale</w:t>
      </w:r>
      <w:r>
        <w:rPr>
          <w:rFonts w:ascii="Calibri" w:cs="Calibri" w:eastAsia="Calibri" w:hAnsi="Calibri"/>
          <w:color w:val="1A1A1A"/>
          <w:sz w:val="20"/>
          <w:szCs w:val="20"/>
        </w:rPr>
        <w:t xml:space="preserve">, reconnaissant la compétence du comité pour connaître de communications individuelles.</w:t>
      </w:r>
    </w:p>
    <w:p>
      <w:pPr>
        <w:pStyle w:val="ListParagraph"/>
        <w:numPr>
          <w:ilvl w:val="0"/>
          <w:numId w:val="2"/>
        </w:numPr>
        <w:spacing w:after="70" w:line="264"/>
        <w:jc w:val="both"/>
      </w:pPr>
      <w:r>
        <w:rPr>
          <w:rFonts w:ascii="Calibri" w:cs="Calibri" w:eastAsia="Calibri" w:hAnsi="Calibri"/>
          <w:b/>
          <w:bCs/>
          <w:color w:val="1A1A1A"/>
          <w:sz w:val="20"/>
          <w:szCs w:val="20"/>
        </w:rPr>
        <w:t xml:space="preserve">Les droits « programmatoires »</w:t>
      </w:r>
      <w:r>
        <w:rPr>
          <w:rFonts w:ascii="Calibri" w:cs="Calibri" w:eastAsia="Calibri" w:hAnsi="Calibri"/>
          <w:color w:val="1A1A1A"/>
          <w:sz w:val="20"/>
          <w:szCs w:val="20"/>
        </w:rPr>
        <w:t xml:space="preserve"> : les mesures à prendre en matière économique et sociale sont nombreuses et coûteuses, individuelles ou générales, et offrent des degrés de protection divers. Les comités se bornent alors à constater le « </w:t>
      </w:r>
      <w:r>
        <w:rPr>
          <w:rFonts w:ascii="Calibri" w:cs="Calibri" w:eastAsia="Calibri" w:hAnsi="Calibri"/>
          <w:i/>
          <w:iCs/>
          <w:color w:val="1A1A1A"/>
          <w:sz w:val="20"/>
          <w:szCs w:val="20"/>
        </w:rPr>
        <w:t xml:space="preserve">caractère suffisant et adéquat des mesures tout en tenant compte du contexte</w:t>
      </w:r>
      <w:r>
        <w:rPr>
          <w:rFonts w:ascii="Calibri" w:cs="Calibri" w:eastAsia="Calibri" w:hAnsi="Calibri"/>
          <w:color w:val="1A1A1A"/>
          <w:sz w:val="20"/>
          <w:szCs w:val="20"/>
        </w:rPr>
        <w:t xml:space="preserve"> ». Contrepoids doctrinal : selon les </w:t>
      </w:r>
      <w:r>
        <w:rPr>
          <w:rFonts w:ascii="Calibri" w:cs="Calibri" w:eastAsia="Calibri" w:hAnsi="Calibri"/>
          <w:color w:val="2E7D32"/>
          <w:sz w:val="20"/>
          <w:szCs w:val="20"/>
        </w:rPr>
        <w:t xml:space="preserve">Principes de Limburg</w:t>
      </w:r>
      <w:r>
        <w:rPr>
          <w:rFonts w:ascii="Calibri" w:cs="Calibri" w:eastAsia="Calibri" w:hAnsi="Calibri"/>
          <w:color w:val="1A1A1A"/>
          <w:sz w:val="20"/>
          <w:szCs w:val="20"/>
        </w:rPr>
        <w:t xml:space="preserve">, les États doivent assurer un </w:t>
      </w:r>
      <w:r>
        <w:rPr>
          <w:rFonts w:ascii="Calibri" w:cs="Calibri" w:eastAsia="Calibri" w:hAnsi="Calibri"/>
          <w:b/>
          <w:bCs/>
          <w:color w:val="1A1A1A"/>
          <w:sz w:val="20"/>
          <w:szCs w:val="20"/>
        </w:rPr>
        <w:t xml:space="preserve">minimum de protection</w:t>
      </w:r>
      <w:r>
        <w:rPr>
          <w:rFonts w:ascii="Calibri" w:cs="Calibri" w:eastAsia="Calibri" w:hAnsi="Calibri"/>
          <w:color w:val="1A1A1A"/>
          <w:sz w:val="20"/>
          <w:szCs w:val="20"/>
        </w:rPr>
        <w:t xml:space="preserve"> de ces droits, quel que soit leur niveau économique, la réalisation pleine et entière du Pacte étant progressive — </w:t>
      </w:r>
      <w:r>
        <w:rPr>
          <w:rFonts w:ascii="Calibri" w:cs="Calibri" w:eastAsia="Calibri" w:hAnsi="Calibri"/>
          <w:color w:val="2E7D32"/>
          <w:sz w:val="20"/>
          <w:szCs w:val="20"/>
        </w:rPr>
        <w:t xml:space="preserve">« The Limburg Principles on the Implementation of the International Covenant on economic, social and cultural rights », HRQ, 1987, vol. 9, pp. 122-135</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Les observations générales</w:t>
      </w:r>
    </w:p>
    <w:p>
      <w:pPr>
        <w:pStyle w:val="ListParagraph"/>
        <w:numPr>
          <w:ilvl w:val="0"/>
          <w:numId w:val="2"/>
        </w:numPr>
        <w:spacing w:after="70" w:line="264"/>
        <w:jc w:val="both"/>
      </w:pPr>
      <w:r>
        <w:rPr>
          <w:rFonts w:ascii="Calibri" w:cs="Calibri" w:eastAsia="Calibri" w:hAnsi="Calibri"/>
          <w:color w:val="1A1A1A"/>
          <w:sz w:val="20"/>
          <w:szCs w:val="20"/>
        </w:rPr>
        <w:t xml:space="preserve">Également appelées « recommandations générales » pour le comité relatif à la discrimination à l’égard des femmes, elles </w:t>
      </w:r>
      <w:r>
        <w:rPr>
          <w:rFonts w:ascii="Calibri" w:cs="Calibri" w:eastAsia="Calibri" w:hAnsi="Calibri"/>
          <w:b/>
          <w:bCs/>
          <w:color w:val="1A1A1A"/>
          <w:sz w:val="20"/>
          <w:szCs w:val="20"/>
        </w:rPr>
        <w:t xml:space="preserve">analysent et détaillent le contenu</w:t>
      </w:r>
      <w:r>
        <w:rPr>
          <w:rFonts w:ascii="Calibri" w:cs="Calibri" w:eastAsia="Calibri" w:hAnsi="Calibri"/>
          <w:color w:val="1A1A1A"/>
          <w:sz w:val="20"/>
          <w:szCs w:val="20"/>
        </w:rPr>
        <w:t xml:space="preserve"> de la convention de référence afin de clarifier et développer les obligations des États : un </w:t>
      </w:r>
      <w:r>
        <w:rPr>
          <w:rFonts w:ascii="Calibri" w:cs="Calibri" w:eastAsia="Calibri" w:hAnsi="Calibri"/>
          <w:b/>
          <w:bCs/>
          <w:color w:val="1A1A1A"/>
          <w:sz w:val="20"/>
          <w:szCs w:val="20"/>
        </w:rPr>
        <w:t xml:space="preserve">éclairage essentiel</w:t>
      </w:r>
      <w:r>
        <w:rPr>
          <w:rFonts w:ascii="Calibri" w:cs="Calibri" w:eastAsia="Calibri" w:hAnsi="Calibri"/>
          <w:color w:val="1A1A1A"/>
          <w:sz w:val="20"/>
          <w:szCs w:val="20"/>
        </w:rPr>
        <w:t xml:space="preserve"> sur la manière d’interpréter les dispositions. Le Comité des droits de l’homme a été le premier à en formuler à partir des années 1980, mais elles se sont particulièrement développées à partir des années 1990.</w:t>
      </w:r>
    </w:p>
    <w:p>
      <w:pPr>
        <w:pStyle w:val="ListParagraph"/>
        <w:numPr>
          <w:ilvl w:val="0"/>
          <w:numId w:val="2"/>
        </w:numPr>
        <w:spacing w:after="70" w:line="264"/>
        <w:jc w:val="both"/>
      </w:pPr>
      <w:r>
        <w:rPr>
          <w:rFonts w:ascii="Calibri" w:cs="Calibri" w:eastAsia="Calibri" w:hAnsi="Calibri"/>
          <w:color w:val="1A1A1A"/>
          <w:sz w:val="20"/>
          <w:szCs w:val="20"/>
        </w:rPr>
        <w:t xml:space="preserve">Exemples : </w:t>
      </w:r>
      <w:r>
        <w:rPr>
          <w:rFonts w:ascii="Calibri" w:cs="Calibri" w:eastAsia="Calibri" w:hAnsi="Calibri"/>
          <w:color w:val="2E7D32"/>
          <w:sz w:val="20"/>
          <w:szCs w:val="20"/>
        </w:rPr>
        <w:t xml:space="preserve">CDH, Observation générale n° 34 sur l’article 19 : Liberté d’opinion et liberté d’expression, 29 juillet 2011, CCPR/C.GC.34</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CDH, Observation générale n° 36 sur l’article 6 : Droit à la vie, 3 septembre 2019</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CDH, Observation générale n° 37 sur l’article 21 : Droit de réunion pacifique, 17 septembre 2020</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CDESC, Observation générale n° 25 sur l’article 15 : La science et les droits économiques, sociaux et culturels, 30 avril 2020, E/C.12/GC.25</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CDESC, Observation générale n° 24 sur les obligations des États dans le contexte des activités des entreprises, 10 août 2017, E/C.12/GC.24</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3.4. Les procédures d’enquête et le Sous-comité de prévention</w:t>
      </w:r>
    </w:p>
    <w:p>
      <w:pPr>
        <w:pStyle w:val="ListParagraph"/>
        <w:numPr>
          <w:ilvl w:val="0"/>
          <w:numId w:val="2"/>
        </w:numPr>
        <w:spacing w:after="70" w:line="264"/>
        <w:jc w:val="both"/>
      </w:pPr>
      <w:r>
        <w:rPr>
          <w:rFonts w:ascii="Calibri" w:cs="Calibri" w:eastAsia="Calibri" w:hAnsi="Calibri"/>
          <w:b/>
          <w:bCs/>
          <w:color w:val="1A1A1A"/>
          <w:sz w:val="20"/>
          <w:szCs w:val="20"/>
        </w:rPr>
        <w:t xml:space="preserve">Enquêtes</w:t>
      </w:r>
      <w:r>
        <w:rPr>
          <w:rFonts w:ascii="Calibri" w:cs="Calibri" w:eastAsia="Calibri" w:hAnsi="Calibri"/>
          <w:color w:val="1A1A1A"/>
          <w:sz w:val="20"/>
          <w:szCs w:val="20"/>
        </w:rPr>
        <w:t xml:space="preserve"> : certains comités disposent d’un pouvoir d’enquête, </w:t>
      </w:r>
      <w:r>
        <w:rPr>
          <w:rFonts w:ascii="Calibri" w:cs="Calibri" w:eastAsia="Calibri" w:hAnsi="Calibri"/>
          <w:b/>
          <w:bCs/>
          <w:color w:val="1A1A1A"/>
          <w:sz w:val="20"/>
          <w:szCs w:val="20"/>
        </w:rPr>
        <w:t xml:space="preserve">expressément soumis au consentement de l’État</w:t>
      </w:r>
      <w:r>
        <w:rPr>
          <w:rFonts w:ascii="Calibri" w:cs="Calibri" w:eastAsia="Calibri" w:hAnsi="Calibri"/>
          <w:color w:val="1A1A1A"/>
          <w:sz w:val="20"/>
          <w:szCs w:val="20"/>
        </w:rPr>
        <w:t xml:space="preserve">, lorsqu’existent des informations et renseignements crédibles selon lesquels l’État porte une </w:t>
      </w:r>
      <w:r>
        <w:rPr>
          <w:rFonts w:ascii="Calibri" w:cs="Calibri" w:eastAsia="Calibri" w:hAnsi="Calibri"/>
          <w:b/>
          <w:bCs/>
          <w:color w:val="1A1A1A"/>
          <w:sz w:val="20"/>
          <w:szCs w:val="20"/>
        </w:rPr>
        <w:t xml:space="preserve">atteinte grave ou systématique</w:t>
      </w:r>
      <w:r>
        <w:rPr>
          <w:rFonts w:ascii="Calibri" w:cs="Calibri" w:eastAsia="Calibri" w:hAnsi="Calibri"/>
          <w:color w:val="1A1A1A"/>
          <w:sz w:val="20"/>
          <w:szCs w:val="20"/>
        </w:rPr>
        <w:t xml:space="preserve"> à l’un des droits protégés. Le comité charge un ou plusieurs de ses membres d’effectuer l’enquête, qui peut impliquer, avec l’accord de l’État partie, une </w:t>
      </w:r>
      <w:r>
        <w:rPr>
          <w:rFonts w:ascii="Calibri" w:cs="Calibri" w:eastAsia="Calibri" w:hAnsi="Calibri"/>
          <w:b/>
          <w:bCs/>
          <w:color w:val="1A1A1A"/>
          <w:sz w:val="20"/>
          <w:szCs w:val="20"/>
        </w:rPr>
        <w:t xml:space="preserve">visite sur le territoire</w:t>
      </w:r>
      <w:r>
        <w:rPr>
          <w:rFonts w:ascii="Calibri" w:cs="Calibri" w:eastAsia="Calibri" w:hAnsi="Calibri"/>
          <w:color w:val="1A1A1A"/>
          <w:sz w:val="20"/>
          <w:szCs w:val="20"/>
        </w:rPr>
        <w:t xml:space="preserve">. Compétence proposée par le CDESC, le Comité contre la torture, le Comité des disparitions forcées, le Comité des droits des personnes handicapées, le Comité des droits de l’enfant, ainsi que par le Comité pour l’élimination de la discrimination à l’égard des femmes. </w:t>
      </w:r>
      <w:r>
        <w:rPr>
          <w:rFonts w:ascii="Calibri" w:cs="Calibri" w:eastAsia="Calibri" w:hAnsi="Calibri"/>
          <w:color w:val="1E88E5"/>
          <w:sz w:val="20"/>
          <w:szCs w:val="20"/>
        </w:rPr>
        <w:t xml:space="preserve">Art. 34 de la Convention sur les disparitions forcées</w:t>
      </w:r>
      <w:r>
        <w:rPr>
          <w:rFonts w:ascii="Calibri" w:cs="Calibri" w:eastAsia="Calibri" w:hAnsi="Calibri"/>
          <w:color w:val="1A1A1A"/>
          <w:sz w:val="20"/>
          <w:szCs w:val="20"/>
        </w:rPr>
        <w:t xml:space="preserve"> : lorsque le comité reçoit des informations indiquant une pratique généralisée ou systématique, il peut porter la question, </w:t>
      </w:r>
      <w:r>
        <w:rPr>
          <w:rFonts w:ascii="Calibri" w:cs="Calibri" w:eastAsia="Calibri" w:hAnsi="Calibri"/>
          <w:b/>
          <w:bCs/>
          <w:color w:val="1A1A1A"/>
          <w:sz w:val="20"/>
          <w:szCs w:val="20"/>
        </w:rPr>
        <w:t xml:space="preserve">en urgence</w:t>
      </w:r>
      <w:r>
        <w:rPr>
          <w:rFonts w:ascii="Calibri" w:cs="Calibri" w:eastAsia="Calibri" w:hAnsi="Calibri"/>
          <w:color w:val="1A1A1A"/>
          <w:sz w:val="20"/>
          <w:szCs w:val="20"/>
        </w:rPr>
        <w:t xml:space="preserve">, à l’attention de l’Assemblée générale des Nations unies par l’intermédiaire du Secrétaire général. Le Comité sur les disparitions forcées peut en outre être saisi en urgence par les proches d’une personne disparue, leurs représentants légaux, leurs avocats ou toute personne ayant un intérêt légitime, d’une demande visant à </w:t>
      </w:r>
      <w:r>
        <w:rPr>
          <w:rFonts w:ascii="Calibri" w:cs="Calibri" w:eastAsia="Calibri" w:hAnsi="Calibri"/>
          <w:b/>
          <w:bCs/>
          <w:color w:val="1A1A1A"/>
          <w:sz w:val="20"/>
          <w:szCs w:val="20"/>
        </w:rPr>
        <w:t xml:space="preserve">chercher et retrouver</w:t>
      </w:r>
      <w:r>
        <w:rPr>
          <w:rFonts w:ascii="Calibri" w:cs="Calibri" w:eastAsia="Calibri" w:hAnsi="Calibri"/>
          <w:color w:val="1A1A1A"/>
          <w:sz w:val="20"/>
          <w:szCs w:val="20"/>
        </w:rPr>
        <w:t xml:space="preserve"> une personne disparue.</w:t>
      </w:r>
    </w:p>
    <w:p>
      <w:pPr>
        <w:pStyle w:val="ListParagraph"/>
        <w:numPr>
          <w:ilvl w:val="0"/>
          <w:numId w:val="2"/>
        </w:numPr>
        <w:spacing w:after="70" w:line="264"/>
        <w:jc w:val="both"/>
      </w:pPr>
      <w:r>
        <w:rPr>
          <w:rFonts w:ascii="Calibri" w:cs="Calibri" w:eastAsia="Calibri" w:hAnsi="Calibri"/>
          <w:b/>
          <w:bCs/>
          <w:color w:val="1A1A1A"/>
          <w:sz w:val="20"/>
          <w:szCs w:val="20"/>
        </w:rPr>
        <w:t xml:space="preserve">Le Sous-comité de prévention</w:t>
      </w:r>
      <w:r>
        <w:rPr>
          <w:rFonts w:ascii="Calibri" w:cs="Calibri" w:eastAsia="Calibri" w:hAnsi="Calibri"/>
          <w:color w:val="1A1A1A"/>
          <w:sz w:val="20"/>
          <w:szCs w:val="20"/>
        </w:rPr>
        <w:t xml:space="preserve"> : institué par le </w:t>
      </w:r>
      <w:r>
        <w:rPr>
          <w:rFonts w:ascii="Calibri" w:cs="Calibri" w:eastAsia="Calibri" w:hAnsi="Calibri"/>
          <w:color w:val="1E88E5"/>
          <w:sz w:val="20"/>
          <w:szCs w:val="20"/>
        </w:rPr>
        <w:t xml:space="preserve">Protocole facultatif à la Convention contre la torture, adopté le 18 décembre 2002</w:t>
      </w:r>
      <w:r>
        <w:rPr>
          <w:rFonts w:ascii="Calibri" w:cs="Calibri" w:eastAsia="Calibri" w:hAnsi="Calibri"/>
          <w:color w:val="1A1A1A"/>
          <w:sz w:val="20"/>
          <w:szCs w:val="20"/>
        </w:rPr>
        <w:t xml:space="preserve">, il tend à « </w:t>
      </w:r>
      <w:r>
        <w:rPr>
          <w:rFonts w:ascii="Calibri" w:cs="Calibri" w:eastAsia="Calibri" w:hAnsi="Calibri"/>
          <w:i/>
          <w:iCs/>
          <w:color w:val="1A1A1A"/>
          <w:sz w:val="20"/>
          <w:szCs w:val="20"/>
        </w:rPr>
        <w:t xml:space="preserve">l’établissement d’un système de visites régulières, effectuées par des organismes internationaux et nationaux indépendants, sur les lieux où se trouvent des personnes privées de liberté, afin de prévenir la torture et autres peines ou traitements cruels, inhumains ou dégradants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Composition : </w:t>
      </w:r>
      <w:r>
        <w:rPr>
          <w:rFonts w:ascii="Calibri" w:cs="Calibri" w:eastAsia="Calibri" w:hAnsi="Calibri"/>
          <w:b/>
          <w:bCs/>
          <w:color w:val="1A1A1A"/>
          <w:sz w:val="20"/>
          <w:szCs w:val="20"/>
        </w:rPr>
        <w:t xml:space="preserve">10 membres élus pour quatre ans</w:t>
      </w:r>
      <w:r>
        <w:rPr>
          <w:rFonts w:ascii="Calibri" w:cs="Calibri" w:eastAsia="Calibri" w:hAnsi="Calibri"/>
          <w:color w:val="1A1A1A"/>
          <w:sz w:val="20"/>
          <w:szCs w:val="20"/>
        </w:rPr>
        <w:t xml:space="preserve">, « de haute moralité ayant une expérience professionnelle reconnue dans le domaine de l’administration de la justice, en particulier en matière de droit pénal et d’administration pénitentiaire ou policière ». </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 trois volets : à l’égard des </w:t>
      </w:r>
      <w:r>
        <w:rPr>
          <w:rFonts w:ascii="Calibri" w:cs="Calibri" w:eastAsia="Calibri" w:hAnsi="Calibri"/>
          <w:b/>
          <w:bCs/>
          <w:color w:val="1A1A1A"/>
          <w:sz w:val="20"/>
          <w:szCs w:val="20"/>
        </w:rPr>
        <w:t xml:space="preserve">États membres</w:t>
      </w:r>
      <w:r>
        <w:rPr>
          <w:rFonts w:ascii="Calibri" w:cs="Calibri" w:eastAsia="Calibri" w:hAnsi="Calibri"/>
          <w:color w:val="1A1A1A"/>
          <w:sz w:val="20"/>
          <w:szCs w:val="20"/>
        </w:rPr>
        <w:t xml:space="preserve">, visites et recommandations ; à l’égard des </w:t>
      </w:r>
      <w:r>
        <w:rPr>
          <w:rFonts w:ascii="Calibri" w:cs="Calibri" w:eastAsia="Calibri" w:hAnsi="Calibri"/>
          <w:b/>
          <w:bCs/>
          <w:color w:val="1A1A1A"/>
          <w:sz w:val="20"/>
          <w:szCs w:val="20"/>
        </w:rPr>
        <w:t xml:space="preserve">mécanismes nationaux de prévention</w:t>
      </w:r>
      <w:r>
        <w:rPr>
          <w:rFonts w:ascii="Calibri" w:cs="Calibri" w:eastAsia="Calibri" w:hAnsi="Calibri"/>
          <w:color w:val="1A1A1A"/>
          <w:sz w:val="20"/>
          <w:szCs w:val="20"/>
        </w:rPr>
        <w:t xml:space="preserve">, avis, assistance et liens directs ; à l’égard des </w:t>
      </w:r>
      <w:r>
        <w:rPr>
          <w:rFonts w:ascii="Calibri" w:cs="Calibri" w:eastAsia="Calibri" w:hAnsi="Calibri"/>
          <w:b/>
          <w:bCs/>
          <w:color w:val="1A1A1A"/>
          <w:sz w:val="20"/>
          <w:szCs w:val="20"/>
        </w:rPr>
        <w:t xml:space="preserve">autres institutions</w:t>
      </w:r>
      <w:r>
        <w:rPr>
          <w:rFonts w:ascii="Calibri" w:cs="Calibri" w:eastAsia="Calibri" w:hAnsi="Calibri"/>
          <w:color w:val="1A1A1A"/>
          <w:sz w:val="20"/>
          <w:szCs w:val="20"/>
        </w:rPr>
        <w:t xml:space="preserve">, coopération aux niveaux international, régional et national.</w:t>
      </w:r>
    </w:p>
    <w:p>
      <w:pPr>
        <w:pStyle w:val="Heading2"/>
        <w:spacing w:after="120" w:before="280"/>
      </w:pPr>
      <w:r>
        <w:rPr>
          <w:rFonts w:ascii="Calibri" w:cs="Calibri" w:eastAsia="Calibri" w:hAnsi="Calibri"/>
          <w:b/>
          <w:bCs/>
          <w:color w:val="1A1A1A"/>
          <w:sz w:val="24"/>
          <w:szCs w:val="24"/>
        </w:rPr>
        <w:t xml:space="preserve">4. Débats doctrinaux &amp;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Le flou sur la valeur juridique</w:t>
      </w:r>
      <w:r>
        <w:rPr>
          <w:rFonts w:ascii="Calibri" w:cs="Calibri" w:eastAsia="Calibri" w:hAnsi="Calibri"/>
          <w:color w:val="1A1A1A"/>
          <w:sz w:val="20"/>
          <w:szCs w:val="20"/>
        </w:rPr>
        <w:t xml:space="preserve"> : les comités n’étant ni des juridictions, ni des organes interétatiques, il persiste un flou sur la valeur à accorder aux constatations et observations générales, puisque celles-ci sont l’œuvre d’</w:t>
      </w:r>
      <w:r>
        <w:rPr>
          <w:rFonts w:ascii="Calibri" w:cs="Calibri" w:eastAsia="Calibri" w:hAnsi="Calibri"/>
          <w:b/>
          <w:bCs/>
          <w:color w:val="1A1A1A"/>
          <w:sz w:val="20"/>
          <w:szCs w:val="20"/>
        </w:rPr>
        <w:t xml:space="preserve">experts et non de juges</w:t>
      </w:r>
      <w:r>
        <w:rPr>
          <w:rFonts w:ascii="Calibri" w:cs="Calibri" w:eastAsia="Calibri" w:hAnsi="Calibri"/>
          <w:color w:val="1A1A1A"/>
          <w:sz w:val="20"/>
          <w:szCs w:val="20"/>
        </w:rPr>
        <w:t xml:space="preserve"> et ne bénéficient pas de l’autorité de la chose jugée. Contrepoids : en s’engageant à respecter les dispositions et en reconnaissant la compétence du comité, les États doivent respecter leurs engagements internationaux </w:t>
      </w:r>
      <w:r>
        <w:rPr>
          <w:rFonts w:ascii="Calibri" w:cs="Calibri" w:eastAsia="Calibri" w:hAnsi="Calibri"/>
          <w:b/>
          <w:bCs/>
          <w:color w:val="1A1A1A"/>
          <w:sz w:val="20"/>
          <w:szCs w:val="20"/>
        </w:rPr>
        <w:t xml:space="preserve">de bonne foi</w:t>
      </w:r>
      <w:r>
        <w:rPr>
          <w:rFonts w:ascii="Calibri" w:cs="Calibri" w:eastAsia="Calibri" w:hAnsi="Calibri"/>
          <w:color w:val="1A1A1A"/>
          <w:sz w:val="20"/>
          <w:szCs w:val="20"/>
        </w:rPr>
        <w:t xml:space="preserve"> et donc coopérer avec les comités — </w:t>
      </w:r>
      <w:r>
        <w:rPr>
          <w:rFonts w:ascii="Calibri" w:cs="Calibri" w:eastAsia="Calibri" w:hAnsi="Calibri"/>
          <w:color w:val="2E7D32"/>
          <w:sz w:val="20"/>
          <w:szCs w:val="20"/>
        </w:rPr>
        <w:t xml:space="preserve">Julie Ferrero, « Faut-il prendre les Comités conventionnels au sérieux ? », RDLF, 2022, n° 10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conflit d’obligations</w:t>
      </w:r>
      <w:r>
        <w:rPr>
          <w:rFonts w:ascii="Calibri" w:cs="Calibri" w:eastAsia="Calibri" w:hAnsi="Calibri"/>
          <w:color w:val="1A1A1A"/>
          <w:sz w:val="20"/>
          <w:szCs w:val="20"/>
        </w:rPr>
        <w:t xml:space="preserve"> : la question est plus délicate en cas de </w:t>
      </w:r>
      <w:r>
        <w:rPr>
          <w:rFonts w:ascii="Calibri" w:cs="Calibri" w:eastAsia="Calibri" w:hAnsi="Calibri"/>
          <w:b/>
          <w:bCs/>
          <w:color w:val="1A1A1A"/>
          <w:sz w:val="20"/>
          <w:szCs w:val="20"/>
        </w:rPr>
        <w:t xml:space="preserve">conflit avec un autre organe international</w:t>
      </w:r>
      <w:r>
        <w:rPr>
          <w:rFonts w:ascii="Calibri" w:cs="Calibri" w:eastAsia="Calibri" w:hAnsi="Calibri"/>
          <w:color w:val="1A1A1A"/>
          <w:sz w:val="20"/>
          <w:szCs w:val="20"/>
        </w:rPr>
        <w:t xml:space="preserve">, notamment une cour régionale. Exemple le plus souvent mentionné : </w:t>
      </w:r>
      <w:r>
        <w:rPr>
          <w:rFonts w:ascii="Calibri" w:cs="Calibri" w:eastAsia="Calibri" w:hAnsi="Calibri"/>
          <w:color w:val="E91E63"/>
          <w:sz w:val="20"/>
          <w:szCs w:val="20"/>
        </w:rPr>
        <w:t xml:space="preserve">S.A.S. c. France</w:t>
      </w:r>
      <w:r>
        <w:rPr>
          <w:rFonts w:ascii="Calibri" w:cs="Calibri" w:eastAsia="Calibri" w:hAnsi="Calibri"/>
          <w:color w:val="1A1A1A"/>
          <w:sz w:val="20"/>
          <w:szCs w:val="20"/>
        </w:rPr>
        <w:t xml:space="preserve"> (2014) et </w:t>
      </w:r>
      <w:r>
        <w:rPr>
          <w:rFonts w:ascii="Calibri" w:cs="Calibri" w:eastAsia="Calibri" w:hAnsi="Calibri"/>
          <w:color w:val="E91E63"/>
          <w:sz w:val="20"/>
          <w:szCs w:val="20"/>
        </w:rPr>
        <w:t xml:space="preserve">S. Yaker c. France</w:t>
      </w:r>
      <w:r>
        <w:rPr>
          <w:rFonts w:ascii="Calibri" w:cs="Calibri" w:eastAsia="Calibri" w:hAnsi="Calibri"/>
          <w:color w:val="1A1A1A"/>
          <w:sz w:val="20"/>
          <w:szCs w:val="20"/>
        </w:rPr>
        <w:t xml:space="preserve"> (2018) sur l’interdiction de la dissimulation du visage dans l’espace public portée par la </w:t>
      </w:r>
      <w:r>
        <w:rPr>
          <w:rFonts w:ascii="Calibri" w:cs="Calibri" w:eastAsia="Calibri" w:hAnsi="Calibri"/>
          <w:color w:val="1E88E5"/>
          <w:sz w:val="20"/>
          <w:szCs w:val="20"/>
        </w:rPr>
        <w:t xml:space="preserve">loi du 10 octobre 2010</w:t>
      </w:r>
      <w:r>
        <w:rPr>
          <w:rFonts w:ascii="Calibri" w:cs="Calibri" w:eastAsia="Calibri" w:hAnsi="Calibri"/>
          <w:color w:val="1A1A1A"/>
          <w:sz w:val="20"/>
          <w:szCs w:val="20"/>
        </w:rPr>
        <w:t xml:space="preserve">. La Cour européenne a jugé l’atteinte justifiée par la notion de « </w:t>
      </w:r>
      <w:r>
        <w:rPr>
          <w:rFonts w:ascii="Calibri" w:cs="Calibri" w:eastAsia="Calibri" w:hAnsi="Calibri"/>
          <w:b/>
          <w:bCs/>
          <w:color w:val="1A1A1A"/>
          <w:sz w:val="20"/>
          <w:szCs w:val="20"/>
        </w:rPr>
        <w:t xml:space="preserve">vivre ensemble</w:t>
      </w:r>
      <w:r>
        <w:rPr>
          <w:rFonts w:ascii="Calibri" w:cs="Calibri" w:eastAsia="Calibri" w:hAnsi="Calibri"/>
          <w:color w:val="1A1A1A"/>
          <w:sz w:val="20"/>
          <w:szCs w:val="20"/>
        </w:rPr>
        <w:t xml:space="preserve"> » ; le Comité des droits de l’homme y a vu une violation du droit de manifester sa religion </w:t>
      </w:r>
      <w:r>
        <w:rPr>
          <w:rFonts w:ascii="Calibri" w:cs="Calibri" w:eastAsia="Calibri" w:hAnsi="Calibri"/>
          <w:b/>
          <w:bCs/>
          <w:color w:val="1A1A1A"/>
          <w:sz w:val="20"/>
          <w:szCs w:val="20"/>
        </w:rPr>
        <w:t xml:space="preserve">et</w:t>
      </w:r>
      <w:r>
        <w:rPr>
          <w:rFonts w:ascii="Calibri" w:cs="Calibri" w:eastAsia="Calibri" w:hAnsi="Calibri"/>
          <w:color w:val="1A1A1A"/>
          <w:sz w:val="20"/>
          <w:szCs w:val="20"/>
        </w:rPr>
        <w:t xml:space="preserve"> une discrimination croisée fondée à la fois sur la religion et la condition féminine. </w:t>
      </w:r>
      <w:r>
        <w:rPr>
          <w:rFonts w:ascii="Calibri" w:cs="Calibri" w:eastAsia="Calibri" w:hAnsi="Calibri"/>
          <w:b/>
          <w:bCs/>
          <w:color w:val="1A1A1A"/>
          <w:sz w:val="20"/>
          <w:szCs w:val="20"/>
        </w:rPr>
        <w:t xml:space="preserve">L’État français n’a pas suivi la constatation du Comité.</w:t>
      </w:r>
    </w:p>
    <w:p>
      <w:pPr>
        <w:pStyle w:val="ListParagraph"/>
        <w:numPr>
          <w:ilvl w:val="0"/>
          <w:numId w:val="2"/>
        </w:numPr>
        <w:spacing w:after="70" w:line="264"/>
        <w:jc w:val="both"/>
      </w:pPr>
      <w:r>
        <w:rPr>
          <w:rFonts w:ascii="Calibri" w:cs="Calibri" w:eastAsia="Calibri" w:hAnsi="Calibri"/>
          <w:b/>
          <w:bCs/>
          <w:color w:val="1A1A1A"/>
          <w:sz w:val="20"/>
          <w:szCs w:val="20"/>
        </w:rPr>
        <w:t xml:space="preserve">L’influence croissante</w:t>
      </w:r>
      <w:r>
        <w:rPr>
          <w:rFonts w:ascii="Calibri" w:cs="Calibri" w:eastAsia="Calibri" w:hAnsi="Calibri"/>
          <w:color w:val="1A1A1A"/>
          <w:sz w:val="20"/>
          <w:szCs w:val="20"/>
        </w:rPr>
        <w:t xml:space="preserve"> : il faut reconnaître une </w:t>
      </w:r>
      <w:r>
        <w:rPr>
          <w:rFonts w:ascii="Calibri" w:cs="Calibri" w:eastAsia="Calibri" w:hAnsi="Calibri"/>
          <w:b/>
          <w:bCs/>
          <w:color w:val="1A1A1A"/>
          <w:sz w:val="20"/>
          <w:szCs w:val="20"/>
        </w:rPr>
        <w:t xml:space="preserve">complémentarité</w:t>
      </w:r>
      <w:r>
        <w:rPr>
          <w:rFonts w:ascii="Calibri" w:cs="Calibri" w:eastAsia="Calibri" w:hAnsi="Calibri"/>
          <w:color w:val="1A1A1A"/>
          <w:sz w:val="20"/>
          <w:szCs w:val="20"/>
        </w:rPr>
        <w:t xml:space="preserve"> avec les autres mécanismes internationaux ou régionaux. Les juges régionaux (</w:t>
      </w:r>
      <w:r>
        <w:rPr>
          <w:rFonts w:ascii="Calibri" w:cs="Calibri" w:eastAsia="Calibri" w:hAnsi="Calibri"/>
          <w:color w:val="E91E63"/>
          <w:sz w:val="20"/>
          <w:szCs w:val="20"/>
        </w:rPr>
        <w:t xml:space="preserve">CEDH, 7 juillet 2011, Bayatyan c. Arménie, n° 23459/03</w:t>
      </w:r>
      <w:r>
        <w:rPr>
          <w:rFonts w:ascii="Calibri" w:cs="Calibri" w:eastAsia="Calibri" w:hAnsi="Calibri"/>
          <w:color w:val="1A1A1A"/>
          <w:sz w:val="20"/>
          <w:szCs w:val="20"/>
        </w:rPr>
        <w:t xml:space="preserve">) comme nationaux (</w:t>
      </w:r>
      <w:r>
        <w:rPr>
          <w:rFonts w:ascii="Calibri" w:cs="Calibri" w:eastAsia="Calibri" w:hAnsi="Calibri"/>
          <w:color w:val="E91E63"/>
          <w:sz w:val="20"/>
          <w:szCs w:val="20"/>
        </w:rPr>
        <w:t xml:space="preserve">Cass. crim., 5 octobre 2021, n° 21-81.062</w:t>
      </w:r>
      <w:r>
        <w:rPr>
          <w:rFonts w:ascii="Calibri" w:cs="Calibri" w:eastAsia="Calibri" w:hAnsi="Calibri"/>
          <w:color w:val="1A1A1A"/>
          <w:sz w:val="20"/>
          <w:szCs w:val="20"/>
        </w:rPr>
        <w:t xml:space="preserve">) se réfèrent de plus en plus au travail des comités.</w:t>
      </w:r>
    </w:p>
    <w:p>
      <w:pPr>
        <w:pStyle w:val="ListParagraph"/>
        <w:numPr>
          <w:ilvl w:val="0"/>
          <w:numId w:val="2"/>
        </w:numPr>
        <w:spacing w:after="70" w:line="264"/>
        <w:jc w:val="both"/>
      </w:pPr>
      <w:r>
        <w:rPr>
          <w:rFonts w:ascii="Calibri" w:cs="Calibri" w:eastAsia="Calibri" w:hAnsi="Calibri"/>
          <w:b/>
          <w:bCs/>
          <w:color w:val="1A1A1A"/>
          <w:sz w:val="20"/>
          <w:szCs w:val="20"/>
        </w:rPr>
        <w:t xml:space="preserve">Vers une Cour mondiale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Olivier de Frouville, « Pourquoi nous avons besoin d’une Cour des droits de l’Homme des Nations unies ? », in Les droits humains comparés, à la recherche de l’universalité des droits humains (dir. N. Aloupi, D. P. Fernández Arroyo, C. Kleiner, L.-A. Sicilianos et S. Touzé), Pedone, 2019, pp. 129-161</w:t>
      </w:r>
      <w:r>
        <w:rPr>
          <w:rFonts w:ascii="Calibri" w:cs="Calibri" w:eastAsia="Calibri" w:hAnsi="Calibri"/>
          <w:color w:val="1A1A1A"/>
          <w:sz w:val="20"/>
          <w:szCs w:val="20"/>
        </w:rPr>
        <w:t xml:space="preserve"> : certains auteurs font un parallèle entre les comités et une Cour mondiale, considérant qu’ils pourraient évoluer en ce sens ou travailler en collaboration avec elle pour rendre plus efficients les droits humains protégés.</w:t>
      </w:r>
    </w:p>
    <w:p>
      <w:pPr>
        <w:pStyle w:val="ListParagraph"/>
        <w:numPr>
          <w:ilvl w:val="0"/>
          <w:numId w:val="2"/>
        </w:numPr>
        <w:spacing w:after="70" w:line="264"/>
        <w:jc w:val="both"/>
      </w:pPr>
      <w:r>
        <w:rPr>
          <w:rFonts w:ascii="Calibri" w:cs="Calibri" w:eastAsia="Calibri" w:hAnsi="Calibri"/>
          <w:b/>
          <w:bCs/>
          <w:color w:val="1A1A1A"/>
          <w:sz w:val="20"/>
          <w:szCs w:val="20"/>
        </w:rPr>
        <w:t xml:space="preserve">Formule de conclusion</w:t>
      </w:r>
      <w:r>
        <w:rPr>
          <w:rFonts w:ascii="Calibri" w:cs="Calibri" w:eastAsia="Calibri" w:hAnsi="Calibri"/>
          <w:color w:val="1A1A1A"/>
          <w:sz w:val="20"/>
          <w:szCs w:val="20"/>
        </w:rPr>
        <w:t xml:space="preserve"> : les comités contribuent d’une manière certes </w:t>
      </w:r>
      <w:r>
        <w:rPr>
          <w:rFonts w:ascii="Calibri" w:cs="Calibri" w:eastAsia="Calibri" w:hAnsi="Calibri"/>
          <w:b/>
          <w:bCs/>
          <w:color w:val="1A1A1A"/>
          <w:sz w:val="20"/>
          <w:szCs w:val="20"/>
        </w:rPr>
        <w:t xml:space="preserve">souple, mais significative</w:t>
      </w:r>
      <w:r>
        <w:rPr>
          <w:rFonts w:ascii="Calibri" w:cs="Calibri" w:eastAsia="Calibri" w:hAnsi="Calibri"/>
          <w:color w:val="1A1A1A"/>
          <w:sz w:val="20"/>
          <w:szCs w:val="20"/>
        </w:rPr>
        <w:t xml:space="preserve">, au développement du droit international des droits humains ; leur fonction se rapproche de celle d’une juridiction internationale, mais en manque les attributs essentiels, ce qui limite leurs effets.</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Les constatations d’un comité lient-elles l’État ? »</w:t>
      </w:r>
      <w:r>
        <w:rPr>
          <w:rFonts w:ascii="Calibri" w:cs="Calibri" w:eastAsia="Calibri" w:hAnsi="Calibri"/>
          <w:color w:val="1A1A1A"/>
          <w:sz w:val="20"/>
          <w:szCs w:val="20"/>
        </w:rPr>
        <w:t xml:space="preserve"> — Non juridiquement : elles ne bénéficient pas de l’autorité de la chose jugée et aucune sanction n’est prévue. Mais l’État, en reconnaissant la compétence du comité, doit exécuter ses engagements </w:t>
      </w:r>
      <w:r>
        <w:rPr>
          <w:rFonts w:ascii="Calibri" w:cs="Calibri" w:eastAsia="Calibri" w:hAnsi="Calibri"/>
          <w:b/>
          <w:bCs/>
          <w:color w:val="1A1A1A"/>
          <w:sz w:val="20"/>
          <w:szCs w:val="20"/>
        </w:rPr>
        <w:t xml:space="preserve">de bonne foi</w:t>
      </w:r>
      <w:r>
        <w:rPr>
          <w:rFonts w:ascii="Calibri" w:cs="Calibri" w:eastAsia="Calibri" w:hAnsi="Calibri"/>
          <w:color w:val="1A1A1A"/>
          <w:sz w:val="20"/>
          <w:szCs w:val="20"/>
        </w:rPr>
        <w:t xml:space="preserve">. Illustrer par le refus français de suivre </w:t>
      </w:r>
      <w:r>
        <w:rPr>
          <w:rFonts w:ascii="Calibri" w:cs="Calibri" w:eastAsia="Calibri" w:hAnsi="Calibri"/>
          <w:color w:val="E91E63"/>
          <w:sz w:val="20"/>
          <w:szCs w:val="20"/>
        </w:rPr>
        <w:t xml:space="preserve">S. Yaker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Que faire en cas de conflit entre un comité onusien et une cour régionale ? »</w:t>
      </w:r>
      <w:r>
        <w:rPr>
          <w:rFonts w:ascii="Calibri" w:cs="Calibri" w:eastAsia="Calibri" w:hAnsi="Calibri"/>
          <w:color w:val="1A1A1A"/>
          <w:sz w:val="20"/>
          <w:szCs w:val="20"/>
        </w:rPr>
        <w:t xml:space="preserve"> — Il n’existe pas de règle de conflit. En pratique, le juge interne privilégie d’autres sources (</w:t>
      </w:r>
      <w:r>
        <w:rPr>
          <w:rFonts w:ascii="Calibri" w:cs="Calibri" w:eastAsia="Calibri" w:hAnsi="Calibri"/>
          <w:color w:val="E91E63"/>
          <w:sz w:val="20"/>
          <w:szCs w:val="20"/>
        </w:rPr>
        <w:t xml:space="preserve">Cass. rév., 10 décembre 2015</w:t>
      </w:r>
      <w:r>
        <w:rPr>
          <w:rFonts w:ascii="Calibri" w:cs="Calibri" w:eastAsia="Calibri" w:hAnsi="Calibri"/>
          <w:color w:val="1A1A1A"/>
          <w:sz w:val="20"/>
          <w:szCs w:val="20"/>
        </w:rPr>
        <w:t xml:space="preserve">) et l’État suit généralement la juridiction régionale, dotée d’une force obligatoire. C’est l’argument le plus fort contre la thèse de la « justice universelle ».</w:t>
      </w:r>
    </w:p>
    <w:p>
      <w:pPr>
        <w:pStyle w:val="ListParagraph"/>
        <w:numPr>
          <w:ilvl w:val="0"/>
          <w:numId w:val="2"/>
        </w:numPr>
        <w:spacing w:after="70" w:line="264"/>
        <w:jc w:val="both"/>
      </w:pPr>
      <w:r>
        <w:rPr>
          <w:rFonts w:ascii="Calibri" w:cs="Calibri" w:eastAsia="Calibri" w:hAnsi="Calibri"/>
          <w:b/>
          <w:bCs/>
          <w:color w:val="1A1A1A"/>
          <w:sz w:val="20"/>
          <w:szCs w:val="20"/>
        </w:rPr>
        <w:t xml:space="preserve">« Quelle est la plus grande force des comités ? »</w:t>
      </w:r>
      <w:r>
        <w:rPr>
          <w:rFonts w:ascii="Calibri" w:cs="Calibri" w:eastAsia="Calibri" w:hAnsi="Calibri"/>
          <w:color w:val="1A1A1A"/>
          <w:sz w:val="20"/>
          <w:szCs w:val="20"/>
        </w:rPr>
        <w:t xml:space="preserve"> — Leur pouvoir </w:t>
      </w:r>
      <w:r>
        <w:rPr>
          <w:rFonts w:ascii="Calibri" w:cs="Calibri" w:eastAsia="Calibri" w:hAnsi="Calibri"/>
          <w:b/>
          <w:bCs/>
          <w:color w:val="1A1A1A"/>
          <w:sz w:val="20"/>
          <w:szCs w:val="20"/>
        </w:rPr>
        <w:t xml:space="preserve">interprétatif</w:t>
      </w:r>
      <w:r>
        <w:rPr>
          <w:rFonts w:ascii="Calibri" w:cs="Calibri" w:eastAsia="Calibri" w:hAnsi="Calibri"/>
          <w:color w:val="1A1A1A"/>
          <w:sz w:val="20"/>
          <w:szCs w:val="20"/>
        </w:rPr>
        <w:t xml:space="preserve">, exercé par les observations générales, qui constituent une part importante du développement d’une vision universelle des droits humains et irriguent la jurisprudence des cours régionales et des juges nationaux.</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Les comités onusiens de protection des droits humains : garants d’une justice universelle ou simples organes consultatifs ? » (sujet de dissertation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Faut-il une Cour mondiale des droits de l’homme ? » ; « L’effectivité du droit onusien des droits humains ».</w:t>
      </w:r>
    </w:p>
    <w:p>
      <w:pPr>
        <w:pStyle w:val="ListParagraph"/>
        <w:numPr>
          <w:ilvl w:val="0"/>
          <w:numId w:val="2"/>
        </w:numPr>
        <w:spacing w:after="70" w:line="264"/>
        <w:jc w:val="both"/>
      </w:pPr>
      <w:r>
        <w:rPr>
          <w:rFonts w:ascii="Calibri" w:cs="Calibri" w:eastAsia="Calibri" w:hAnsi="Calibri"/>
          <w:color w:val="1A1A1A"/>
          <w:sz w:val="20"/>
          <w:szCs w:val="20"/>
        </w:rPr>
        <w:t xml:space="preserve">« Les conflits d’obligations internationales » ; « Le contrôle des droits économiques, sociaux et culturels ».</w:t>
      </w:r>
    </w:p>
    <w:p>
      <w:pPr>
        <w:pStyle w:val="ListParagraph"/>
        <w:numPr>
          <w:ilvl w:val="0"/>
          <w:numId w:val="2"/>
        </w:numPr>
        <w:spacing w:after="70" w:line="264"/>
        <w:jc w:val="both"/>
      </w:pPr>
      <w:r>
        <w:rPr>
          <w:rFonts w:ascii="Calibri" w:cs="Calibri" w:eastAsia="Calibri" w:hAnsi="Calibri"/>
          <w:color w:val="1A1A1A"/>
          <w:sz w:val="20"/>
          <w:szCs w:val="20"/>
        </w:rPr>
        <w:t xml:space="preserve">« La prévention de la torture » ; « Le rôle interprétatif des organes de traité ».</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Comité ou Conseil des droits de l’homme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Comité</w:t>
      </w:r>
      <w:r>
        <w:rPr>
          <w:rFonts w:ascii="Calibri" w:cs="Calibri" w:eastAsia="Calibri" w:hAnsi="Calibri"/>
          <w:color w:val="1A1A1A"/>
          <w:sz w:val="20"/>
          <w:szCs w:val="20"/>
        </w:rPr>
        <w:t xml:space="preserve"> est un organe de traité composé d’experts surveillant le PIDCP ; le </w:t>
      </w:r>
      <w:r>
        <w:rPr>
          <w:rFonts w:ascii="Calibri" w:cs="Calibri" w:eastAsia="Calibri" w:hAnsi="Calibri"/>
          <w:b/>
          <w:bCs/>
          <w:color w:val="1A1A1A"/>
          <w:sz w:val="20"/>
          <w:szCs w:val="20"/>
        </w:rPr>
        <w:t xml:space="preserve">Conseil</w:t>
      </w:r>
      <w:r>
        <w:rPr>
          <w:rFonts w:ascii="Calibri" w:cs="Calibri" w:eastAsia="Calibri" w:hAnsi="Calibri"/>
          <w:color w:val="1A1A1A"/>
          <w:sz w:val="20"/>
          <w:szCs w:val="20"/>
        </w:rPr>
        <w:t xml:space="preserve"> est un organe intergouvernemental réunissant des États, chargé notamment de l’examen périodique universel, issu d’une réforme de 2006.</w:t>
      </w:r>
    </w:p>
    <w:p>
      <w:pPr>
        <w:pStyle w:val="ListParagraph"/>
        <w:numPr>
          <w:ilvl w:val="0"/>
          <w:numId w:val="2"/>
        </w:numPr>
        <w:spacing w:after="70" w:line="264"/>
        <w:jc w:val="both"/>
      </w:pPr>
      <w:r>
        <w:rPr>
          <w:rFonts w:ascii="Calibri" w:cs="Calibri" w:eastAsia="Calibri" w:hAnsi="Calibri"/>
          <w:b/>
          <w:bCs/>
          <w:color w:val="1A1A1A"/>
          <w:sz w:val="20"/>
          <w:szCs w:val="20"/>
        </w:rPr>
        <w:t xml:space="preserve">Q. Tous les comités ont-ils le même nombre de membres ?</w:t>
      </w:r>
      <w:r>
        <w:rPr>
          <w:rFonts w:ascii="Calibri" w:cs="Calibri" w:eastAsia="Calibri" w:hAnsi="Calibri"/>
          <w:color w:val="1A1A1A"/>
          <w:sz w:val="20"/>
          <w:szCs w:val="20"/>
        </w:rPr>
        <w:t xml:space="preserve"> — Non : 10 (torture, enfants, disparitions forcées), 23 (discrimination à l’égard des femmes), 14 (travailleurs migrants), 18 (les autres).</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convention n’a pas de protocole facultatif ?</w:t>
      </w:r>
      <w:r>
        <w:rPr>
          <w:rFonts w:ascii="Calibri" w:cs="Calibri" w:eastAsia="Calibri" w:hAnsi="Calibri"/>
          <w:color w:val="1A1A1A"/>
          <w:sz w:val="20"/>
          <w:szCs w:val="20"/>
        </w:rPr>
        <w:t xml:space="preserve"> — Celle sur la protection des droits de tous les </w:t>
      </w:r>
      <w:r>
        <w:rPr>
          <w:rFonts w:ascii="Calibri" w:cs="Calibri" w:eastAsia="Calibri" w:hAnsi="Calibri"/>
          <w:b/>
          <w:bCs/>
          <w:color w:val="1A1A1A"/>
          <w:sz w:val="20"/>
          <w:szCs w:val="20"/>
        </w:rPr>
        <w:t xml:space="preserve">travailleurs migrants</w:t>
      </w:r>
      <w:r>
        <w:rPr>
          <w:rFonts w:ascii="Calibri" w:cs="Calibri" w:eastAsia="Calibri" w:hAnsi="Calibri"/>
          <w:color w:val="1A1A1A"/>
          <w:sz w:val="20"/>
          <w:szCs w:val="20"/>
        </w:rPr>
        <w:t xml:space="preserve"> et des membres de leur famille.</w:t>
      </w:r>
    </w:p>
    <w:p>
      <w:pPr>
        <w:pStyle w:val="ListParagraph"/>
        <w:numPr>
          <w:ilvl w:val="0"/>
          <w:numId w:val="2"/>
        </w:numPr>
        <w:spacing w:after="70" w:line="264"/>
        <w:jc w:val="both"/>
      </w:pPr>
      <w:r>
        <w:rPr>
          <w:rFonts w:ascii="Calibri" w:cs="Calibri" w:eastAsia="Calibri" w:hAnsi="Calibri"/>
          <w:b/>
          <w:bCs/>
          <w:color w:val="1A1A1A"/>
          <w:sz w:val="20"/>
          <w:szCs w:val="20"/>
        </w:rPr>
        <w:t xml:space="preserve">Q. Les comités peuvent-ils enquêter sur le territoire d’un État ?</w:t>
      </w:r>
      <w:r>
        <w:rPr>
          <w:rFonts w:ascii="Calibri" w:cs="Calibri" w:eastAsia="Calibri" w:hAnsi="Calibri"/>
          <w:color w:val="1A1A1A"/>
          <w:sz w:val="20"/>
          <w:szCs w:val="20"/>
        </w:rPr>
        <w:t xml:space="preserve"> — Oui, mais </w:t>
      </w:r>
      <w:r>
        <w:rPr>
          <w:rFonts w:ascii="Calibri" w:cs="Calibri" w:eastAsia="Calibri" w:hAnsi="Calibri"/>
          <w:b/>
          <w:bCs/>
          <w:color w:val="1A1A1A"/>
          <w:sz w:val="20"/>
          <w:szCs w:val="20"/>
        </w:rPr>
        <w:t xml:space="preserve">avec son accord</w:t>
      </w:r>
      <w:r>
        <w:rPr>
          <w:rFonts w:ascii="Calibri" w:cs="Calibri" w:eastAsia="Calibri" w:hAnsi="Calibri"/>
          <w:color w:val="1A1A1A"/>
          <w:sz w:val="20"/>
          <w:szCs w:val="20"/>
        </w:rPr>
        <w:t xml:space="preserve"> : le pouvoir d’enquête est expressément soumis au consentement de l’État.</w:t>
      </w:r>
    </w:p>
    <w:p>
      <w:pPr>
        <w:pStyle w:val="ListParagraph"/>
        <w:numPr>
          <w:ilvl w:val="0"/>
          <w:numId w:val="2"/>
        </w:numPr>
        <w:spacing w:after="70" w:line="264"/>
        <w:jc w:val="both"/>
      </w:pPr>
      <w:r>
        <w:rPr>
          <w:rFonts w:ascii="Calibri" w:cs="Calibri" w:eastAsia="Calibri" w:hAnsi="Calibri"/>
          <w:b/>
          <w:bCs/>
          <w:color w:val="1A1A1A"/>
          <w:sz w:val="20"/>
          <w:szCs w:val="20"/>
        </w:rPr>
        <w:t xml:space="preserve">Q. Les membres des comités représentent-ils leur État ?</w:t>
      </w:r>
      <w:r>
        <w:rPr>
          <w:rFonts w:ascii="Calibri" w:cs="Calibri" w:eastAsia="Calibri" w:hAnsi="Calibri"/>
          <w:color w:val="1A1A1A"/>
          <w:sz w:val="20"/>
          <w:szCs w:val="20"/>
        </w:rPr>
        <w:t xml:space="preserve"> — Non : ils siègent </w:t>
      </w:r>
      <w:r>
        <w:rPr>
          <w:rFonts w:ascii="Calibri" w:cs="Calibri" w:eastAsia="Calibri" w:hAnsi="Calibri"/>
          <w:b/>
          <w:bCs/>
          <w:color w:val="1A1A1A"/>
          <w:sz w:val="20"/>
          <w:szCs w:val="20"/>
        </w:rPr>
        <w:t xml:space="preserve">à titre individuel</w:t>
      </w:r>
      <w:r>
        <w:rPr>
          <w:rFonts w:ascii="Calibri" w:cs="Calibri" w:eastAsia="Calibri" w:hAnsi="Calibri"/>
          <w:color w:val="1A1A1A"/>
          <w:sz w:val="20"/>
          <w:szCs w:val="20"/>
        </w:rPr>
        <w:t xml:space="preserve">, sous le sceau de l’impartialité, même s’ils sont ressortissants des États parties et élus par eux.</w:t>
      </w:r>
    </w:p>
    <w:p>
      <w:pPr>
        <w:pStyle w:val="ListParagraph"/>
        <w:numPr>
          <w:ilvl w:val="0"/>
          <w:numId w:val="2"/>
        </w:numPr>
        <w:spacing w:after="70" w:line="264"/>
        <w:jc w:val="both"/>
      </w:pPr>
      <w:r>
        <w:rPr>
          <w:rFonts w:ascii="Calibri" w:cs="Calibri" w:eastAsia="Calibri" w:hAnsi="Calibri"/>
          <w:b/>
          <w:bCs/>
          <w:color w:val="1A1A1A"/>
          <w:sz w:val="20"/>
          <w:szCs w:val="20"/>
        </w:rPr>
        <w:t xml:space="preserve">Q. Le Sous-comité de prévention relève de quel comité ?</w:t>
      </w:r>
      <w:r>
        <w:rPr>
          <w:rFonts w:ascii="Calibri" w:cs="Calibri" w:eastAsia="Calibri" w:hAnsi="Calibri"/>
          <w:color w:val="1A1A1A"/>
          <w:sz w:val="20"/>
          <w:szCs w:val="20"/>
        </w:rPr>
        <w:t xml:space="preserve"> — Du </w:t>
      </w:r>
      <w:r>
        <w:rPr>
          <w:rFonts w:ascii="Calibri" w:cs="Calibri" w:eastAsia="Calibri" w:hAnsi="Calibri"/>
          <w:b/>
          <w:bCs/>
          <w:color w:val="1A1A1A"/>
          <w:sz w:val="20"/>
          <w:szCs w:val="20"/>
        </w:rPr>
        <w:t xml:space="preserve">Comité contre la torture</w:t>
      </w:r>
      <w:r>
        <w:rPr>
          <w:rFonts w:ascii="Calibri" w:cs="Calibri" w:eastAsia="Calibri" w:hAnsi="Calibri"/>
          <w:color w:val="1A1A1A"/>
          <w:sz w:val="20"/>
          <w:szCs w:val="20"/>
        </w:rPr>
        <w:t xml:space="preserve">, en vertu du Protocole facultatif du 18 décembre 2002 ; c’est ce même protocole qui impose aux États un mécanisme national de prévention — en France, le Contrôleur général des lieux de privation de liberté.</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22 — LA COUR EUROPÉENNE DES DROITS DE L’HOMME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E91E63"/>
          <w:sz w:val="20"/>
          <w:szCs w:val="20"/>
        </w:rPr>
        <w:t xml:space="preserve">CEDH, 13 juin 1979, Marckx c. Belgique, n° 6833/74</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La Convention est un instrument vivant à interpréter à la lumière des conditions de vie actuelles.</w:t>
      </w:r>
      <w:r>
        <w:rPr>
          <w:rFonts w:ascii="Calibri" w:cs="Calibri" w:eastAsia="Calibri" w:hAnsi="Calibri"/>
          <w:color w:val="1A1A1A"/>
          <w:sz w:val="20"/>
          <w:szCs w:val="20"/>
        </w:rPr>
        <w:t xml:space="preserve"> » Quatre ans plus tôt, </w:t>
      </w:r>
      <w:r>
        <w:rPr>
          <w:rFonts w:ascii="Calibri" w:cs="Calibri" w:eastAsia="Calibri" w:hAnsi="Calibri"/>
          <w:color w:val="E91E63"/>
          <w:sz w:val="20"/>
          <w:szCs w:val="20"/>
        </w:rPr>
        <w:t xml:space="preserve">Golder</w:t>
      </w:r>
      <w:r>
        <w:rPr>
          <w:rFonts w:ascii="Calibri" w:cs="Calibri" w:eastAsia="Calibri" w:hAnsi="Calibri"/>
          <w:color w:val="1A1A1A"/>
          <w:sz w:val="20"/>
          <w:szCs w:val="20"/>
        </w:rPr>
        <w:t xml:space="preserve"> avait déjà dégagé de l’article 6 un droit d’accès à un tribunal que le texte ne prévoyait pas.</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l’institution d’un organe juridictionnel permanent fait du système de la Convention un système </w:t>
      </w:r>
      <w:r>
        <w:rPr>
          <w:rFonts w:ascii="Calibri" w:cs="Calibri" w:eastAsia="Calibri" w:hAnsi="Calibri"/>
          <w:b/>
          <w:bCs/>
          <w:color w:val="1A1A1A"/>
          <w:sz w:val="20"/>
          <w:szCs w:val="20"/>
        </w:rPr>
        <w:t xml:space="preserve">particulièrement innovant</w:t>
      </w:r>
      <w:r>
        <w:rPr>
          <w:rFonts w:ascii="Calibri" w:cs="Calibri" w:eastAsia="Calibri" w:hAnsi="Calibri"/>
          <w:color w:val="1A1A1A"/>
          <w:sz w:val="20"/>
          <w:szCs w:val="20"/>
        </w:rPr>
        <w:t xml:space="preserve"> — les États ne sont pas seulement astreints par les obligations du texte, ils peuvent être </w:t>
      </w:r>
      <w:r>
        <w:rPr>
          <w:rFonts w:ascii="Calibri" w:cs="Calibri" w:eastAsia="Calibri" w:hAnsi="Calibri"/>
          <w:b/>
          <w:bCs/>
          <w:color w:val="1A1A1A"/>
          <w:sz w:val="20"/>
          <w:szCs w:val="20"/>
        </w:rPr>
        <w:t xml:space="preserve">condamnés</w:t>
      </w:r>
      <w:r>
        <w:rPr>
          <w:rFonts w:ascii="Calibri" w:cs="Calibri" w:eastAsia="Calibri" w:hAnsi="Calibri"/>
          <w:color w:val="1A1A1A"/>
          <w:sz w:val="20"/>
          <w:szCs w:val="20"/>
        </w:rPr>
        <w:t xml:space="preserve"> pour ne pas les avoir respectées.</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Créée en </w:t>
      </w:r>
      <w:r>
        <w:rPr>
          <w:rFonts w:ascii="Calibri" w:cs="Calibri" w:eastAsia="Calibri" w:hAnsi="Calibri"/>
          <w:b/>
          <w:bCs/>
          <w:color w:val="1A1A1A"/>
          <w:sz w:val="20"/>
          <w:szCs w:val="20"/>
        </w:rPr>
        <w:t xml:space="preserve">1959</w:t>
      </w:r>
      <w:r>
        <w:rPr>
          <w:rFonts w:ascii="Calibri" w:cs="Calibri" w:eastAsia="Calibri" w:hAnsi="Calibri"/>
          <w:color w:val="1A1A1A"/>
          <w:sz w:val="20"/>
          <w:szCs w:val="20"/>
        </w:rPr>
        <w:t xml:space="preserve">, la Cour est l’organe juridictionnel permanent chargé de contrôler le respect de la Convention et son </w:t>
      </w:r>
      <w:r>
        <w:rPr>
          <w:rFonts w:ascii="Calibri" w:cs="Calibri" w:eastAsia="Calibri" w:hAnsi="Calibri"/>
          <w:b/>
          <w:bCs/>
          <w:color w:val="1A1A1A"/>
          <w:sz w:val="20"/>
          <w:szCs w:val="20"/>
        </w:rPr>
        <w:t xml:space="preserve">interprète authentique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32</w:t>
      </w:r>
      <w:r>
        <w:rPr>
          <w:rFonts w:ascii="Calibri" w:cs="Calibri" w:eastAsia="Calibri" w:hAnsi="Calibri"/>
          <w:color w:val="1A1A1A"/>
          <w:sz w:val="20"/>
          <w:szCs w:val="20"/>
        </w:rPr>
        <w:t xml:space="preserve">). Quatre formations depuis le </w:t>
      </w:r>
      <w:r>
        <w:rPr>
          <w:rFonts w:ascii="Calibri" w:cs="Calibri" w:eastAsia="Calibri" w:hAnsi="Calibri"/>
          <w:color w:val="1E88E5"/>
          <w:sz w:val="20"/>
          <w:szCs w:val="20"/>
        </w:rPr>
        <w:t xml:space="preserve">Protocole n° 14</w:t>
      </w:r>
      <w:r>
        <w:rPr>
          <w:rFonts w:ascii="Calibri" w:cs="Calibri" w:eastAsia="Calibri" w:hAnsi="Calibri"/>
          <w:color w:val="1A1A1A"/>
          <w:sz w:val="20"/>
          <w:szCs w:val="20"/>
        </w:rPr>
        <w:t xml:space="preserve"> (2010) : </w:t>
      </w:r>
      <w:r>
        <w:rPr>
          <w:rFonts w:ascii="Calibri" w:cs="Calibri" w:eastAsia="Calibri" w:hAnsi="Calibri"/>
          <w:b/>
          <w:bCs/>
          <w:color w:val="1A1A1A"/>
          <w:sz w:val="20"/>
          <w:szCs w:val="20"/>
        </w:rPr>
        <w:t xml:space="preserve">juge unique</w:t>
      </w:r>
      <w:r>
        <w:rPr>
          <w:rFonts w:ascii="Calibri" w:cs="Calibri" w:eastAsia="Calibri" w:hAnsi="Calibri"/>
          <w:color w:val="1A1A1A"/>
          <w:sz w:val="20"/>
          <w:szCs w:val="20"/>
        </w:rPr>
        <w:t xml:space="preserve"> (requête manifestement irrecevable) ; </w:t>
      </w:r>
      <w:r>
        <w:rPr>
          <w:rFonts w:ascii="Calibri" w:cs="Calibri" w:eastAsia="Calibri" w:hAnsi="Calibri"/>
          <w:b/>
          <w:bCs/>
          <w:color w:val="1A1A1A"/>
          <w:sz w:val="20"/>
          <w:szCs w:val="20"/>
        </w:rPr>
        <w:t xml:space="preserve">comité de trois juges</w:t>
      </w:r>
      <w:r>
        <w:rPr>
          <w:rFonts w:ascii="Calibri" w:cs="Calibri" w:eastAsia="Calibri" w:hAnsi="Calibri"/>
          <w:color w:val="1A1A1A"/>
          <w:sz w:val="20"/>
          <w:szCs w:val="20"/>
        </w:rPr>
        <w:t xml:space="preserve"> (unanimité, jurisprudence bien établie) ; </w:t>
      </w:r>
      <w:r>
        <w:rPr>
          <w:rFonts w:ascii="Calibri" w:cs="Calibri" w:eastAsia="Calibri" w:hAnsi="Calibri"/>
          <w:b/>
          <w:bCs/>
          <w:color w:val="1A1A1A"/>
          <w:sz w:val="20"/>
          <w:szCs w:val="20"/>
        </w:rPr>
        <w:t xml:space="preserve">chambre de sept juges</w:t>
      </w:r>
      <w:r>
        <w:rPr>
          <w:rFonts w:ascii="Calibri" w:cs="Calibri" w:eastAsia="Calibri" w:hAnsi="Calibri"/>
          <w:color w:val="1A1A1A"/>
          <w:sz w:val="20"/>
          <w:szCs w:val="20"/>
        </w:rPr>
        <w:t xml:space="preserve"> (recevabilité et fond) ; </w:t>
      </w:r>
      <w:r>
        <w:rPr>
          <w:rFonts w:ascii="Calibri" w:cs="Calibri" w:eastAsia="Calibri" w:hAnsi="Calibri"/>
          <w:b/>
          <w:bCs/>
          <w:color w:val="1A1A1A"/>
          <w:sz w:val="20"/>
          <w:szCs w:val="20"/>
        </w:rPr>
        <w:t xml:space="preserve">Grande chambre de dix-sept juges</w:t>
      </w:r>
      <w:r>
        <w:rPr>
          <w:rFonts w:ascii="Calibri" w:cs="Calibri" w:eastAsia="Calibri" w:hAnsi="Calibri"/>
          <w:color w:val="1A1A1A"/>
          <w:sz w:val="20"/>
          <w:szCs w:val="20"/>
        </w:rPr>
        <w:t xml:space="preserve"> (dessaisissement, renvoi dans les trois mois, avis consultatifs).</w:t>
      </w:r>
    </w:p>
    <w:p>
      <w:pPr>
        <w:pStyle w:val="ListParagraph"/>
        <w:numPr>
          <w:ilvl w:val="0"/>
          <w:numId w:val="2"/>
        </w:numPr>
        <w:spacing w:after="70" w:line="264"/>
        <w:jc w:val="both"/>
      </w:pPr>
      <w:r>
        <w:rPr>
          <w:rFonts w:ascii="Calibri" w:cs="Calibri" w:eastAsia="Calibri" w:hAnsi="Calibri"/>
          <w:b/>
          <w:bCs/>
          <w:color w:val="1A1A1A"/>
          <w:sz w:val="20"/>
          <w:szCs w:val="20"/>
        </w:rPr>
        <w:t xml:space="preserve">Deux recours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interétatique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33</w:t>
      </w:r>
      <w:r>
        <w:rPr>
          <w:rFonts w:ascii="Calibri" w:cs="Calibri" w:eastAsia="Calibri" w:hAnsi="Calibri"/>
          <w:color w:val="1A1A1A"/>
          <w:sz w:val="20"/>
          <w:szCs w:val="20"/>
        </w:rPr>
        <w:t xml:space="preserve">) — infime part du contentieux — et </w:t>
      </w:r>
      <w:r>
        <w:rPr>
          <w:rFonts w:ascii="Calibri" w:cs="Calibri" w:eastAsia="Calibri" w:hAnsi="Calibri"/>
          <w:b/>
          <w:bCs/>
          <w:color w:val="1A1A1A"/>
          <w:sz w:val="20"/>
          <w:szCs w:val="20"/>
        </w:rPr>
        <w:t xml:space="preserve">individuel</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accepté par la France le </w:t>
      </w:r>
      <w:r>
        <w:rPr>
          <w:rFonts w:ascii="Calibri" w:cs="Calibri" w:eastAsia="Calibri" w:hAnsi="Calibri"/>
          <w:b/>
          <w:bCs/>
          <w:color w:val="1A1A1A"/>
          <w:sz w:val="20"/>
          <w:szCs w:val="20"/>
        </w:rPr>
        <w:t xml:space="preserve">2 octobre 1981</w:t>
      </w:r>
      <w:r>
        <w:rPr>
          <w:rFonts w:ascii="Calibri" w:cs="Calibri" w:eastAsia="Calibri" w:hAnsi="Calibri"/>
          <w:color w:val="1A1A1A"/>
          <w:sz w:val="20"/>
          <w:szCs w:val="20"/>
        </w:rPr>
        <w:t xml:space="preserve"> et rendu obligatoire pour toutes les Parties par le </w:t>
      </w:r>
      <w:r>
        <w:rPr>
          <w:rFonts w:ascii="Calibri" w:cs="Calibri" w:eastAsia="Calibri" w:hAnsi="Calibri"/>
          <w:color w:val="1E88E5"/>
          <w:sz w:val="20"/>
          <w:szCs w:val="20"/>
        </w:rPr>
        <w:t xml:space="preserve">Protocole n° 11</w:t>
      </w:r>
      <w:r>
        <w:rPr>
          <w:rFonts w:ascii="Calibri" w:cs="Calibri" w:eastAsia="Calibri" w:hAnsi="Calibri"/>
          <w:color w:val="1A1A1A"/>
          <w:sz w:val="20"/>
          <w:szCs w:val="20"/>
        </w:rPr>
        <w:t xml:space="preserve"> en 1998, qui fait disparaître la Commission.</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AP, 21 février 1975, Golder c. Royaume-Uni, n° 4451/70</w:t>
      </w:r>
      <w:r>
        <w:rPr>
          <w:rFonts w:ascii="Calibri" w:cs="Calibri" w:eastAsia="Calibri" w:hAnsi="Calibri"/>
          <w:color w:val="1A1A1A"/>
          <w:sz w:val="20"/>
          <w:szCs w:val="20"/>
        </w:rPr>
        <w:t xml:space="preserve"> : par l’interprétation téléologique, la Cour dégage un droit </w:t>
      </w:r>
      <w:r>
        <w:rPr>
          <w:rFonts w:ascii="Calibri" w:cs="Calibri" w:eastAsia="Calibri" w:hAnsi="Calibri"/>
          <w:b/>
          <w:bCs/>
          <w:color w:val="1A1A1A"/>
          <w:sz w:val="20"/>
          <w:szCs w:val="20"/>
        </w:rPr>
        <w:t xml:space="preserve">non expressément prévu</w:t>
      </w:r>
      <w:r>
        <w:rPr>
          <w:rFonts w:ascii="Calibri" w:cs="Calibri" w:eastAsia="Calibri" w:hAnsi="Calibri"/>
          <w:color w:val="1A1A1A"/>
          <w:sz w:val="20"/>
          <w:szCs w:val="20"/>
        </w:rPr>
        <w:t xml:space="preserve"> par le texte.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13 juin 1979, Marckx c. Belgique, n° 6833/74</w:t>
      </w:r>
      <w:r>
        <w:rPr>
          <w:rFonts w:ascii="Calibri" w:cs="Calibri" w:eastAsia="Calibri" w:hAnsi="Calibri"/>
          <w:color w:val="1A1A1A"/>
          <w:sz w:val="20"/>
          <w:szCs w:val="20"/>
        </w:rPr>
        <w:t xml:space="preserve"> : la Convention, </w:t>
      </w:r>
      <w:r>
        <w:rPr>
          <w:rFonts w:ascii="Calibri" w:cs="Calibri" w:eastAsia="Calibri" w:hAnsi="Calibri"/>
          <w:b/>
          <w:bCs/>
          <w:color w:val="1A1A1A"/>
          <w:sz w:val="20"/>
          <w:szCs w:val="20"/>
        </w:rPr>
        <w:t xml:space="preserve">instrument vivant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6 avril 2000, Thlimmenos c. Grèce, n° 34369/97</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n’étant </w:t>
      </w:r>
      <w:r>
        <w:rPr>
          <w:rFonts w:ascii="Calibri" w:cs="Calibri" w:eastAsia="Calibri" w:hAnsi="Calibri"/>
          <w:b/>
          <w:bCs/>
          <w:color w:val="1A1A1A"/>
          <w:sz w:val="20"/>
          <w:szCs w:val="20"/>
        </w:rPr>
        <w:t xml:space="preserve">ni indépendant ni autonome</w:t>
      </w:r>
      <w:r>
        <w:rPr>
          <w:rFonts w:ascii="Calibri" w:cs="Calibri" w:eastAsia="Calibri" w:hAnsi="Calibri"/>
          <w:color w:val="1A1A1A"/>
          <w:sz w:val="20"/>
          <w:szCs w:val="20"/>
        </w:rPr>
        <w:t xml:space="preserve">, il doit être combiné à un autre article — technique d’extension des garanties.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22 juin 2004, Broniowski c. Pologne, n° 31443/96</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arrêt pilote</w:t>
      </w:r>
      <w:r>
        <w:rPr>
          <w:rFonts w:ascii="Calibri" w:cs="Calibri" w:eastAsia="Calibri" w:hAnsi="Calibri"/>
          <w:color w:val="1A1A1A"/>
          <w:sz w:val="20"/>
          <w:szCs w:val="20"/>
        </w:rPr>
        <w:t xml:space="preserve"> — identification d’une violation structurelle ou systémique, gel des requêtes répétitives ; procédure codifiée en 2011 à l’</w:t>
      </w:r>
      <w:r>
        <w:rPr>
          <w:rFonts w:ascii="Calibri" w:cs="Calibri" w:eastAsia="Calibri" w:hAnsi="Calibri"/>
          <w:color w:val="1E88E5"/>
          <w:sz w:val="20"/>
          <w:szCs w:val="20"/>
        </w:rPr>
        <w:t xml:space="preserve">art. 61 du règlement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6 mars 2007, Scordino c. Italie (n° 3), n° 43662/98</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autorité de la chose interprétée</w:t>
      </w:r>
      <w:r>
        <w:rPr>
          <w:rFonts w:ascii="Calibri" w:cs="Calibri" w:eastAsia="Calibri" w:hAnsi="Calibri"/>
          <w:color w:val="1A1A1A"/>
          <w:sz w:val="20"/>
          <w:szCs w:val="20"/>
        </w:rPr>
        <w:t xml:space="preserve"> — les États ne doivent pas attendre d’être condamnés pour mettre leur droit interne en conformité.</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L’exécution des arrêts de la Cour européenne des droits de l’homme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force normative conséquente à l’égard des États parties</w:t>
      </w:r>
      <w:r>
        <w:rPr>
          <w:rFonts w:ascii="Calibri" w:cs="Calibri" w:eastAsia="Calibri" w:hAnsi="Calibri"/>
          <w:color w:val="1A1A1A"/>
          <w:sz w:val="20"/>
          <w:szCs w:val="20"/>
        </w:rPr>
        <w:t xml:space="preserve"> (A. La force obligatoire à l’encontre de l’État défendeur : </w:t>
      </w:r>
      <w:r>
        <w:rPr>
          <w:rFonts w:ascii="Calibri" w:cs="Calibri" w:eastAsia="Calibri" w:hAnsi="Calibri"/>
          <w:color w:val="1E88E5"/>
          <w:sz w:val="20"/>
          <w:szCs w:val="20"/>
        </w:rPr>
        <w:t xml:space="preserve">art. 46</w:t>
      </w:r>
      <w:r>
        <w:rPr>
          <w:rFonts w:ascii="Calibri" w:cs="Calibri" w:eastAsia="Calibri" w:hAnsi="Calibri"/>
          <w:color w:val="1A1A1A"/>
          <w:sz w:val="20"/>
          <w:szCs w:val="20"/>
        </w:rPr>
        <w:t xml:space="preserve">, surveillance du Comité des ministres, satisfaction équitable, plans d’action ; B. L’autorité interprétative à l’encontre des États non défendeurs : </w:t>
      </w:r>
      <w:r>
        <w:rPr>
          <w:rFonts w:ascii="Calibri" w:cs="Calibri" w:eastAsia="Calibri" w:hAnsi="Calibri"/>
          <w:color w:val="E91E63"/>
          <w:sz w:val="20"/>
          <w:szCs w:val="20"/>
        </w:rPr>
        <w:t xml:space="preserve">Scordino</w:t>
      </w:r>
      <w:r>
        <w:rPr>
          <w:rFonts w:ascii="Calibri" w:cs="Calibri" w:eastAsia="Calibri" w:hAnsi="Calibri"/>
          <w:color w:val="1A1A1A"/>
          <w:sz w:val="20"/>
          <w:szCs w:val="20"/>
        </w:rPr>
        <w:t xml:space="preserve">, la Convention comme élément constitutif de l’ordre public européen) / </w:t>
      </w:r>
      <w:r>
        <w:rPr>
          <w:rFonts w:ascii="Calibri" w:cs="Calibri" w:eastAsia="Calibri" w:hAnsi="Calibri"/>
          <w:b/>
          <w:bCs/>
          <w:color w:val="1A1A1A"/>
          <w:sz w:val="20"/>
          <w:szCs w:val="20"/>
        </w:rPr>
        <w:t xml:space="preserve">II. Une effectivité dépendante du bon vouloir des Hautes Parties contractantes</w:t>
      </w:r>
      <w:r>
        <w:rPr>
          <w:rFonts w:ascii="Calibri" w:cs="Calibri" w:eastAsia="Calibri" w:hAnsi="Calibri"/>
          <w:color w:val="1A1A1A"/>
          <w:sz w:val="20"/>
          <w:szCs w:val="20"/>
        </w:rPr>
        <w:t xml:space="preserve"> (A. L’absence de force exécutoire en droit interne ; B. Le risque de défiance : </w:t>
      </w:r>
      <w:r>
        <w:rPr>
          <w:rFonts w:ascii="Calibri" w:cs="Calibri" w:eastAsia="Calibri" w:hAnsi="Calibri"/>
          <w:color w:val="E91E63"/>
          <w:sz w:val="20"/>
          <w:szCs w:val="20"/>
        </w:rPr>
        <w:t xml:space="preserve">Hirst</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Greens et M.T.</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Burmych</w:t>
      </w:r>
      <w:r>
        <w:rPr>
          <w:rFonts w:ascii="Calibri" w:cs="Calibri" w:eastAsia="Calibri" w:hAnsi="Calibri"/>
          <w:color w:val="1A1A1A"/>
          <w:sz w:val="20"/>
          <w:szCs w:val="20"/>
        </w:rPr>
        <w:t xml:space="preserve">, la Russie, l’absence de pouvoir d’astreinte).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Cour européenne, interprète authentique de la Convention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interprétation enrichissante</w:t>
      </w:r>
      <w:r>
        <w:rPr>
          <w:rFonts w:ascii="Calibri" w:cs="Calibri" w:eastAsia="Calibri" w:hAnsi="Calibri"/>
          <w:color w:val="1A1A1A"/>
          <w:sz w:val="20"/>
          <w:szCs w:val="20"/>
        </w:rPr>
        <w:t xml:space="preserve"> (A. Notions autonomes et combinaison d’articles ; B. Droit international pertinent, interprétation évolutive, obligations positives) / </w:t>
      </w:r>
      <w:r>
        <w:rPr>
          <w:rFonts w:ascii="Calibri" w:cs="Calibri" w:eastAsia="Calibri" w:hAnsi="Calibri"/>
          <w:b/>
          <w:bCs/>
          <w:color w:val="1A1A1A"/>
          <w:sz w:val="20"/>
          <w:szCs w:val="20"/>
        </w:rPr>
        <w:t xml:space="preserve">II. Une interprétation modérée</w:t>
      </w:r>
      <w:r>
        <w:rPr>
          <w:rFonts w:ascii="Calibri" w:cs="Calibri" w:eastAsia="Calibri" w:hAnsi="Calibri"/>
          <w:color w:val="1A1A1A"/>
          <w:sz w:val="20"/>
          <w:szCs w:val="20"/>
        </w:rPr>
        <w:t xml:space="preserve"> (A. Les concepts modérateurs : subsidiarité, épuisement des voies de recours, absence de quatrième instance ; B. La marge nationale d’appréciation, le « fardeau excessif » et les appréciations à la baisse : </w:t>
      </w:r>
      <w:r>
        <w:rPr>
          <w:rFonts w:ascii="Calibri" w:cs="Calibri" w:eastAsia="Calibri" w:hAnsi="Calibri"/>
          <w:color w:val="E91E63"/>
          <w:sz w:val="20"/>
          <w:szCs w:val="20"/>
        </w:rPr>
        <w:t xml:space="preserve">Osman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FNASS</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La Cour ne condamne jamais les individus</w:t>
      </w:r>
      <w:r>
        <w:rPr>
          <w:rFonts w:ascii="Calibri" w:cs="Calibri" w:eastAsia="Calibri" w:hAnsi="Calibri"/>
          <w:color w:val="1A1A1A"/>
          <w:sz w:val="20"/>
          <w:szCs w:val="20"/>
        </w:rPr>
        <w:t xml:space="preserve"> : elle n’a vocation qu’à se prononcer sur le comportement des </w:t>
      </w:r>
      <w:r>
        <w:rPr>
          <w:rFonts w:ascii="Calibri" w:cs="Calibri" w:eastAsia="Calibri" w:hAnsi="Calibri"/>
          <w:b/>
          <w:bCs/>
          <w:color w:val="1A1A1A"/>
          <w:sz w:val="20"/>
          <w:szCs w:val="20"/>
        </w:rPr>
        <w:t xml:space="preserve">États</w:t>
      </w:r>
      <w:r>
        <w:rPr>
          <w:rFonts w:ascii="Calibri" w:cs="Calibri" w:eastAsia="Calibri" w:hAnsi="Calibri"/>
          <w:color w:val="1A1A1A"/>
          <w:sz w:val="20"/>
          <w:szCs w:val="20"/>
        </w:rPr>
        <w:t xml:space="preserve">. Dans un litige interindividuel, ce n’est pas le comportement du particulier qui entraîne la violation, mais </w:t>
      </w:r>
      <w:r>
        <w:rPr>
          <w:rFonts w:ascii="Calibri" w:cs="Calibri" w:eastAsia="Calibri" w:hAnsi="Calibri"/>
          <w:b/>
          <w:bCs/>
          <w:color w:val="1A1A1A"/>
          <w:sz w:val="20"/>
          <w:szCs w:val="20"/>
        </w:rPr>
        <w:t xml:space="preserve">l’incapacité de l’État</w:t>
      </w:r>
      <w:r>
        <w:rPr>
          <w:rFonts w:ascii="Calibri" w:cs="Calibri" w:eastAsia="Calibri" w:hAnsi="Calibri"/>
          <w:color w:val="1A1A1A"/>
          <w:sz w:val="20"/>
          <w:szCs w:val="20"/>
        </w:rPr>
        <w:t xml:space="preserve"> à faire respecter la Convention.</w:t>
      </w:r>
    </w:p>
    <w:p>
      <w:pPr>
        <w:pStyle w:val="ListParagraph"/>
        <w:numPr>
          <w:ilvl w:val="0"/>
          <w:numId w:val="2"/>
        </w:numPr>
        <w:spacing w:after="70" w:line="264"/>
        <w:jc w:val="both"/>
      </w:pPr>
      <w:r>
        <w:rPr>
          <w:rFonts w:ascii="Calibri" w:cs="Calibri" w:eastAsia="Calibri" w:hAnsi="Calibri"/>
          <w:b/>
          <w:bCs/>
          <w:color w:val="1A1A1A"/>
          <w:sz w:val="20"/>
          <w:szCs w:val="20"/>
        </w:rPr>
        <w:t xml:space="preserve">Les arrêts sont dépourvus de force exécutoire automatique en droit interne</w:t>
      </w:r>
      <w:r>
        <w:rPr>
          <w:rFonts w:ascii="Calibri" w:cs="Calibri" w:eastAsia="Calibri" w:hAnsi="Calibri"/>
          <w:color w:val="1A1A1A"/>
          <w:sz w:val="20"/>
          <w:szCs w:val="20"/>
        </w:rPr>
        <w:t xml:space="preserve"> : l’État doit se faire le relais de la Cour et adopter les mesures permettant de les exécuter. C’est le point de départ obligé de tout sujet sur l’exécution.</w:t>
      </w:r>
    </w:p>
    <w:p>
      <w:pPr>
        <w:pStyle w:val="ListParagraph"/>
        <w:numPr>
          <w:ilvl w:val="0"/>
          <w:numId w:val="2"/>
        </w:numPr>
        <w:spacing w:after="70" w:line="264"/>
        <w:jc w:val="both"/>
      </w:pPr>
      <w:r>
        <w:rPr>
          <w:rFonts w:ascii="Calibri" w:cs="Calibri" w:eastAsia="Calibri" w:hAnsi="Calibri"/>
          <w:b/>
          <w:bCs/>
          <w:color w:val="1A1A1A"/>
          <w:sz w:val="20"/>
          <w:szCs w:val="20"/>
        </w:rPr>
        <w:t xml:space="preserve">L’</w:t>
      </w:r>
      <w:r>
        <w:rPr>
          <w:rFonts w:ascii="Calibri" w:cs="Calibri" w:eastAsia="Calibri" w:hAnsi="Calibri"/>
          <w:b/>
          <w:bCs/>
          <w:color w:val="1E88E5"/>
          <w:sz w:val="20"/>
          <w:szCs w:val="20"/>
        </w:rPr>
        <w:t xml:space="preserve">art. 14</w:t>
      </w:r>
      <w:r>
        <w:rPr>
          <w:rFonts w:ascii="Calibri" w:cs="Calibri" w:eastAsia="Calibri" w:hAnsi="Calibri"/>
          <w:b/>
          <w:bCs/>
          <w:color w:val="1A1A1A"/>
          <w:sz w:val="20"/>
          <w:szCs w:val="20"/>
        </w:rPr>
        <w:t xml:space="preserve"> n’est pas autonome</w:t>
      </w:r>
      <w:r>
        <w:rPr>
          <w:rFonts w:ascii="Calibri" w:cs="Calibri" w:eastAsia="Calibri" w:hAnsi="Calibri"/>
          <w:color w:val="1A1A1A"/>
          <w:sz w:val="20"/>
          <w:szCs w:val="20"/>
        </w:rPr>
        <w:t xml:space="preserve"> : il ne s’applique qu’en combinaison avec un autre article de la Convention. L’interdiction </w:t>
      </w:r>
      <w:r>
        <w:rPr>
          <w:rFonts w:ascii="Calibri" w:cs="Calibri" w:eastAsia="Calibri" w:hAnsi="Calibri"/>
          <w:b/>
          <w:bCs/>
          <w:color w:val="1A1A1A"/>
          <w:sz w:val="20"/>
          <w:szCs w:val="20"/>
        </w:rPr>
        <w:t xml:space="preserve">générale et autonome</w:t>
      </w:r>
      <w:r>
        <w:rPr>
          <w:rFonts w:ascii="Calibri" w:cs="Calibri" w:eastAsia="Calibri" w:hAnsi="Calibri"/>
          <w:color w:val="1A1A1A"/>
          <w:sz w:val="20"/>
          <w:szCs w:val="20"/>
        </w:rPr>
        <w:t xml:space="preserve"> de la discrimination figure au </w:t>
      </w:r>
      <w:r>
        <w:rPr>
          <w:rFonts w:ascii="Calibri" w:cs="Calibri" w:eastAsia="Calibri" w:hAnsi="Calibri"/>
          <w:color w:val="1E88E5"/>
          <w:sz w:val="20"/>
          <w:szCs w:val="20"/>
        </w:rPr>
        <w:t xml:space="preserve">Protocole n° 12</w:t>
      </w:r>
      <w:r>
        <w:rPr>
          <w:rFonts w:ascii="Calibri" w:cs="Calibri" w:eastAsia="Calibri" w:hAnsi="Calibri"/>
          <w:color w:val="1A1A1A"/>
          <w:sz w:val="20"/>
          <w:szCs w:val="20"/>
        </w:rPr>
        <w:t xml:space="preserve">, que la France n’a pas signé.</w:t>
      </w:r>
    </w:p>
    <w:p>
      <w:r>
        <w:br w:type="page"/>
      </w:r>
    </w:p>
    <w:p>
      <w:pPr>
        <w:pStyle w:val="Heading2"/>
        <w:spacing w:after="120" w:before="280"/>
      </w:pPr>
      <w:r>
        <w:rPr>
          <w:rFonts w:ascii="Calibri" w:cs="Calibri" w:eastAsia="Calibri" w:hAnsi="Calibri"/>
          <w:b/>
          <w:bCs/>
          <w:color w:val="1A1A1A"/>
          <w:sz w:val="24"/>
          <w:szCs w:val="24"/>
        </w:rPr>
        <w:t xml:space="preserve">1. Le fonctionnement institutionnel</w:t>
      </w:r>
    </w:p>
    <w:p>
      <w:pPr>
        <w:pStyle w:val="Heading3"/>
        <w:spacing w:after="90" w:before="200"/>
      </w:pPr>
      <w:r>
        <w:rPr>
          <w:rFonts w:ascii="Calibri" w:cs="Calibri" w:eastAsia="Calibri" w:hAnsi="Calibri"/>
          <w:b/>
          <w:bCs/>
          <w:i/>
          <w:iCs/>
          <w:color w:val="5A5A5A"/>
          <w:sz w:val="21"/>
          <w:szCs w:val="21"/>
        </w:rPr>
        <w:t xml:space="preserve">1.1. La hiérarchisation des formations de jugement</w:t>
      </w:r>
    </w:p>
    <w:p>
      <w:pPr>
        <w:pStyle w:val="ListParagraph"/>
        <w:numPr>
          <w:ilvl w:val="0"/>
          <w:numId w:val="2"/>
        </w:numPr>
        <w:spacing w:after="70" w:line="264"/>
        <w:jc w:val="both"/>
      </w:pPr>
      <w:r>
        <w:rPr>
          <w:rFonts w:ascii="Calibri" w:cs="Calibri" w:eastAsia="Calibri" w:hAnsi="Calibri"/>
          <w:b/>
          <w:bCs/>
          <w:color w:val="1A1A1A"/>
          <w:sz w:val="20"/>
          <w:szCs w:val="20"/>
        </w:rPr>
        <w:t xml:space="preserve">Réforme de 2010 — </w:t>
      </w:r>
      <w:r>
        <w:rPr>
          <w:rFonts w:ascii="Calibri" w:cs="Calibri" w:eastAsia="Calibri" w:hAnsi="Calibri"/>
          <w:b/>
          <w:bCs/>
          <w:color w:val="1E88E5"/>
          <w:sz w:val="20"/>
          <w:szCs w:val="20"/>
        </w:rPr>
        <w:t xml:space="preserve">Protocole n° 14</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juge unique</w:t>
      </w:r>
      <w:r>
        <w:rPr>
          <w:rFonts w:ascii="Calibri" w:cs="Calibri" w:eastAsia="Calibri" w:hAnsi="Calibri"/>
          <w:color w:val="1A1A1A"/>
          <w:sz w:val="20"/>
          <w:szCs w:val="20"/>
        </w:rPr>
        <w:t xml:space="preserve"> (traitement rapide d’une requête manifestement irrecevable) ; </w:t>
      </w:r>
      <w:r>
        <w:rPr>
          <w:rFonts w:ascii="Calibri" w:cs="Calibri" w:eastAsia="Calibri" w:hAnsi="Calibri"/>
          <w:b/>
          <w:bCs/>
          <w:color w:val="1A1A1A"/>
          <w:sz w:val="20"/>
          <w:szCs w:val="20"/>
        </w:rPr>
        <w:t xml:space="preserve">comité de trois juges</w:t>
      </w:r>
      <w:r>
        <w:rPr>
          <w:rFonts w:ascii="Calibri" w:cs="Calibri" w:eastAsia="Calibri" w:hAnsi="Calibri"/>
          <w:color w:val="1A1A1A"/>
          <w:sz w:val="20"/>
          <w:szCs w:val="20"/>
        </w:rPr>
        <w:t xml:space="preserve"> (statue à l’unanimité sur les décisions d’irrecevabilité ou sur les affaires dont la jurisprudence est bien établie) ; </w:t>
      </w:r>
      <w:r>
        <w:rPr>
          <w:rFonts w:ascii="Calibri" w:cs="Calibri" w:eastAsia="Calibri" w:hAnsi="Calibri"/>
          <w:b/>
          <w:bCs/>
          <w:color w:val="1A1A1A"/>
          <w:sz w:val="20"/>
          <w:szCs w:val="20"/>
        </w:rPr>
        <w:t xml:space="preserve">chambre de sept juges</w:t>
      </w:r>
      <w:r>
        <w:rPr>
          <w:rFonts w:ascii="Calibri" w:cs="Calibri" w:eastAsia="Calibri" w:hAnsi="Calibri"/>
          <w:color w:val="1A1A1A"/>
          <w:sz w:val="20"/>
          <w:szCs w:val="20"/>
        </w:rPr>
        <w:t xml:space="preserve">, formation ordinaire, compétente sur la recevabilité et le fond ; </w:t>
      </w:r>
      <w:r>
        <w:rPr>
          <w:rFonts w:ascii="Calibri" w:cs="Calibri" w:eastAsia="Calibri" w:hAnsi="Calibri"/>
          <w:b/>
          <w:bCs/>
          <w:color w:val="1A1A1A"/>
          <w:sz w:val="20"/>
          <w:szCs w:val="20"/>
        </w:rPr>
        <w:t xml:space="preserve">Grande chambre de dix-sept juges</w:t>
      </w:r>
      <w:r>
        <w:rPr>
          <w:rFonts w:ascii="Calibri" w:cs="Calibri" w:eastAsia="Calibri" w:hAnsi="Calibri"/>
          <w:color w:val="1A1A1A"/>
          <w:sz w:val="20"/>
          <w:szCs w:val="20"/>
        </w:rPr>
        <w:t xml:space="preserve">, formation la plus solennelle, compétente en cas de dessaisissement de la formation de jugement en raison d’une question majeure ou problématique, formation de renvoi saisissable dans le délai de trois mois par l’une des parties, et compétente pour les demandes d’avis consultatifs (</w:t>
      </w:r>
      <w:r>
        <w:rPr>
          <w:rFonts w:ascii="Calibri" w:cs="Calibri" w:eastAsia="Calibri" w:hAnsi="Calibri"/>
          <w:color w:val="1E88E5"/>
          <w:sz w:val="20"/>
          <w:szCs w:val="20"/>
        </w:rPr>
        <w:t xml:space="preserve">art. 47</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1.2. La procédure contentieuse</w:t>
      </w:r>
    </w:p>
    <w:p>
      <w:pPr>
        <w:pStyle w:val="ListParagraph"/>
        <w:numPr>
          <w:ilvl w:val="0"/>
          <w:numId w:val="2"/>
        </w:numPr>
        <w:spacing w:after="70" w:line="264"/>
        <w:jc w:val="both"/>
      </w:pPr>
      <w:r>
        <w:rPr>
          <w:rFonts w:ascii="Calibri" w:cs="Calibri" w:eastAsia="Calibri" w:hAnsi="Calibri"/>
          <w:b/>
          <w:bCs/>
          <w:color w:val="1A1A1A"/>
          <w:sz w:val="20"/>
          <w:szCs w:val="20"/>
        </w:rPr>
        <w:t xml:space="preserve">Étapes</w:t>
      </w:r>
      <w:r>
        <w:rPr>
          <w:rFonts w:ascii="Calibri" w:cs="Calibri" w:eastAsia="Calibri" w:hAnsi="Calibri"/>
          <w:color w:val="1A1A1A"/>
          <w:sz w:val="20"/>
          <w:szCs w:val="20"/>
        </w:rPr>
        <w:t xml:space="preserve"> : décision de recevabilité ou d’irrecevabilité ; transmission à une formation de jugement selon l’importance ou la particularité de la requête ; arrêt. Un arrêt de comité ou de section n’est </w:t>
      </w:r>
      <w:r>
        <w:rPr>
          <w:rFonts w:ascii="Calibri" w:cs="Calibri" w:eastAsia="Calibri" w:hAnsi="Calibri"/>
          <w:b/>
          <w:bCs/>
          <w:color w:val="1A1A1A"/>
          <w:sz w:val="20"/>
          <w:szCs w:val="20"/>
        </w:rPr>
        <w:t xml:space="preserve">définitif qu’à l’expiration d’un délai de trois mois</w:t>
      </w:r>
      <w:r>
        <w:rPr>
          <w:rFonts w:ascii="Calibri" w:cs="Calibri" w:eastAsia="Calibri" w:hAnsi="Calibri"/>
          <w:color w:val="1A1A1A"/>
          <w:sz w:val="20"/>
          <w:szCs w:val="20"/>
        </w:rPr>
        <w:t xml:space="preserve"> à compter de sa publication, délai pendant lequel les parties peuvent demander le renvoi en Grande chambre. Avant tout arrêt au fond, un </w:t>
      </w:r>
      <w:r>
        <w:rPr>
          <w:rFonts w:ascii="Calibri" w:cs="Calibri" w:eastAsia="Calibri" w:hAnsi="Calibri"/>
          <w:b/>
          <w:bCs/>
          <w:color w:val="1A1A1A"/>
          <w:sz w:val="20"/>
          <w:szCs w:val="20"/>
        </w:rPr>
        <w:t xml:space="preserve">accord amiable</w:t>
      </w:r>
      <w:r>
        <w:rPr>
          <w:rFonts w:ascii="Calibri" w:cs="Calibri" w:eastAsia="Calibri" w:hAnsi="Calibri"/>
          <w:color w:val="1A1A1A"/>
          <w:sz w:val="20"/>
          <w:szCs w:val="20"/>
        </w:rPr>
        <w:t xml:space="preserve"> demeure possible.</w:t>
      </w:r>
    </w:p>
    <w:p>
      <w:pPr>
        <w:pStyle w:val="ListParagraph"/>
        <w:numPr>
          <w:ilvl w:val="0"/>
          <w:numId w:val="2"/>
        </w:numPr>
        <w:spacing w:after="70" w:line="264"/>
        <w:jc w:val="both"/>
      </w:pPr>
      <w:r>
        <w:rPr>
          <w:rFonts w:ascii="Calibri" w:cs="Calibri" w:eastAsia="Calibri" w:hAnsi="Calibri"/>
          <w:b/>
          <w:bCs/>
          <w:color w:val="1A1A1A"/>
          <w:sz w:val="20"/>
          <w:szCs w:val="20"/>
        </w:rPr>
        <w:t xml:space="preserve">Mesures provisoires</w:t>
      </w:r>
      <w:r>
        <w:rPr>
          <w:rFonts w:ascii="Calibri" w:cs="Calibri" w:eastAsia="Calibri" w:hAnsi="Calibri"/>
          <w:color w:val="1A1A1A"/>
          <w:sz w:val="20"/>
          <w:szCs w:val="20"/>
        </w:rPr>
        <w:t xml:space="preserve"> : en vertu de l’</w:t>
      </w:r>
      <w:r>
        <w:rPr>
          <w:rFonts w:ascii="Calibri" w:cs="Calibri" w:eastAsia="Calibri" w:hAnsi="Calibri"/>
          <w:color w:val="1E88E5"/>
          <w:sz w:val="20"/>
          <w:szCs w:val="20"/>
        </w:rPr>
        <w:t xml:space="preserve">art. 39 du règlement de la Cour</w:t>
      </w:r>
      <w:r>
        <w:rPr>
          <w:rFonts w:ascii="Calibri" w:cs="Calibri" w:eastAsia="Calibri" w:hAnsi="Calibri"/>
          <w:color w:val="1A1A1A"/>
          <w:sz w:val="20"/>
          <w:szCs w:val="20"/>
        </w:rPr>
        <w:t xml:space="preserve">, les juges peuvent « </w:t>
      </w:r>
      <w:r>
        <w:rPr>
          <w:rFonts w:ascii="Calibri" w:cs="Calibri" w:eastAsia="Calibri" w:hAnsi="Calibri"/>
          <w:i/>
          <w:iCs/>
          <w:color w:val="1A1A1A"/>
          <w:sz w:val="20"/>
          <w:szCs w:val="20"/>
        </w:rPr>
        <w:t xml:space="preserve">indiquer aux parties toute mesure provisoire</w:t>
      </w:r>
      <w:r>
        <w:rPr>
          <w:rFonts w:ascii="Calibri" w:cs="Calibri" w:eastAsia="Calibri" w:hAnsi="Calibri"/>
          <w:color w:val="1A1A1A"/>
          <w:sz w:val="20"/>
          <w:szCs w:val="20"/>
        </w:rPr>
        <w:t xml:space="preserve"> » de manière exceptionnelle lorsqu’il existe des risques de violation </w:t>
      </w:r>
      <w:r>
        <w:rPr>
          <w:rFonts w:ascii="Calibri" w:cs="Calibri" w:eastAsia="Calibri" w:hAnsi="Calibri"/>
          <w:b/>
          <w:bCs/>
          <w:color w:val="1A1A1A"/>
          <w:sz w:val="20"/>
          <w:szCs w:val="20"/>
        </w:rPr>
        <w:t xml:space="preserve">imminente et irréparable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4 février 2005, Mamatkulov et Askarov c. Turquie, n° 46827/99 et 46951/99</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Limite</w:t>
      </w:r>
      <w:r>
        <w:rPr>
          <w:rFonts w:ascii="Calibri" w:cs="Calibri" w:eastAsia="Calibri" w:hAnsi="Calibri"/>
          <w:color w:val="1A1A1A"/>
          <w:sz w:val="20"/>
          <w:szCs w:val="20"/>
        </w:rPr>
        <w:t xml:space="preserve"> : bien qu’obligatoires pour les États, elles n’ont pas d’effet direct dans les ordres juridiques étatiques, de sorte que l’État visé peut refuser de s’y conformer — voir la seconde mesure provisoire </w:t>
      </w:r>
      <w:r>
        <w:rPr>
          <w:rFonts w:ascii="Calibri" w:cs="Calibri" w:eastAsia="Calibri" w:hAnsi="Calibri"/>
          <w:color w:val="1E88E5"/>
          <w:sz w:val="20"/>
          <w:szCs w:val="20"/>
        </w:rPr>
        <w:t xml:space="preserve">n° 063 (2021) du 17 février 2021</w:t>
      </w:r>
      <w:r>
        <w:rPr>
          <w:rFonts w:ascii="Calibri" w:cs="Calibri" w:eastAsia="Calibri" w:hAnsi="Calibri"/>
          <w:color w:val="1A1A1A"/>
          <w:sz w:val="20"/>
          <w:szCs w:val="20"/>
        </w:rPr>
        <w:t xml:space="preserve"> concernant Alekseï Navalny.</w:t>
      </w:r>
    </w:p>
    <w:p>
      <w:pPr>
        <w:pStyle w:val="ListParagraph"/>
        <w:numPr>
          <w:ilvl w:val="0"/>
          <w:numId w:val="2"/>
        </w:numPr>
        <w:spacing w:after="70" w:line="264"/>
        <w:jc w:val="both"/>
      </w:pPr>
      <w:r>
        <w:rPr>
          <w:rFonts w:ascii="Calibri" w:cs="Calibri" w:eastAsia="Calibri" w:hAnsi="Calibri"/>
          <w:color w:val="1A1A1A"/>
          <w:sz w:val="20"/>
          <w:szCs w:val="20"/>
        </w:rPr>
        <w:t xml:space="preserve">Une fois l’arrêt définitif, il est notifié à l’État, qui doit l’exécuter et faire état des mesures générales ou individuelles adoptées auprès du </w:t>
      </w:r>
      <w:r>
        <w:rPr>
          <w:rFonts w:ascii="Calibri" w:cs="Calibri" w:eastAsia="Calibri" w:hAnsi="Calibri"/>
          <w:b/>
          <w:bCs/>
          <w:color w:val="1A1A1A"/>
          <w:sz w:val="20"/>
          <w:szCs w:val="20"/>
        </w:rPr>
        <w:t xml:space="preserve">Comité des ministres</w:t>
      </w:r>
      <w:r>
        <w:rPr>
          <w:rFonts w:ascii="Calibri" w:cs="Calibri" w:eastAsia="Calibri" w:hAnsi="Calibri"/>
          <w:color w:val="1A1A1A"/>
          <w:sz w:val="20"/>
          <w:szCs w:val="20"/>
        </w:rPr>
        <w:t xml:space="preserve">, chargé d’examiner s’il a été correctement exécuté.</w:t>
      </w:r>
    </w:p>
    <w:p>
      <w:pPr>
        <w:pStyle w:val="Heading2"/>
        <w:spacing w:after="120" w:before="280"/>
      </w:pPr>
      <w:r>
        <w:rPr>
          <w:rFonts w:ascii="Calibri" w:cs="Calibri" w:eastAsia="Calibri" w:hAnsi="Calibri"/>
          <w:b/>
          <w:bCs/>
          <w:color w:val="1A1A1A"/>
          <w:sz w:val="24"/>
          <w:szCs w:val="24"/>
        </w:rPr>
        <w:t xml:space="preserve">2. L’interprétation de la Convention</w:t>
      </w:r>
    </w:p>
    <w:p>
      <w:pPr>
        <w:pStyle w:val="Heading3"/>
        <w:spacing w:after="90" w:before="200"/>
      </w:pPr>
      <w:r>
        <w:rPr>
          <w:rFonts w:ascii="Calibri" w:cs="Calibri" w:eastAsia="Calibri" w:hAnsi="Calibri"/>
          <w:b/>
          <w:bCs/>
          <w:i/>
          <w:iCs/>
          <w:color w:val="5A5A5A"/>
          <w:sz w:val="21"/>
          <w:szCs w:val="21"/>
        </w:rPr>
        <w:t xml:space="preserve">2.1. Les méthodes</w:t>
      </w:r>
    </w:p>
    <w:p>
      <w:pPr>
        <w:pStyle w:val="ListParagraph"/>
        <w:numPr>
          <w:ilvl w:val="0"/>
          <w:numId w:val="2"/>
        </w:numPr>
        <w:spacing w:after="70" w:line="264"/>
        <w:jc w:val="both"/>
      </w:pPr>
      <w:r>
        <w:rPr>
          <w:rFonts w:ascii="Calibri" w:cs="Calibri" w:eastAsia="Calibri" w:hAnsi="Calibri"/>
          <w:color w:val="1E88E5"/>
          <w:sz w:val="20"/>
          <w:szCs w:val="20"/>
        </w:rPr>
        <w:t xml:space="preserve">Art. 32 de la Convention</w:t>
      </w:r>
      <w:r>
        <w:rPr>
          <w:rFonts w:ascii="Calibri" w:cs="Calibri" w:eastAsia="Calibri" w:hAnsi="Calibri"/>
          <w:color w:val="1A1A1A"/>
          <w:sz w:val="20"/>
          <w:szCs w:val="20"/>
        </w:rPr>
        <w:t xml:space="preserve"> : la Cour est l’interprète de la Convention, dans le cadre de son activité contentieuse comme de sa mission d’avis consultatif. Elle peut prendre en considération les </w:t>
      </w:r>
      <w:r>
        <w:rPr>
          <w:rFonts w:ascii="Calibri" w:cs="Calibri" w:eastAsia="Calibri" w:hAnsi="Calibri"/>
          <w:b/>
          <w:bCs/>
          <w:color w:val="1A1A1A"/>
          <w:sz w:val="20"/>
          <w:szCs w:val="20"/>
        </w:rPr>
        <w:t xml:space="preserve">travaux préparatoires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18 novembre 2020, Slovénie c. Croatie, déc., n° 54155/16</w:t>
      </w:r>
      <w:r>
        <w:rPr>
          <w:rFonts w:ascii="Calibri" w:cs="Calibri" w:eastAsia="Calibri" w:hAnsi="Calibri"/>
          <w:color w:val="1A1A1A"/>
          <w:sz w:val="20"/>
          <w:szCs w:val="20"/>
        </w:rPr>
        <w:t xml:space="preserve">) et retient une </w:t>
      </w:r>
      <w:r>
        <w:rPr>
          <w:rFonts w:ascii="Calibri" w:cs="Calibri" w:eastAsia="Calibri" w:hAnsi="Calibri"/>
          <w:b/>
          <w:bCs/>
          <w:color w:val="1A1A1A"/>
          <w:sz w:val="20"/>
          <w:szCs w:val="20"/>
        </w:rPr>
        <w:t xml:space="preserve">interprétation finaliste</w:t>
      </w:r>
      <w:r>
        <w:rPr>
          <w:rFonts w:ascii="Calibri" w:cs="Calibri" w:eastAsia="Calibri" w:hAnsi="Calibri"/>
          <w:color w:val="1A1A1A"/>
          <w:sz w:val="20"/>
          <w:szCs w:val="20"/>
        </w:rPr>
        <w:t xml:space="preserve">, appuyée sur les objectifs du Conseil de l’Europe : la démocratie, la prééminence du droit et la protection effective des droits humains (</w:t>
      </w:r>
      <w:r>
        <w:rPr>
          <w:rFonts w:ascii="Calibri" w:cs="Calibri" w:eastAsia="Calibri" w:hAnsi="Calibri"/>
          <w:color w:val="E91E63"/>
          <w:sz w:val="20"/>
          <w:szCs w:val="20"/>
        </w:rPr>
        <w:t xml:space="preserve">CEDH, 27 juin 1968, Wemhoff c. Allemagne, n° 2122/64</w:t>
      </w:r>
      <w:r>
        <w:rPr>
          <w:rFonts w:ascii="Calibri" w:cs="Calibri" w:eastAsia="Calibri" w:hAnsi="Calibri"/>
          <w:color w:val="1A1A1A"/>
          <w:sz w:val="20"/>
          <w:szCs w:val="20"/>
        </w:rPr>
        <w:t xml:space="preserve">). Ces concepts ne sont pas exclusifs les uns des autres et sont fréquemment mobilisés au sein d’un même arrêt.</w:t>
      </w:r>
    </w:p>
    <w:p>
      <w:pPr>
        <w:pStyle w:val="Heading3"/>
        <w:spacing w:after="90" w:before="200"/>
      </w:pPr>
      <w:r>
        <w:rPr>
          <w:rFonts w:ascii="Calibri" w:cs="Calibri" w:eastAsia="Calibri" w:hAnsi="Calibri"/>
          <w:b/>
          <w:bCs/>
          <w:i/>
          <w:iCs/>
          <w:color w:val="5A5A5A"/>
          <w:sz w:val="21"/>
          <w:szCs w:val="21"/>
        </w:rPr>
        <w:t xml:space="preserve">2.2. Les notions autonomes</w:t>
      </w:r>
    </w:p>
    <w:p>
      <w:pPr>
        <w:pStyle w:val="ListParagraph"/>
        <w:numPr>
          <w:ilvl w:val="0"/>
          <w:numId w:val="2"/>
        </w:numPr>
        <w:spacing w:after="70" w:line="264"/>
        <w:jc w:val="both"/>
      </w:pPr>
      <w:r>
        <w:rPr>
          <w:rFonts w:ascii="Calibri" w:cs="Calibri" w:eastAsia="Calibri" w:hAnsi="Calibri"/>
          <w:b/>
          <w:bCs/>
          <w:color w:val="1A1A1A"/>
          <w:sz w:val="20"/>
          <w:szCs w:val="20"/>
        </w:rPr>
        <w:t xml:space="preserve">Procédé double</w:t>
      </w:r>
      <w:r>
        <w:rPr>
          <w:rFonts w:ascii="Calibri" w:cs="Calibri" w:eastAsia="Calibri" w:hAnsi="Calibri"/>
          <w:color w:val="1A1A1A"/>
          <w:sz w:val="20"/>
          <w:szCs w:val="20"/>
        </w:rPr>
        <w:t xml:space="preserve"> : la Cour donne une définition à des notions employées par la Convention, mais aussi à des termes </w:t>
      </w:r>
      <w:r>
        <w:rPr>
          <w:rFonts w:ascii="Calibri" w:cs="Calibri" w:eastAsia="Calibri" w:hAnsi="Calibri"/>
          <w:b/>
          <w:bCs/>
          <w:color w:val="1A1A1A"/>
          <w:sz w:val="20"/>
          <w:szCs w:val="20"/>
        </w:rPr>
        <w:t xml:space="preserve">non expressément mentionnés</w:t>
      </w:r>
      <w:r>
        <w:rPr>
          <w:rFonts w:ascii="Calibri" w:cs="Calibri" w:eastAsia="Calibri" w:hAnsi="Calibri"/>
          <w:color w:val="1A1A1A"/>
          <w:sz w:val="20"/>
          <w:szCs w:val="20"/>
        </w:rPr>
        <w:t xml:space="preserve"> par elle et découlant de l’interprétation du texte. Cette découverte a pour effet d’</w:t>
      </w:r>
      <w:r>
        <w:rPr>
          <w:rFonts w:ascii="Calibri" w:cs="Calibri" w:eastAsia="Calibri" w:hAnsi="Calibri"/>
          <w:b/>
          <w:bCs/>
          <w:color w:val="1A1A1A"/>
          <w:sz w:val="20"/>
          <w:szCs w:val="20"/>
        </w:rPr>
        <w:t xml:space="preserve">étendre le champ d’application matériel</w:t>
      </w:r>
      <w:r>
        <w:rPr>
          <w:rFonts w:ascii="Calibri" w:cs="Calibri" w:eastAsia="Calibri" w:hAnsi="Calibri"/>
          <w:color w:val="1A1A1A"/>
          <w:sz w:val="20"/>
          <w:szCs w:val="20"/>
        </w:rPr>
        <w:t xml:space="preserve"> des stipulations sur le fondement desquelles elles ont été dégagées. Exemple : sur le fondement de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la Cour a dégagé la notion de droit à un </w:t>
      </w:r>
      <w:r>
        <w:rPr>
          <w:rFonts w:ascii="Calibri" w:cs="Calibri" w:eastAsia="Calibri" w:hAnsi="Calibri"/>
          <w:b/>
          <w:bCs/>
          <w:color w:val="1A1A1A"/>
          <w:sz w:val="20"/>
          <w:szCs w:val="20"/>
        </w:rPr>
        <w:t xml:space="preserve">environnement sain</w:t>
      </w:r>
      <w:r>
        <w:rPr>
          <w:rFonts w:ascii="Calibri" w:cs="Calibri" w:eastAsia="Calibri" w:hAnsi="Calibri"/>
          <w:color w:val="1A1A1A"/>
          <w:sz w:val="20"/>
          <w:szCs w:val="20"/>
        </w:rPr>
        <w:t xml:space="preserve"> alors qu’aucune stipulation ne le prévoyait (</w:t>
      </w:r>
      <w:r>
        <w:rPr>
          <w:rFonts w:ascii="Calibri" w:cs="Calibri" w:eastAsia="Calibri" w:hAnsi="Calibri"/>
          <w:color w:val="E91E63"/>
          <w:sz w:val="20"/>
          <w:szCs w:val="20"/>
        </w:rPr>
        <w:t xml:space="preserve">CEDH, GC, 9 décembre 1994, Lopez Ostra c. Espagne, n° 16798/90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Triple intérêt</w:t>
      </w:r>
      <w:r>
        <w:rPr>
          <w:rFonts w:ascii="Calibri" w:cs="Calibri" w:eastAsia="Calibri" w:hAnsi="Calibri"/>
          <w:color w:val="1A1A1A"/>
          <w:sz w:val="20"/>
          <w:szCs w:val="20"/>
        </w:rPr>
        <w:t xml:space="preserve"> : assurer une </w:t>
      </w:r>
      <w:r>
        <w:rPr>
          <w:rFonts w:ascii="Calibri" w:cs="Calibri" w:eastAsia="Calibri" w:hAnsi="Calibri"/>
          <w:b/>
          <w:bCs/>
          <w:color w:val="1A1A1A"/>
          <w:sz w:val="20"/>
          <w:szCs w:val="20"/>
        </w:rPr>
        <w:t xml:space="preserve">définition uniforme</w:t>
      </w:r>
      <w:r>
        <w:rPr>
          <w:rFonts w:ascii="Calibri" w:cs="Calibri" w:eastAsia="Calibri" w:hAnsi="Calibri"/>
          <w:color w:val="1A1A1A"/>
          <w:sz w:val="20"/>
          <w:szCs w:val="20"/>
        </w:rPr>
        <w:t xml:space="preserve"> au sein des États parties ; </w:t>
      </w:r>
      <w:r>
        <w:rPr>
          <w:rFonts w:ascii="Calibri" w:cs="Calibri" w:eastAsia="Calibri" w:hAnsi="Calibri"/>
          <w:b/>
          <w:bCs/>
          <w:color w:val="1A1A1A"/>
          <w:sz w:val="20"/>
          <w:szCs w:val="20"/>
        </w:rPr>
        <w:t xml:space="preserve">préciser le sens des termes</w:t>
      </w:r>
      <w:r>
        <w:rPr>
          <w:rFonts w:ascii="Calibri" w:cs="Calibri" w:eastAsia="Calibri" w:hAnsi="Calibri"/>
          <w:color w:val="1A1A1A"/>
          <w:sz w:val="20"/>
          <w:szCs w:val="20"/>
        </w:rPr>
        <w:t xml:space="preserve"> pour éviter des définitions contradictoires ; garantir l’</w:t>
      </w:r>
      <w:r>
        <w:rPr>
          <w:rFonts w:ascii="Calibri" w:cs="Calibri" w:eastAsia="Calibri" w:hAnsi="Calibri"/>
          <w:b/>
          <w:bCs/>
          <w:color w:val="1A1A1A"/>
          <w:sz w:val="20"/>
          <w:szCs w:val="20"/>
        </w:rPr>
        <w:t xml:space="preserve">effectivité</w:t>
      </w:r>
      <w:r>
        <w:rPr>
          <w:rFonts w:ascii="Calibri" w:cs="Calibri" w:eastAsia="Calibri" w:hAnsi="Calibri"/>
          <w:color w:val="1A1A1A"/>
          <w:sz w:val="20"/>
          <w:szCs w:val="20"/>
        </w:rPr>
        <w:t xml:space="preserve"> de la Convention en gommant les divergences de législations. Illustration : la notion de </w:t>
      </w:r>
      <w:r>
        <w:rPr>
          <w:rFonts w:ascii="Calibri" w:cs="Calibri" w:eastAsia="Calibri" w:hAnsi="Calibri"/>
          <w:b/>
          <w:bCs/>
          <w:color w:val="1A1A1A"/>
          <w:sz w:val="20"/>
          <w:szCs w:val="20"/>
        </w:rPr>
        <w:t xml:space="preserve">vie privée</w:t>
      </w:r>
      <w:r>
        <w:rPr>
          <w:rFonts w:ascii="Calibri" w:cs="Calibri" w:eastAsia="Calibri" w:hAnsi="Calibri"/>
          <w:color w:val="1A1A1A"/>
          <w:sz w:val="20"/>
          <w:szCs w:val="20"/>
        </w:rPr>
        <w:t xml:space="preserve">, dont les contours sont extrêmement larges, englobe aussi bien la vie privée au sens commun (l’intimité de l’individu) qu’un </w:t>
      </w:r>
      <w:r>
        <w:rPr>
          <w:rFonts w:ascii="Calibri" w:cs="Calibri" w:eastAsia="Calibri" w:hAnsi="Calibri"/>
          <w:b/>
          <w:bCs/>
          <w:color w:val="1A1A1A"/>
          <w:sz w:val="20"/>
          <w:szCs w:val="20"/>
        </w:rPr>
        <w:t xml:space="preserve">volet social</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16 décembre 1992, Niemietz c. Allemagne, n° 13710/88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notions « originales »</w:t>
      </w:r>
      <w:r>
        <w:rPr>
          <w:rFonts w:ascii="Calibri" w:cs="Calibri" w:eastAsia="Calibri" w:hAnsi="Calibri"/>
          <w:color w:val="1A1A1A"/>
          <w:sz w:val="20"/>
          <w:szCs w:val="20"/>
        </w:rPr>
        <w:t xml:space="preserve"> ont progressivement gagné en importance au point de transcender l’article au sein duquel elles ont été révélées. Ainsi de l’</w:t>
      </w:r>
      <w:r>
        <w:rPr>
          <w:rFonts w:ascii="Calibri" w:cs="Calibri" w:eastAsia="Calibri" w:hAnsi="Calibri"/>
          <w:b/>
          <w:bCs/>
          <w:color w:val="1A1A1A"/>
          <w:sz w:val="20"/>
          <w:szCs w:val="20"/>
        </w:rPr>
        <w:t xml:space="preserve">autonomie personnelle</w:t>
      </w:r>
      <w:r>
        <w:rPr>
          <w:rFonts w:ascii="Calibri" w:cs="Calibri" w:eastAsia="Calibri" w:hAnsi="Calibri"/>
          <w:color w:val="1A1A1A"/>
          <w:sz w:val="20"/>
          <w:szCs w:val="20"/>
        </w:rPr>
        <w:t xml:space="preserve">, dégagée dans le sillage de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alors qu’elle était initialement absente du texte : elle confère aux individus la liberté d’opérer des choix concernant leur propre personne, y compris de nature à y porter atteinte — </w:t>
      </w:r>
      <w:r>
        <w:rPr>
          <w:rFonts w:ascii="Calibri" w:cs="Calibri" w:eastAsia="Calibri" w:hAnsi="Calibri"/>
          <w:color w:val="E91E63"/>
          <w:sz w:val="20"/>
          <w:szCs w:val="20"/>
        </w:rPr>
        <w:t xml:space="preserve">CEDH, 29 avril 2002, Pretty c. Royaume-Uni, n° 2346/02</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11 juillet 2002, Christine Goodwin c. Royaume-Uni, n° 28957/95</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17 février 2005, K.A. et A.D. c. Belgique, n° 42758/98 et 45558/99</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2.3. La combinaison des articles et le droit international pertinent</w:t>
      </w:r>
    </w:p>
    <w:p>
      <w:pPr>
        <w:pStyle w:val="ListParagraph"/>
        <w:numPr>
          <w:ilvl w:val="0"/>
          <w:numId w:val="2"/>
        </w:numPr>
        <w:spacing w:after="70" w:line="264"/>
        <w:jc w:val="both"/>
      </w:pPr>
      <w:r>
        <w:rPr>
          <w:rFonts w:ascii="Calibri" w:cs="Calibri" w:eastAsia="Calibri" w:hAnsi="Calibri"/>
          <w:b/>
          <w:bCs/>
          <w:color w:val="1A1A1A"/>
          <w:sz w:val="20"/>
          <w:szCs w:val="20"/>
        </w:rPr>
        <w:t xml:space="preserve">Combinaison</w:t>
      </w:r>
      <w:r>
        <w:rPr>
          <w:rFonts w:ascii="Calibri" w:cs="Calibri" w:eastAsia="Calibri" w:hAnsi="Calibri"/>
          <w:color w:val="1A1A1A"/>
          <w:sz w:val="20"/>
          <w:szCs w:val="20"/>
        </w:rPr>
        <w:t xml:space="preserve"> : la Cour étend le champ des garanties en combinant deux articles. Le procédé est le plus souvent réalisé sur le fondement de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(non-discrimination), droit </w:t>
      </w:r>
      <w:r>
        <w:rPr>
          <w:rFonts w:ascii="Calibri" w:cs="Calibri" w:eastAsia="Calibri" w:hAnsi="Calibri"/>
          <w:b/>
          <w:bCs/>
          <w:color w:val="1A1A1A"/>
          <w:sz w:val="20"/>
          <w:szCs w:val="20"/>
        </w:rPr>
        <w:t xml:space="preserve">ni indépendant ni autonome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6 avril 2000, Thlimmenos c. Grèce, n° 34369/97</w:t>
      </w:r>
      <w:r>
        <w:rPr>
          <w:rFonts w:ascii="Calibri" w:cs="Calibri" w:eastAsia="Calibri" w:hAnsi="Calibri"/>
          <w:color w:val="1A1A1A"/>
          <w:sz w:val="20"/>
          <w:szCs w:val="20"/>
        </w:rPr>
        <w:t xml:space="preserve">. Autres combinaisons : articles 8 et 3 (</w:t>
      </w:r>
      <w:r>
        <w:rPr>
          <w:rFonts w:ascii="Calibri" w:cs="Calibri" w:eastAsia="Calibri" w:hAnsi="Calibri"/>
          <w:color w:val="E91E63"/>
          <w:sz w:val="20"/>
          <w:szCs w:val="20"/>
        </w:rPr>
        <w:t xml:space="preserve">CEDH, 4 décembre 2003, M.C. c. Bulgarie, n° 39272/98</w:t>
      </w:r>
      <w:r>
        <w:rPr>
          <w:rFonts w:ascii="Calibri" w:cs="Calibri" w:eastAsia="Calibri" w:hAnsi="Calibri"/>
          <w:color w:val="1A1A1A"/>
          <w:sz w:val="20"/>
          <w:szCs w:val="20"/>
        </w:rPr>
        <w:t xml:space="preserve">) ; article 1er du Protocole n° 1 et article 13 (</w:t>
      </w:r>
      <w:r>
        <w:rPr>
          <w:rFonts w:ascii="Calibri" w:cs="Calibri" w:eastAsia="Calibri" w:hAnsi="Calibri"/>
          <w:color w:val="E91E63"/>
          <w:sz w:val="20"/>
          <w:szCs w:val="20"/>
        </w:rPr>
        <w:t xml:space="preserve">CEDH, 13 novembre 2007, Driza c. Albanie, n° 33771/02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 pertinent</w:t>
      </w:r>
      <w:r>
        <w:rPr>
          <w:rFonts w:ascii="Calibri" w:cs="Calibri" w:eastAsia="Calibri" w:hAnsi="Calibri"/>
          <w:color w:val="1A1A1A"/>
          <w:sz w:val="20"/>
          <w:szCs w:val="20"/>
        </w:rPr>
        <w:t xml:space="preserve"> : les droits humains étant en théorie universels et interdépendants, leur protection régionale ne saurait évoluer en vase clos. La Cour apprécie l’état du droit international pertinent </w:t>
      </w:r>
      <w:r>
        <w:rPr>
          <w:rFonts w:ascii="Calibri" w:cs="Calibri" w:eastAsia="Calibri" w:hAnsi="Calibri"/>
          <w:b/>
          <w:bCs/>
          <w:color w:val="1A1A1A"/>
          <w:sz w:val="20"/>
          <w:szCs w:val="20"/>
        </w:rPr>
        <w:t xml:space="preserve">seulement afin de faire évoluer les obligations à la charge des États découlant de la Convention</w:t>
      </w:r>
      <w:r>
        <w:rPr>
          <w:rFonts w:ascii="Calibri" w:cs="Calibri" w:eastAsia="Calibri" w:hAnsi="Calibri"/>
          <w:color w:val="1A1A1A"/>
          <w:sz w:val="20"/>
          <w:szCs w:val="20"/>
        </w:rPr>
        <w:t xml:space="preserve"> — elle ne sanctionne donc pas les manquements aux obligations au titre d’autres traités (</w:t>
      </w:r>
      <w:r>
        <w:rPr>
          <w:rFonts w:ascii="Calibri" w:cs="Calibri" w:eastAsia="Calibri" w:hAnsi="Calibri"/>
          <w:color w:val="E91E63"/>
          <w:sz w:val="20"/>
          <w:szCs w:val="20"/>
        </w:rPr>
        <w:t xml:space="preserve">CEDH, GC, 9 avril 2024, Verein KlimaSeniorinnen Schweiz et a. c. Suisse, n° 53600/20</w:t>
      </w:r>
      <w:r>
        <w:rPr>
          <w:rFonts w:ascii="Calibri" w:cs="Calibri" w:eastAsia="Calibri" w:hAnsi="Calibri"/>
          <w:color w:val="1A1A1A"/>
          <w:sz w:val="20"/>
          <w:szCs w:val="20"/>
        </w:rPr>
        <w:t xml:space="preserve">). Cette prise en compte ne requiert pas que l’État défendeur ait signé les textes sondés (</w:t>
      </w:r>
      <w:r>
        <w:rPr>
          <w:rFonts w:ascii="Calibri" w:cs="Calibri" w:eastAsia="Calibri" w:hAnsi="Calibri"/>
          <w:color w:val="E91E63"/>
          <w:sz w:val="20"/>
          <w:szCs w:val="20"/>
        </w:rPr>
        <w:t xml:space="preserve">CEDH, GC, 12 novembre 2008, Demir et Baykara c. Turquie, n° 34503/97</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2.4. L’interprétation évolutive et ses limites</w:t>
      </w:r>
    </w:p>
    <w:p>
      <w:pPr>
        <w:pStyle w:val="ListParagraph"/>
        <w:numPr>
          <w:ilvl w:val="0"/>
          <w:numId w:val="2"/>
        </w:numPr>
        <w:spacing w:after="70" w:line="264"/>
        <w:jc w:val="both"/>
      </w:pPr>
      <w:r>
        <w:rPr>
          <w:rFonts w:ascii="Calibri" w:cs="Calibri" w:eastAsia="Calibri" w:hAnsi="Calibri"/>
          <w:b/>
          <w:bCs/>
          <w:color w:val="1A1A1A"/>
          <w:sz w:val="20"/>
          <w:szCs w:val="20"/>
        </w:rPr>
        <w:t xml:space="preserve">Le principe</w:t>
      </w:r>
      <w:r>
        <w:rPr>
          <w:rFonts w:ascii="Calibri" w:cs="Calibri" w:eastAsia="Calibri" w:hAnsi="Calibri"/>
          <w:color w:val="1A1A1A"/>
          <w:sz w:val="20"/>
          <w:szCs w:val="20"/>
        </w:rPr>
        <w:t xml:space="preserve"> : les droits garantis ne sont pas figés dans le temps ; ils évoluent sous l’interprétation de la Cour en suivant l’évolution de la société (</w:t>
      </w:r>
      <w:r>
        <w:rPr>
          <w:rFonts w:ascii="Calibri" w:cs="Calibri" w:eastAsia="Calibri" w:hAnsi="Calibri"/>
          <w:color w:val="E91E63"/>
          <w:sz w:val="20"/>
          <w:szCs w:val="20"/>
        </w:rPr>
        <w:t xml:space="preserve">Marckx</w:t>
      </w:r>
      <w:r>
        <w:rPr>
          <w:rFonts w:ascii="Calibri" w:cs="Calibri" w:eastAsia="Calibri" w:hAnsi="Calibri"/>
          <w:color w:val="1A1A1A"/>
          <w:sz w:val="20"/>
          <w:szCs w:val="20"/>
        </w:rPr>
        <w:t xml:space="preserve">). Par son interprétation téléologique, la Cour a parfois dégagé de nouveaux droits non expressément prévus (</w:t>
      </w:r>
      <w:r>
        <w:rPr>
          <w:rFonts w:ascii="Calibri" w:cs="Calibri" w:eastAsia="Calibri" w:hAnsi="Calibri"/>
          <w:color w:val="E91E63"/>
          <w:sz w:val="20"/>
          <w:szCs w:val="20"/>
        </w:rPr>
        <w:t xml:space="preserve">Golder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freins</w:t>
      </w:r>
      <w:r>
        <w:rPr>
          <w:rFonts w:ascii="Calibri" w:cs="Calibri" w:eastAsia="Calibri" w:hAnsi="Calibri"/>
          <w:color w:val="1A1A1A"/>
          <w:sz w:val="20"/>
          <w:szCs w:val="20"/>
        </w:rPr>
        <w:t xml:space="preserve"> : l’interprétation évolutive suppose d’apprécier concrètement la situation des États, leur législation et leurs finances ; la Cour ne doit pas faire peser sur eux un « </w:t>
      </w:r>
      <w:r>
        <w:rPr>
          <w:rFonts w:ascii="Calibri" w:cs="Calibri" w:eastAsia="Calibri" w:hAnsi="Calibri"/>
          <w:b/>
          <w:bCs/>
          <w:color w:val="1A1A1A"/>
          <w:sz w:val="20"/>
          <w:szCs w:val="20"/>
        </w:rPr>
        <w:t xml:space="preserve">fardeau excessif</w:t>
      </w:r>
      <w:r>
        <w:rPr>
          <w:rFonts w:ascii="Calibri" w:cs="Calibri" w:eastAsia="Calibri" w:hAnsi="Calibri"/>
          <w:color w:val="1A1A1A"/>
          <w:sz w:val="20"/>
          <w:szCs w:val="20"/>
        </w:rPr>
        <w:t xml:space="preserve"> » en leur imposant des obligations matériellement irréalisables ou en contradiction profonde avec leurs traditions juridiques (</w:t>
      </w:r>
      <w:r>
        <w:rPr>
          <w:rFonts w:ascii="Calibri" w:cs="Calibri" w:eastAsia="Calibri" w:hAnsi="Calibri"/>
          <w:color w:val="E91E63"/>
          <w:sz w:val="20"/>
          <w:szCs w:val="20"/>
        </w:rPr>
        <w:t xml:space="preserve">CEDH, 28 octobre 1998, Osman c. Royaume-Uni, n° 23452/94</w:t>
      </w:r>
      <w:r>
        <w:rPr>
          <w:rFonts w:ascii="Calibri" w:cs="Calibri" w:eastAsia="Calibri" w:hAnsi="Calibri"/>
          <w:color w:val="1A1A1A"/>
          <w:sz w:val="20"/>
          <w:szCs w:val="20"/>
        </w:rPr>
        <w:t xml:space="preserve">). Elle recourt souvent à la notion de </w:t>
      </w:r>
      <w:r>
        <w:rPr>
          <w:rFonts w:ascii="Calibri" w:cs="Calibri" w:eastAsia="Calibri" w:hAnsi="Calibri"/>
          <w:b/>
          <w:bCs/>
          <w:color w:val="1A1A1A"/>
          <w:sz w:val="20"/>
          <w:szCs w:val="20"/>
        </w:rPr>
        <w:t xml:space="preserve">consensus européen</w:t>
      </w:r>
      <w:r>
        <w:rPr>
          <w:rFonts w:ascii="Calibri" w:cs="Calibri" w:eastAsia="Calibri" w:hAnsi="Calibri"/>
          <w:color w:val="1A1A1A"/>
          <w:sz w:val="20"/>
          <w:szCs w:val="20"/>
        </w:rPr>
        <w:t xml:space="preserve">, en plus du droit international pertinent, afin de dégager de potentielles visions communes (</w:t>
      </w:r>
      <w:r>
        <w:rPr>
          <w:rFonts w:ascii="Calibri" w:cs="Calibri" w:eastAsia="Calibri" w:hAnsi="Calibri"/>
          <w:color w:val="E91E63"/>
          <w:sz w:val="20"/>
          <w:szCs w:val="20"/>
        </w:rPr>
        <w:t xml:space="preserve">CEDH, GC, 15 mars 2018, Naït-Liman c. Suisse, n° 51357/07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revirements</w:t>
      </w:r>
      <w:r>
        <w:rPr>
          <w:rFonts w:ascii="Calibri" w:cs="Calibri" w:eastAsia="Calibri" w:hAnsi="Calibri"/>
          <w:color w:val="1A1A1A"/>
          <w:sz w:val="20"/>
          <w:szCs w:val="20"/>
        </w:rPr>
        <w:t xml:space="preserve"> : la Cour n’est pas liée en principe par sa jurisprudence antérieure (</w:t>
      </w:r>
      <w:r>
        <w:rPr>
          <w:rFonts w:ascii="Calibri" w:cs="Calibri" w:eastAsia="Calibri" w:hAnsi="Calibri"/>
          <w:color w:val="E91E63"/>
          <w:sz w:val="20"/>
          <w:szCs w:val="20"/>
        </w:rPr>
        <w:t xml:space="preserve">CEDH, 27 septembre 1990, Cossey c. Royaume-Uni, n° 10843/84</w:t>
      </w:r>
      <w:r>
        <w:rPr>
          <w:rFonts w:ascii="Calibri" w:cs="Calibri" w:eastAsia="Calibri" w:hAnsi="Calibri"/>
          <w:color w:val="1A1A1A"/>
          <w:sz w:val="20"/>
          <w:szCs w:val="20"/>
        </w:rPr>
        <w:t xml:space="preserve">) ; exemple de revirement : </w:t>
      </w:r>
      <w:r>
        <w:rPr>
          <w:rFonts w:ascii="Calibri" w:cs="Calibri" w:eastAsia="Calibri" w:hAnsi="Calibri"/>
          <w:color w:val="E91E63"/>
          <w:sz w:val="20"/>
          <w:szCs w:val="20"/>
        </w:rPr>
        <w:t xml:space="preserve">CEDH, GC, 11 juillet 2002, Christine Goodwin c. Royaume-Uni, n° 28957/95</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L’évolution peut aussi jouer à la baisse</w:t>
      </w:r>
      <w:r>
        <w:rPr>
          <w:rFonts w:ascii="Calibri" w:cs="Calibri" w:eastAsia="Calibri" w:hAnsi="Calibri"/>
          <w:color w:val="1A1A1A"/>
          <w:sz w:val="20"/>
          <w:szCs w:val="20"/>
        </w:rPr>
        <w:t xml:space="preserve">, entraînant des atteintes plus importantes aux droits garantis (</w:t>
      </w:r>
      <w:r>
        <w:rPr>
          <w:rFonts w:ascii="Calibri" w:cs="Calibri" w:eastAsia="Calibri" w:hAnsi="Calibri"/>
          <w:color w:val="E91E63"/>
          <w:sz w:val="20"/>
          <w:szCs w:val="20"/>
        </w:rPr>
        <w:t xml:space="preserve">CEDH, 18 janvier 2018, FNASS et a. c. France, n° 48151/11 et 77769/13</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2.5. Les obligations positives</w:t>
      </w:r>
    </w:p>
    <w:p>
      <w:pPr>
        <w:pStyle w:val="ListParagraph"/>
        <w:numPr>
          <w:ilvl w:val="0"/>
          <w:numId w:val="2"/>
        </w:numPr>
        <w:spacing w:after="70" w:line="264"/>
        <w:jc w:val="both"/>
      </w:pPr>
      <w:r>
        <w:rPr>
          <w:rFonts w:ascii="Calibri" w:cs="Calibri" w:eastAsia="Calibri" w:hAnsi="Calibri"/>
          <w:b/>
          <w:bCs/>
          <w:color w:val="1A1A1A"/>
          <w:sz w:val="20"/>
          <w:szCs w:val="20"/>
        </w:rPr>
        <w:t xml:space="preserve">Du négatif au positif</w:t>
      </w:r>
      <w:r>
        <w:rPr>
          <w:rFonts w:ascii="Calibri" w:cs="Calibri" w:eastAsia="Calibri" w:hAnsi="Calibri"/>
          <w:color w:val="1A1A1A"/>
          <w:sz w:val="20"/>
          <w:szCs w:val="20"/>
        </w:rPr>
        <w:t xml:space="preserve"> : les États doivent classiquement s’abstenir de commettre des ingérences injustifiées — obligations </w:t>
      </w:r>
      <w:r>
        <w:rPr>
          <w:rFonts w:ascii="Calibri" w:cs="Calibri" w:eastAsia="Calibri" w:hAnsi="Calibri"/>
          <w:b/>
          <w:bCs/>
          <w:color w:val="1A1A1A"/>
          <w:sz w:val="20"/>
          <w:szCs w:val="20"/>
        </w:rPr>
        <w:t xml:space="preserve">négatives</w:t>
      </w:r>
      <w:r>
        <w:rPr>
          <w:rFonts w:ascii="Calibri" w:cs="Calibri" w:eastAsia="Calibri" w:hAnsi="Calibri"/>
          <w:color w:val="1A1A1A"/>
          <w:sz w:val="20"/>
          <w:szCs w:val="20"/>
        </w:rPr>
        <w:t xml:space="preserve">. Mais la Convention faisant l’objet d’une appréciation concrète, les droits garantis ne doivent être « </w:t>
      </w:r>
      <w:r>
        <w:rPr>
          <w:rFonts w:ascii="Calibri" w:cs="Calibri" w:eastAsia="Calibri" w:hAnsi="Calibri"/>
          <w:i/>
          <w:iCs/>
          <w:color w:val="1A1A1A"/>
          <w:sz w:val="20"/>
          <w:szCs w:val="20"/>
        </w:rPr>
        <w:t xml:space="preserve">ni théoriques ni illusoires, mais concrets et effectifs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9 octobre 1979, Airey c. Irlande, n° 6289/73</w:t>
      </w:r>
      <w:r>
        <w:rPr>
          <w:rFonts w:ascii="Calibri" w:cs="Calibri" w:eastAsia="Calibri" w:hAnsi="Calibri"/>
          <w:color w:val="1A1A1A"/>
          <w:sz w:val="20"/>
          <w:szCs w:val="20"/>
        </w:rPr>
        <w:t xml:space="preserve">). Une </w:t>
      </w:r>
      <w:r>
        <w:rPr>
          <w:rFonts w:ascii="Calibri" w:cs="Calibri" w:eastAsia="Calibri" w:hAnsi="Calibri"/>
          <w:b/>
          <w:bCs/>
          <w:color w:val="1A1A1A"/>
          <w:sz w:val="20"/>
          <w:szCs w:val="20"/>
        </w:rPr>
        <w:t xml:space="preserve">abstention</w:t>
      </w:r>
      <w:r>
        <w:rPr>
          <w:rFonts w:ascii="Calibri" w:cs="Calibri" w:eastAsia="Calibri" w:hAnsi="Calibri"/>
          <w:color w:val="1A1A1A"/>
          <w:sz w:val="20"/>
          <w:szCs w:val="20"/>
        </w:rPr>
        <w:t xml:space="preserve"> de l’État peut donc être tout autant constitutive d’une violation qu’une ingérence : l’État doit parfois garantir positivement l’effectivité des droits (</w:t>
      </w:r>
      <w:r>
        <w:rPr>
          <w:rFonts w:ascii="Calibri" w:cs="Calibri" w:eastAsia="Calibri" w:hAnsi="Calibri"/>
          <w:color w:val="E91E63"/>
          <w:sz w:val="20"/>
          <w:szCs w:val="20"/>
        </w:rPr>
        <w:t xml:space="preserve">CEDH, 26 mars 1985, X. et Y. c. Pays-Bas, n° 8978/80</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9 décembre 1994, Lopez Ostra c. Espagne, n° 16798/90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Effet horizontal indirect</w:t>
      </w:r>
      <w:r>
        <w:rPr>
          <w:rFonts w:ascii="Calibri" w:cs="Calibri" w:eastAsia="Calibri" w:hAnsi="Calibri"/>
          <w:color w:val="1A1A1A"/>
          <w:sz w:val="20"/>
          <w:szCs w:val="20"/>
        </w:rPr>
        <w:t xml:space="preserve"> : les obligations positives font produire à la Convention un effet horizontal indirect — l’État peut être poursuivi pour des violations survenues dans des relations </w:t>
      </w:r>
      <w:r>
        <w:rPr>
          <w:rFonts w:ascii="Calibri" w:cs="Calibri" w:eastAsia="Calibri" w:hAnsi="Calibri"/>
          <w:b/>
          <w:bCs/>
          <w:color w:val="1A1A1A"/>
          <w:sz w:val="20"/>
          <w:szCs w:val="20"/>
        </w:rPr>
        <w:t xml:space="preserve">interindividuelles</w:t>
      </w:r>
      <w:r>
        <w:rPr>
          <w:rFonts w:ascii="Calibri" w:cs="Calibri" w:eastAsia="Calibri" w:hAnsi="Calibri"/>
          <w:color w:val="1A1A1A"/>
          <w:sz w:val="20"/>
          <w:szCs w:val="20"/>
        </w:rPr>
        <w:t xml:space="preserve"> en raison de son abstention à adopter des mesures concrètes. Ainsi la Suisse a-t-elle manqué à ses obligations positives issues de l’</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en ne s’assurant pas qu’une audience publique ait pu se tenir dans le cadre de litiges arbitraux entre personnes privées (</w:t>
      </w:r>
      <w:r>
        <w:rPr>
          <w:rFonts w:ascii="Calibri" w:cs="Calibri" w:eastAsia="Calibri" w:hAnsi="Calibri"/>
          <w:color w:val="E91E63"/>
          <w:sz w:val="20"/>
          <w:szCs w:val="20"/>
        </w:rPr>
        <w:t xml:space="preserve">CEDH, 2 octobre 2019, Mutu et Pechstein c. Suisse, n° 40575/10 et 67474/10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Deux ordres d’obligations positives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procédurales</w:t>
      </w:r>
      <w:r>
        <w:rPr>
          <w:rFonts w:ascii="Calibri" w:cs="Calibri" w:eastAsia="Calibri" w:hAnsi="Calibri"/>
          <w:color w:val="1A1A1A"/>
          <w:sz w:val="20"/>
          <w:szCs w:val="20"/>
        </w:rPr>
        <w:t xml:space="preserve"> (mener des enquêtes effectives afin de faire la lumière sur une atteinte potentiellement illégale) et </w:t>
      </w:r>
      <w:r>
        <w:rPr>
          <w:rFonts w:ascii="Calibri" w:cs="Calibri" w:eastAsia="Calibri" w:hAnsi="Calibri"/>
          <w:b/>
          <w:bCs/>
          <w:color w:val="1A1A1A"/>
          <w:sz w:val="20"/>
          <w:szCs w:val="20"/>
        </w:rPr>
        <w:t xml:space="preserve">matérielles</w:t>
      </w:r>
      <w:r>
        <w:rPr>
          <w:rFonts w:ascii="Calibri" w:cs="Calibri" w:eastAsia="Calibri" w:hAnsi="Calibri"/>
          <w:color w:val="1A1A1A"/>
          <w:sz w:val="20"/>
          <w:szCs w:val="20"/>
        </w:rPr>
        <w:t xml:space="preserve"> (adopter des moyens concrets garantissant l’effectivité d’un droit — aide juridictionnelle pour l’accès au tribunal, </w:t>
      </w:r>
      <w:r>
        <w:rPr>
          <w:rFonts w:ascii="Calibri" w:cs="Calibri" w:eastAsia="Calibri" w:hAnsi="Calibri"/>
          <w:color w:val="E91E63"/>
          <w:sz w:val="20"/>
          <w:szCs w:val="20"/>
        </w:rPr>
        <w:t xml:space="preserve">Airey</w:t>
      </w:r>
      <w:r>
        <w:rPr>
          <w:rFonts w:ascii="Calibri" w:cs="Calibri" w:eastAsia="Calibri" w:hAnsi="Calibri"/>
          <w:color w:val="1A1A1A"/>
          <w:sz w:val="20"/>
          <w:szCs w:val="20"/>
        </w:rPr>
        <w:t xml:space="preserve"> ; dispositions sanctionnant effectivement le viol, </w:t>
      </w:r>
      <w:r>
        <w:rPr>
          <w:rFonts w:ascii="Calibri" w:cs="Calibri" w:eastAsia="Calibri" w:hAnsi="Calibri"/>
          <w:color w:val="E91E63"/>
          <w:sz w:val="20"/>
          <w:szCs w:val="20"/>
        </w:rPr>
        <w:t xml:space="preserve">M.C. c. Bulgarie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 — les obligations positives face aux nouvelles menaces démocratiques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22 juillet 2025, Bradshaw et autres c. Royaume-Uni, n° 15653/22</w:t>
      </w:r>
      <w:r>
        <w:rPr>
          <w:rFonts w:ascii="Calibri" w:cs="Calibri" w:eastAsia="Calibri" w:hAnsi="Calibri"/>
          <w:color w:val="1A1A1A"/>
          <w:sz w:val="20"/>
          <w:szCs w:val="20"/>
        </w:rPr>
        <w:t xml:space="preserve">. La Cour examine pour la première fois l’ingérence systématique d’un État étranger (en l’espèce la Russie) dans des processus électoraux, au moyen de campagnes de désinformation, de cyberattaques et de réseaux sociaux. Elle admet que l’</w:t>
      </w:r>
      <w:r>
        <w:rPr>
          <w:rFonts w:ascii="Calibri" w:cs="Calibri" w:eastAsia="Calibri" w:hAnsi="Calibri"/>
          <w:color w:val="1E88E5"/>
          <w:sz w:val="20"/>
          <w:szCs w:val="20"/>
        </w:rPr>
        <w:t xml:space="preserve">art. 3 du Protocole n° 1</w:t>
      </w:r>
      <w:r>
        <w:rPr>
          <w:rFonts w:ascii="Calibri" w:cs="Calibri" w:eastAsia="Calibri" w:hAnsi="Calibri"/>
          <w:color w:val="1A1A1A"/>
          <w:sz w:val="20"/>
          <w:szCs w:val="20"/>
        </w:rPr>
        <w:t xml:space="preserve"> peut imposer aux États des </w:t>
      </w:r>
      <w:r>
        <w:rPr>
          <w:rFonts w:ascii="Calibri" w:cs="Calibri" w:eastAsia="Calibri" w:hAnsi="Calibri"/>
          <w:b/>
          <w:bCs/>
          <w:color w:val="1A1A1A"/>
          <w:sz w:val="20"/>
          <w:szCs w:val="20"/>
        </w:rPr>
        <w:t xml:space="preserve">obligations positives</w:t>
      </w:r>
      <w:r>
        <w:rPr>
          <w:rFonts w:ascii="Calibri" w:cs="Calibri" w:eastAsia="Calibri" w:hAnsi="Calibri"/>
          <w:color w:val="1A1A1A"/>
          <w:sz w:val="20"/>
          <w:szCs w:val="20"/>
        </w:rPr>
        <w:t xml:space="preserve"> afin de protéger l’intégrité du processus électoral contre de telles menaces, mais conclut à l’</w:t>
      </w:r>
      <w:r>
        <w:rPr>
          <w:rFonts w:ascii="Calibri" w:cs="Calibri" w:eastAsia="Calibri" w:hAnsi="Calibri"/>
          <w:b/>
          <w:bCs/>
          <w:color w:val="1A1A1A"/>
          <w:sz w:val="20"/>
          <w:szCs w:val="20"/>
        </w:rPr>
        <w:t xml:space="preserve">absence de violation</w:t>
      </w:r>
      <w:r>
        <w:rPr>
          <w:rFonts w:ascii="Calibri" w:cs="Calibri" w:eastAsia="Calibri" w:hAnsi="Calibri"/>
          <w:color w:val="1A1A1A"/>
          <w:sz w:val="20"/>
          <w:szCs w:val="20"/>
        </w:rPr>
        <w:t xml:space="preserve"> compte tenu des mesures finalement prises par les autorités britanniques. </w:t>
      </w:r>
      <w:r>
        <w:rPr>
          <w:rFonts w:ascii="Calibri" w:cs="Calibri" w:eastAsia="Calibri" w:hAnsi="Calibri"/>
          <w:b/>
          <w:bCs/>
          <w:color w:val="1A1A1A"/>
          <w:sz w:val="20"/>
          <w:szCs w:val="20"/>
        </w:rPr>
        <w:t xml:space="preserve">À retenir</w:t>
      </w:r>
      <w:r>
        <w:rPr>
          <w:rFonts w:ascii="Calibri" w:cs="Calibri" w:eastAsia="Calibri" w:hAnsi="Calibri"/>
          <w:color w:val="1A1A1A"/>
          <w:sz w:val="20"/>
          <w:szCs w:val="20"/>
        </w:rPr>
        <w:t xml:space="preserve"> : les obligations positives permettent à la Cour d’adapter la Convention à des menaces qui n’étaient pas envisagées lors de sa rédaction.</w:t>
      </w:r>
    </w:p>
    <w:p>
      <w:pPr>
        <w:pStyle w:val="Heading3"/>
        <w:spacing w:after="90" w:before="200"/>
      </w:pPr>
      <w:r>
        <w:rPr>
          <w:rFonts w:ascii="Calibri" w:cs="Calibri" w:eastAsia="Calibri" w:hAnsi="Calibri"/>
          <w:b/>
          <w:bCs/>
          <w:i/>
          <w:iCs/>
          <w:color w:val="5A5A5A"/>
          <w:sz w:val="21"/>
          <w:szCs w:val="21"/>
        </w:rPr>
        <w:t xml:space="preserve">2.6. Les concepts modérateurs</w:t>
      </w:r>
    </w:p>
    <w:p>
      <w:pPr>
        <w:pStyle w:val="ListParagraph"/>
        <w:numPr>
          <w:ilvl w:val="0"/>
          <w:numId w:val="2"/>
        </w:numPr>
        <w:spacing w:after="70" w:line="264"/>
        <w:jc w:val="both"/>
      </w:pPr>
      <w:r>
        <w:rPr>
          <w:rFonts w:ascii="Calibri" w:cs="Calibri" w:eastAsia="Calibri" w:hAnsi="Calibri"/>
          <w:b/>
          <w:bCs/>
          <w:color w:val="1A1A1A"/>
          <w:sz w:val="20"/>
          <w:szCs w:val="20"/>
        </w:rPr>
        <w:t xml:space="preserve">Subsidiarité</w:t>
      </w:r>
      <w:r>
        <w:rPr>
          <w:rFonts w:ascii="Calibri" w:cs="Calibri" w:eastAsia="Calibri" w:hAnsi="Calibri"/>
          <w:color w:val="1A1A1A"/>
          <w:sz w:val="20"/>
          <w:szCs w:val="20"/>
        </w:rPr>
        <w:t xml:space="preserve"> : la Cour n’est pas un quatrième ordre de juridiction et ne peut se substituer aux juridictions nationales. Notion développée par la jurisprudence avant d’être consacrée dans le préambule par le </w:t>
      </w:r>
      <w:r>
        <w:rPr>
          <w:rFonts w:ascii="Calibri" w:cs="Calibri" w:eastAsia="Calibri" w:hAnsi="Calibri"/>
          <w:color w:val="1E88E5"/>
          <w:sz w:val="20"/>
          <w:szCs w:val="20"/>
        </w:rPr>
        <w:t xml:space="preserve">Protocole n° 15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23 juillet 1968, Affaire linguistique belge, n° 1474/62, 1677/62, 1691/62, 1769/63, 1994/63 et 2126/64</w:t>
      </w:r>
      <w:r>
        <w:rPr>
          <w:rFonts w:ascii="Calibri" w:cs="Calibri" w:eastAsia="Calibri" w:hAnsi="Calibri"/>
          <w:color w:val="1A1A1A"/>
          <w:sz w:val="20"/>
          <w:szCs w:val="20"/>
        </w:rPr>
        <w:t xml:space="preserve">). Elle transparaît des exigences de recevabilité de l’</w:t>
      </w:r>
      <w:r>
        <w:rPr>
          <w:rFonts w:ascii="Calibri" w:cs="Calibri" w:eastAsia="Calibri" w:hAnsi="Calibri"/>
          <w:color w:val="1E88E5"/>
          <w:sz w:val="20"/>
          <w:szCs w:val="20"/>
        </w:rPr>
        <w:t xml:space="preserve">art. 35</w:t>
      </w:r>
      <w:r>
        <w:rPr>
          <w:rFonts w:ascii="Calibri" w:cs="Calibri" w:eastAsia="Calibri" w:hAnsi="Calibri"/>
          <w:color w:val="1A1A1A"/>
          <w:sz w:val="20"/>
          <w:szCs w:val="20"/>
        </w:rPr>
        <w:t xml:space="preserve">, notamment l’</w:t>
      </w:r>
      <w:r>
        <w:rPr>
          <w:rFonts w:ascii="Calibri" w:cs="Calibri" w:eastAsia="Calibri" w:hAnsi="Calibri"/>
          <w:b/>
          <w:bCs/>
          <w:color w:val="1A1A1A"/>
          <w:sz w:val="20"/>
          <w:szCs w:val="20"/>
        </w:rPr>
        <w:t xml:space="preserve">épuisement des voies de recours internes</w:t>
      </w:r>
      <w:r>
        <w:rPr>
          <w:rFonts w:ascii="Calibri" w:cs="Calibri" w:eastAsia="Calibri" w:hAnsi="Calibri"/>
          <w:color w:val="1A1A1A"/>
          <w:sz w:val="20"/>
          <w:szCs w:val="20"/>
        </w:rPr>
        <w:t xml:space="preserve"> : les requérants doivent avoir épuisé toutes les voies utiles, nécessaires et adéquates, l’État devant avoir eu la possibilité de remédier à la violation avant toute saisine (</w:t>
      </w:r>
      <w:r>
        <w:rPr>
          <w:rFonts w:ascii="Calibri" w:cs="Calibri" w:eastAsia="Calibri" w:hAnsi="Calibri"/>
          <w:color w:val="E91E63"/>
          <w:sz w:val="20"/>
          <w:szCs w:val="20"/>
        </w:rPr>
        <w:t xml:space="preserve">CEDH, GC, 16 décembre 2010, A., B. et C. c. Irlande, n° 25579/05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Marge nationale d’appréciation</w:t>
      </w:r>
      <w:r>
        <w:rPr>
          <w:rFonts w:ascii="Calibri" w:cs="Calibri" w:eastAsia="Calibri" w:hAnsi="Calibri"/>
          <w:color w:val="1A1A1A"/>
          <w:sz w:val="20"/>
          <w:szCs w:val="20"/>
        </w:rPr>
        <w:t xml:space="preserve"> : les obligations de la Convention ne prescrivent ni uniformisation des ordres juridiques ni comportements spécifiques ; les États disposent d’une </w:t>
      </w:r>
      <w:r>
        <w:rPr>
          <w:rFonts w:ascii="Calibri" w:cs="Calibri" w:eastAsia="Calibri" w:hAnsi="Calibri"/>
          <w:b/>
          <w:bCs/>
          <w:color w:val="1A1A1A"/>
          <w:sz w:val="20"/>
          <w:szCs w:val="20"/>
        </w:rPr>
        <w:t xml:space="preserve">multiplicité de solutions</w:t>
      </w:r>
      <w:r>
        <w:rPr>
          <w:rFonts w:ascii="Calibri" w:cs="Calibri" w:eastAsia="Calibri" w:hAnsi="Calibri"/>
          <w:color w:val="1A1A1A"/>
          <w:sz w:val="20"/>
          <w:szCs w:val="20"/>
        </w:rPr>
        <w:t xml:space="preserve">. La marge permet à la Cour de déterminer l’applicabilité de certaines dispositions et constitue surtout un </w:t>
      </w:r>
      <w:r>
        <w:rPr>
          <w:rFonts w:ascii="Calibri" w:cs="Calibri" w:eastAsia="Calibri" w:hAnsi="Calibri"/>
          <w:b/>
          <w:bCs/>
          <w:color w:val="1A1A1A"/>
          <w:sz w:val="20"/>
          <w:szCs w:val="20"/>
        </w:rPr>
        <w:t xml:space="preserve">outil de contrôle de la proportionnalité</w:t>
      </w:r>
      <w:r>
        <w:rPr>
          <w:rFonts w:ascii="Calibri" w:cs="Calibri" w:eastAsia="Calibri" w:hAnsi="Calibri"/>
          <w:color w:val="1A1A1A"/>
          <w:sz w:val="20"/>
          <w:szCs w:val="20"/>
        </w:rPr>
        <w:t xml:space="preserve"> de l’ingérence étatique : son intensité détermine la liberté laissée aux États et donc l’intensité du contrôle. </w:t>
      </w:r>
      <w:r>
        <w:rPr>
          <w:rFonts w:ascii="Calibri" w:cs="Calibri" w:eastAsia="Calibri" w:hAnsi="Calibri"/>
          <w:b/>
          <w:bCs/>
          <w:color w:val="1A1A1A"/>
          <w:sz w:val="20"/>
          <w:szCs w:val="20"/>
        </w:rPr>
        <w:t xml:space="preserve">Plus la marge est restreinte, moins les États disposent d’une liberté de choix</w:t>
      </w:r>
      <w:r>
        <w:rPr>
          <w:rFonts w:ascii="Calibri" w:cs="Calibri" w:eastAsia="Calibri" w:hAnsi="Calibri"/>
          <w:color w:val="1A1A1A"/>
          <w:sz w:val="20"/>
          <w:szCs w:val="20"/>
        </w:rPr>
        <w:t xml:space="preserve"> ; en présence d’un consensus international ou d’une disposition importante de la Convention, elle est considérablement réduite.</w:t>
      </w:r>
    </w:p>
    <w:p>
      <w:pPr>
        <w:pStyle w:val="Heading3"/>
        <w:spacing w:after="90" w:before="200"/>
      </w:pPr>
      <w:r>
        <w:rPr>
          <w:rFonts w:ascii="Calibri" w:cs="Calibri" w:eastAsia="Calibri" w:hAnsi="Calibri"/>
          <w:b/>
          <w:bCs/>
          <w:i/>
          <w:iCs/>
          <w:color w:val="5A5A5A"/>
          <w:sz w:val="21"/>
          <w:szCs w:val="21"/>
        </w:rPr>
        <w:t xml:space="preserve">2.7. La procédure d’avis</w:t>
      </w:r>
    </w:p>
    <w:p>
      <w:pPr>
        <w:pStyle w:val="ListParagraph"/>
        <w:numPr>
          <w:ilvl w:val="0"/>
          <w:numId w:val="2"/>
        </w:numPr>
        <w:spacing w:after="70" w:line="264"/>
        <w:jc w:val="both"/>
      </w:pPr>
      <w:r>
        <w:rPr>
          <w:rFonts w:ascii="Calibri" w:cs="Calibri" w:eastAsia="Calibri" w:hAnsi="Calibri"/>
          <w:color w:val="1A1A1A"/>
          <w:sz w:val="20"/>
          <w:szCs w:val="20"/>
        </w:rPr>
        <w:t xml:space="preserve">Depuis l’entrée en vigueur du </w:t>
      </w:r>
      <w:r>
        <w:rPr>
          <w:rFonts w:ascii="Calibri" w:cs="Calibri" w:eastAsia="Calibri" w:hAnsi="Calibri"/>
          <w:color w:val="1E88E5"/>
          <w:sz w:val="20"/>
          <w:szCs w:val="20"/>
        </w:rPr>
        <w:t xml:space="preserve">Protocole n° 16</w:t>
      </w:r>
      <w:r>
        <w:rPr>
          <w:rFonts w:ascii="Calibri" w:cs="Calibri" w:eastAsia="Calibri" w:hAnsi="Calibri"/>
          <w:color w:val="1A1A1A"/>
          <w:sz w:val="20"/>
          <w:szCs w:val="20"/>
        </w:rPr>
        <w:t xml:space="preserve"> le </w:t>
      </w:r>
      <w:r>
        <w:rPr>
          <w:rFonts w:ascii="Calibri" w:cs="Calibri" w:eastAsia="Calibri" w:hAnsi="Calibri"/>
          <w:b/>
          <w:bCs/>
          <w:color w:val="1A1A1A"/>
          <w:sz w:val="20"/>
          <w:szCs w:val="20"/>
        </w:rPr>
        <w:t xml:space="preserve">1er août 2018</w:t>
      </w:r>
      <w:r>
        <w:rPr>
          <w:rFonts w:ascii="Calibri" w:cs="Calibri" w:eastAsia="Calibri" w:hAnsi="Calibri"/>
          <w:color w:val="1A1A1A"/>
          <w:sz w:val="20"/>
          <w:szCs w:val="20"/>
        </w:rPr>
        <w:t xml:space="preserve">, la Cour peut être saisie pour avis par les hautes juridictions désignées par les États parties, sur des </w:t>
      </w:r>
      <w:r>
        <w:rPr>
          <w:rFonts w:ascii="Calibri" w:cs="Calibri" w:eastAsia="Calibri" w:hAnsi="Calibri"/>
          <w:b/>
          <w:bCs/>
          <w:color w:val="1A1A1A"/>
          <w:sz w:val="20"/>
          <w:szCs w:val="20"/>
        </w:rPr>
        <w:t xml:space="preserve">questions de principe</w:t>
      </w:r>
      <w:r>
        <w:rPr>
          <w:rFonts w:ascii="Calibri" w:cs="Calibri" w:eastAsia="Calibri" w:hAnsi="Calibri"/>
          <w:color w:val="1A1A1A"/>
          <w:sz w:val="20"/>
          <w:szCs w:val="20"/>
        </w:rPr>
        <w:t xml:space="preserve"> relatives à l’interprétation ou à l’application des droits et libertés de la Convention et de ses protocoles. La demande doit être </w:t>
      </w:r>
      <w:r>
        <w:rPr>
          <w:rFonts w:ascii="Calibri" w:cs="Calibri" w:eastAsia="Calibri" w:hAnsi="Calibri"/>
          <w:b/>
          <w:bCs/>
          <w:color w:val="1A1A1A"/>
          <w:sz w:val="20"/>
          <w:szCs w:val="20"/>
        </w:rPr>
        <w:t xml:space="preserve">motivée</w:t>
      </w:r>
      <w:r>
        <w:rPr>
          <w:rFonts w:ascii="Calibri" w:cs="Calibri" w:eastAsia="Calibri" w:hAnsi="Calibri"/>
          <w:color w:val="1A1A1A"/>
          <w:sz w:val="20"/>
          <w:szCs w:val="20"/>
        </w:rPr>
        <w:t xml:space="preserve"> par la juridiction interne et ne peut concerner que des </w:t>
      </w:r>
      <w:r>
        <w:rPr>
          <w:rFonts w:ascii="Calibri" w:cs="Calibri" w:eastAsia="Calibri" w:hAnsi="Calibri"/>
          <w:b/>
          <w:bCs/>
          <w:color w:val="1A1A1A"/>
          <w:sz w:val="20"/>
          <w:szCs w:val="20"/>
        </w:rPr>
        <w:t xml:space="preserve">affaires pendantes</w:t>
      </w:r>
      <w:r>
        <w:rPr>
          <w:rFonts w:ascii="Calibri" w:cs="Calibri" w:eastAsia="Calibri" w:hAnsi="Calibri"/>
          <w:color w:val="1A1A1A"/>
          <w:sz w:val="20"/>
          <w:szCs w:val="20"/>
        </w:rPr>
        <w:t xml:space="preserve">. Un </w:t>
      </w:r>
      <w:r>
        <w:rPr>
          <w:rFonts w:ascii="Calibri" w:cs="Calibri" w:eastAsia="Calibri" w:hAnsi="Calibri"/>
          <w:b/>
          <w:bCs/>
          <w:color w:val="1A1A1A"/>
          <w:sz w:val="20"/>
          <w:szCs w:val="20"/>
        </w:rPr>
        <w:t xml:space="preserve">collège de cinq juges</w:t>
      </w:r>
      <w:r>
        <w:rPr>
          <w:rFonts w:ascii="Calibri" w:cs="Calibri" w:eastAsia="Calibri" w:hAnsi="Calibri"/>
          <w:color w:val="1A1A1A"/>
          <w:sz w:val="20"/>
          <w:szCs w:val="20"/>
        </w:rPr>
        <w:t xml:space="preserve"> de la Grande chambre se prononce sur la recevabilité ; en cas de recevabilité, la Grande chambre formule l’avis.</w:t>
      </w:r>
    </w:p>
    <w:p>
      <w:pPr>
        <w:pStyle w:val="ListParagraph"/>
        <w:numPr>
          <w:ilvl w:val="0"/>
          <w:numId w:val="2"/>
        </w:numPr>
        <w:spacing w:after="70" w:line="264"/>
        <w:jc w:val="both"/>
      </w:pPr>
      <w:r>
        <w:rPr>
          <w:rFonts w:ascii="Calibri" w:cs="Calibri" w:eastAsia="Calibri" w:hAnsi="Calibri"/>
          <w:b/>
          <w:bCs/>
          <w:color w:val="1A1A1A"/>
          <w:sz w:val="20"/>
          <w:szCs w:val="20"/>
        </w:rPr>
        <w:t xml:space="preserve">Illustrations</w:t>
      </w:r>
      <w:r>
        <w:rPr>
          <w:rFonts w:ascii="Calibri" w:cs="Calibri" w:eastAsia="Calibri" w:hAnsi="Calibri"/>
          <w:color w:val="1A1A1A"/>
          <w:sz w:val="20"/>
          <w:szCs w:val="20"/>
        </w:rPr>
        <w:t xml:space="preserve"> : première procédure initiée par la France dans les réminiscences de l’affaire </w:t>
      </w:r>
      <w:r>
        <w:rPr>
          <w:rFonts w:ascii="Calibri" w:cs="Calibri" w:eastAsia="Calibri" w:hAnsi="Calibri"/>
          <w:i/>
          <w:iCs/>
          <w:color w:val="1A1A1A"/>
          <w:sz w:val="20"/>
          <w:szCs w:val="20"/>
        </w:rPr>
        <w:t xml:space="preserve">Mennesson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avis du 10 avril 2019, n° P16-2018-001</w:t>
      </w:r>
      <w:r>
        <w:rPr>
          <w:rFonts w:ascii="Calibri" w:cs="Calibri" w:eastAsia="Calibri" w:hAnsi="Calibri"/>
          <w:color w:val="1A1A1A"/>
          <w:sz w:val="20"/>
          <w:szCs w:val="20"/>
        </w:rPr>
        <w:t xml:space="preserve">, relatif à la reconnaissance en droit interne d’un lien de filiation entre un enfant né d’une GPA pratiquée à l’étranger et la mère d’intention. La Cour peut déclarer une demande irrecevable (</w:t>
      </w:r>
      <w:r>
        <w:rPr>
          <w:rFonts w:ascii="Calibri" w:cs="Calibri" w:eastAsia="Calibri" w:hAnsi="Calibri"/>
          <w:color w:val="E91E63"/>
          <w:sz w:val="20"/>
          <w:szCs w:val="20"/>
        </w:rPr>
        <w:t xml:space="preserve">CEDH, 26 juin 2024, n° P16-2024-001</w:t>
      </w:r>
      <w:r>
        <w:rPr>
          <w:rFonts w:ascii="Calibri" w:cs="Calibri" w:eastAsia="Calibri" w:hAnsi="Calibri"/>
          <w:color w:val="1A1A1A"/>
          <w:sz w:val="20"/>
          <w:szCs w:val="20"/>
        </w:rPr>
        <w:t xml:space="preserve">). Les avis sont </w:t>
      </w:r>
      <w:r>
        <w:rPr>
          <w:rFonts w:ascii="Calibri" w:cs="Calibri" w:eastAsia="Calibri" w:hAnsi="Calibri"/>
          <w:b/>
          <w:bCs/>
          <w:color w:val="1A1A1A"/>
          <w:sz w:val="20"/>
          <w:szCs w:val="20"/>
        </w:rPr>
        <w:t xml:space="preserve">dépourvus de force obligatoire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 du Protocole n° 16</w:t>
      </w:r>
      <w:r>
        <w:rPr>
          <w:rFonts w:ascii="Calibri" w:cs="Calibri" w:eastAsia="Calibri" w:hAnsi="Calibri"/>
          <w:color w:val="1A1A1A"/>
          <w:sz w:val="20"/>
          <w:szCs w:val="20"/>
        </w:rPr>
        <w:t xml:space="preserve">), mais la France semble en avoir pris bonne note, la Cour de cassation les mobilisant pour motiver son contrôle concret de conventionnalité (</w:t>
      </w:r>
      <w:r>
        <w:rPr>
          <w:rFonts w:ascii="Calibri" w:cs="Calibri" w:eastAsia="Calibri" w:hAnsi="Calibri"/>
          <w:color w:val="E91E63"/>
          <w:sz w:val="20"/>
          <w:szCs w:val="20"/>
        </w:rPr>
        <w:t xml:space="preserve">Cass. civ. 1re, 14 novembre 2024, n° 23-50.016</w:t>
      </w:r>
      <w:r>
        <w:rPr>
          <w:rFonts w:ascii="Calibri" w:cs="Calibri" w:eastAsia="Calibri" w:hAnsi="Calibri"/>
          <w:color w:val="1A1A1A"/>
          <w:sz w:val="20"/>
          <w:szCs w:val="20"/>
        </w:rPr>
        <w:t xml:space="preserve">). Ils devraient en outre jouir d’une autorité de la chose jugée au même titre que la jurisprudence contentieuse (</w:t>
      </w:r>
      <w:r>
        <w:rPr>
          <w:rFonts w:ascii="Calibri" w:cs="Calibri" w:eastAsia="Calibri" w:hAnsi="Calibri"/>
          <w:color w:val="E91E63"/>
          <w:sz w:val="20"/>
          <w:szCs w:val="20"/>
        </w:rPr>
        <w:t xml:space="preserve">CEDH, 16 juillet 2020, D. c. France, n° 11288/18</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 portée des arrêts</w:t>
      </w:r>
    </w:p>
    <w:p>
      <w:pPr>
        <w:pStyle w:val="ListParagraph"/>
        <w:numPr>
          <w:ilvl w:val="0"/>
          <w:numId w:val="2"/>
        </w:numPr>
        <w:spacing w:after="70" w:line="264"/>
        <w:jc w:val="both"/>
      </w:pPr>
      <w:r>
        <w:rPr>
          <w:rFonts w:ascii="Calibri" w:cs="Calibri" w:eastAsia="Calibri" w:hAnsi="Calibri"/>
          <w:b/>
          <w:bCs/>
          <w:color w:val="1A1A1A"/>
          <w:sz w:val="20"/>
          <w:szCs w:val="20"/>
        </w:rPr>
        <w:t xml:space="preserve">Absence de force exécutoire automatique</w:t>
      </w:r>
      <w:r>
        <w:rPr>
          <w:rFonts w:ascii="Calibri" w:cs="Calibri" w:eastAsia="Calibri" w:hAnsi="Calibri"/>
          <w:color w:val="1A1A1A"/>
          <w:sz w:val="20"/>
          <w:szCs w:val="20"/>
        </w:rPr>
        <w:t xml:space="preserve"> : la Cour ne condamne pas les individus ; ses arrêts sont obligatoires à l’égard des </w:t>
      </w:r>
      <w:r>
        <w:rPr>
          <w:rFonts w:ascii="Calibri" w:cs="Calibri" w:eastAsia="Calibri" w:hAnsi="Calibri"/>
          <w:b/>
          <w:bCs/>
          <w:color w:val="1A1A1A"/>
          <w:sz w:val="20"/>
          <w:szCs w:val="20"/>
        </w:rPr>
        <w:t xml:space="preserve">États parties au litige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46 § 1</w:t>
      </w:r>
      <w:r>
        <w:rPr>
          <w:rFonts w:ascii="Calibri" w:cs="Calibri" w:eastAsia="Calibri" w:hAnsi="Calibri"/>
          <w:color w:val="1A1A1A"/>
          <w:sz w:val="20"/>
          <w:szCs w:val="20"/>
        </w:rPr>
        <w:t xml:space="preserve">). Ils sont dépourvus d’effet exécutoire en droit interne : l’État doit prendre des mesures internes lui permettant de se conformer à ses obligations et d’effacer autant que faire se peut la violation.</w:t>
      </w:r>
    </w:p>
    <w:p>
      <w:pPr>
        <w:pStyle w:val="ListParagraph"/>
        <w:numPr>
          <w:ilvl w:val="0"/>
          <w:numId w:val="2"/>
        </w:numPr>
        <w:spacing w:after="70" w:line="264"/>
        <w:jc w:val="both"/>
      </w:pPr>
      <w:r>
        <w:rPr>
          <w:rFonts w:ascii="Calibri" w:cs="Calibri" w:eastAsia="Calibri" w:hAnsi="Calibri"/>
          <w:b/>
          <w:bCs/>
          <w:color w:val="1A1A1A"/>
          <w:sz w:val="20"/>
          <w:szCs w:val="20"/>
        </w:rPr>
        <w:t xml:space="preserve">Satisfaction équitable et </w:t>
      </w:r>
      <w:r>
        <w:rPr>
          <w:rFonts w:ascii="Calibri" w:cs="Calibri" w:eastAsia="Calibri" w:hAnsi="Calibri"/>
          <w:b/>
          <w:bCs/>
          <w:i/>
          <w:iCs/>
          <w:color w:val="1A1A1A"/>
          <w:sz w:val="20"/>
          <w:szCs w:val="20"/>
        </w:rPr>
        <w:t xml:space="preserve">restitutio in integrum</w:t>
      </w:r>
      <w:r>
        <w:rPr>
          <w:rFonts w:ascii="Calibri" w:cs="Calibri" w:eastAsia="Calibri" w:hAnsi="Calibri"/>
          <w:color w:val="1A1A1A"/>
          <w:sz w:val="20"/>
          <w:szCs w:val="20"/>
        </w:rPr>
        <w:t xml:space="preserve"> : la Cour peut condamner l’État à verser une somme d’argent (</w:t>
      </w:r>
      <w:r>
        <w:rPr>
          <w:rFonts w:ascii="Calibri" w:cs="Calibri" w:eastAsia="Calibri" w:hAnsi="Calibri"/>
          <w:color w:val="1E88E5"/>
          <w:sz w:val="20"/>
          <w:szCs w:val="20"/>
        </w:rPr>
        <w:t xml:space="preserve">art. 41</w:t>
      </w:r>
      <w:r>
        <w:rPr>
          <w:rFonts w:ascii="Calibri" w:cs="Calibri" w:eastAsia="Calibri" w:hAnsi="Calibri"/>
          <w:color w:val="1A1A1A"/>
          <w:sz w:val="20"/>
          <w:szCs w:val="20"/>
        </w:rPr>
        <w:t xml:space="preserve">) ou le contraindre, pour autant que cela soit possible et non disproportionné, à rétablir le </w:t>
      </w:r>
      <w:r>
        <w:rPr>
          <w:rFonts w:ascii="Calibri" w:cs="Calibri" w:eastAsia="Calibri" w:hAnsi="Calibri"/>
          <w:i/>
          <w:iCs/>
          <w:color w:val="1A1A1A"/>
          <w:sz w:val="20"/>
          <w:szCs w:val="20"/>
        </w:rPr>
        <w:t xml:space="preserve">status quo ante</w:t>
      </w:r>
      <w:r>
        <w:rPr>
          <w:rFonts w:ascii="Calibri" w:cs="Calibri" w:eastAsia="Calibri" w:hAnsi="Calibri"/>
          <w:color w:val="1A1A1A"/>
          <w:sz w:val="20"/>
          <w:szCs w:val="20"/>
        </w:rPr>
        <w:t xml:space="preserve"> en supprimant les sources de la violation (</w:t>
      </w:r>
      <w:r>
        <w:rPr>
          <w:rFonts w:ascii="Calibri" w:cs="Calibri" w:eastAsia="Calibri" w:hAnsi="Calibri"/>
          <w:color w:val="E91E63"/>
          <w:sz w:val="20"/>
          <w:szCs w:val="20"/>
        </w:rPr>
        <w:t xml:space="preserve">CEDH, 31 octobre 1995, Papamichalopoulos et a. c. Grèce (art. 50), n° 14556/89</w:t>
      </w:r>
      <w:r>
        <w:rPr>
          <w:rFonts w:ascii="Calibri" w:cs="Calibri" w:eastAsia="Calibri" w:hAnsi="Calibri"/>
          <w:color w:val="1A1A1A"/>
          <w:sz w:val="20"/>
          <w:szCs w:val="20"/>
        </w:rPr>
        <w:t xml:space="preserve">). L’État dispose en principe d’une </w:t>
      </w:r>
      <w:r>
        <w:rPr>
          <w:rFonts w:ascii="Calibri" w:cs="Calibri" w:eastAsia="Calibri" w:hAnsi="Calibri"/>
          <w:b/>
          <w:bCs/>
          <w:color w:val="1A1A1A"/>
          <w:sz w:val="20"/>
          <w:szCs w:val="20"/>
        </w:rPr>
        <w:t xml:space="preserve">liberté dans le choix des mesures</w:t>
      </w:r>
      <w:r>
        <w:rPr>
          <w:rFonts w:ascii="Calibri" w:cs="Calibri" w:eastAsia="Calibri" w:hAnsi="Calibri"/>
          <w:color w:val="1A1A1A"/>
          <w:sz w:val="20"/>
          <w:szCs w:val="20"/>
        </w:rPr>
        <w:t xml:space="preserve"> ; exceptionnellement, la Cour peut les indiquer.</w:t>
      </w:r>
    </w:p>
    <w:p>
      <w:pPr>
        <w:pStyle w:val="ListParagraph"/>
        <w:numPr>
          <w:ilvl w:val="0"/>
          <w:numId w:val="2"/>
        </w:numPr>
        <w:spacing w:after="70" w:line="264"/>
        <w:jc w:val="both"/>
      </w:pPr>
      <w:r>
        <w:rPr>
          <w:rFonts w:ascii="Calibri" w:cs="Calibri" w:eastAsia="Calibri" w:hAnsi="Calibri"/>
          <w:b/>
          <w:bCs/>
          <w:color w:val="1A1A1A"/>
          <w:sz w:val="20"/>
          <w:szCs w:val="20"/>
        </w:rPr>
        <w:t xml:space="preserve">Arrêts pilotes</w:t>
      </w:r>
      <w:r>
        <w:rPr>
          <w:rFonts w:ascii="Calibri" w:cs="Calibri" w:eastAsia="Calibri" w:hAnsi="Calibri"/>
          <w:color w:val="1A1A1A"/>
          <w:sz w:val="20"/>
          <w:szCs w:val="20"/>
        </w:rPr>
        <w:t xml:space="preserve"> : initiée face à l’engorgement critique du début des années 2000 (plus de </w:t>
      </w:r>
      <w:r>
        <w:rPr>
          <w:rFonts w:ascii="Calibri" w:cs="Calibri" w:eastAsia="Calibri" w:hAnsi="Calibri"/>
          <w:b/>
          <w:bCs/>
          <w:color w:val="1A1A1A"/>
          <w:sz w:val="20"/>
          <w:szCs w:val="20"/>
        </w:rPr>
        <w:t xml:space="preserve">150 000 requêtes pendantes en 2011</w:t>
      </w:r>
      <w:r>
        <w:rPr>
          <w:rFonts w:ascii="Calibri" w:cs="Calibri" w:eastAsia="Calibri" w:hAnsi="Calibri"/>
          <w:color w:val="1A1A1A"/>
          <w:sz w:val="20"/>
          <w:szCs w:val="20"/>
        </w:rPr>
        <w:t xml:space="preserve">), la méthode consiste à identifier la source d’une violation </w:t>
      </w:r>
      <w:r>
        <w:rPr>
          <w:rFonts w:ascii="Calibri" w:cs="Calibri" w:eastAsia="Calibri" w:hAnsi="Calibri"/>
          <w:b/>
          <w:bCs/>
          <w:color w:val="1A1A1A"/>
          <w:sz w:val="20"/>
          <w:szCs w:val="20"/>
        </w:rPr>
        <w:t xml:space="preserve">structurelle ou systémique</w:t>
      </w:r>
      <w:r>
        <w:rPr>
          <w:rFonts w:ascii="Calibri" w:cs="Calibri" w:eastAsia="Calibri" w:hAnsi="Calibri"/>
          <w:color w:val="1A1A1A"/>
          <w:sz w:val="20"/>
          <w:szCs w:val="20"/>
        </w:rPr>
        <w:t xml:space="preserve"> afin de proposer à l’État défendeur des mesures adéquates. Toutes les requêtes similaires sont alors </w:t>
      </w:r>
      <w:r>
        <w:rPr>
          <w:rFonts w:ascii="Calibri" w:cs="Calibri" w:eastAsia="Calibri" w:hAnsi="Calibri"/>
          <w:b/>
          <w:bCs/>
          <w:color w:val="1A1A1A"/>
          <w:sz w:val="20"/>
          <w:szCs w:val="20"/>
        </w:rPr>
        <w:t xml:space="preserve">gelées</w:t>
      </w:r>
      <w:r>
        <w:rPr>
          <w:rFonts w:ascii="Calibri" w:cs="Calibri" w:eastAsia="Calibri" w:hAnsi="Calibri"/>
          <w:color w:val="1A1A1A"/>
          <w:sz w:val="20"/>
          <w:szCs w:val="20"/>
        </w:rPr>
        <w:t xml:space="preserve"> le temps que ces mesures soient adoptées (</w:t>
      </w:r>
      <w:r>
        <w:rPr>
          <w:rFonts w:ascii="Calibri" w:cs="Calibri" w:eastAsia="Calibri" w:hAnsi="Calibri"/>
          <w:color w:val="E91E63"/>
          <w:sz w:val="20"/>
          <w:szCs w:val="20"/>
        </w:rPr>
        <w:t xml:space="preserve">CEDH, GC, 22 juin 2004, Broniowski c. Pologne, n° 31443/96</w:t>
      </w:r>
      <w:r>
        <w:rPr>
          <w:rFonts w:ascii="Calibri" w:cs="Calibri" w:eastAsia="Calibri" w:hAnsi="Calibri"/>
          <w:color w:val="1A1A1A"/>
          <w:sz w:val="20"/>
          <w:szCs w:val="20"/>
        </w:rPr>
        <w:t xml:space="preserve">) ; procédure codifiée en 2011 à l’</w:t>
      </w:r>
      <w:r>
        <w:rPr>
          <w:rFonts w:ascii="Calibri" w:cs="Calibri" w:eastAsia="Calibri" w:hAnsi="Calibri"/>
          <w:color w:val="1E88E5"/>
          <w:sz w:val="20"/>
          <w:szCs w:val="20"/>
        </w:rPr>
        <w:t xml:space="preserve">art. 61 du règlement de la Cour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Autorité de la chose interprétée</w:t>
      </w:r>
      <w:r>
        <w:rPr>
          <w:rFonts w:ascii="Calibri" w:cs="Calibri" w:eastAsia="Calibri" w:hAnsi="Calibri"/>
          <w:color w:val="1A1A1A"/>
          <w:sz w:val="20"/>
          <w:szCs w:val="20"/>
        </w:rPr>
        <w:t xml:space="preserve"> : la portée normative des arrêts ne se limite pas aux États parties au procès. La Convention étant un </w:t>
      </w:r>
      <w:r>
        <w:rPr>
          <w:rFonts w:ascii="Calibri" w:cs="Calibri" w:eastAsia="Calibri" w:hAnsi="Calibri"/>
          <w:b/>
          <w:bCs/>
          <w:color w:val="1A1A1A"/>
          <w:sz w:val="20"/>
          <w:szCs w:val="20"/>
        </w:rPr>
        <w:t xml:space="preserve">instrument constitutionnel de l’ordre public européen</w:t>
      </w:r>
      <w:r>
        <w:rPr>
          <w:rFonts w:ascii="Calibri" w:cs="Calibri" w:eastAsia="Calibri" w:hAnsi="Calibri"/>
          <w:color w:val="1A1A1A"/>
          <w:sz w:val="20"/>
          <w:szCs w:val="20"/>
        </w:rPr>
        <w:t xml:space="preserve">, les autres États doivent également se conformer aux arrêts rendus à l’encontre de leurs homologues, sans attendre d’être condamnés (</w:t>
      </w:r>
      <w:r>
        <w:rPr>
          <w:rFonts w:ascii="Calibri" w:cs="Calibri" w:eastAsia="Calibri" w:hAnsi="Calibri"/>
          <w:color w:val="E91E63"/>
          <w:sz w:val="20"/>
          <w:szCs w:val="20"/>
        </w:rPr>
        <w:t xml:space="preserve">CEDH, 6 mars 2007, Scordino c. Italie (n° 3), n° 43662/98</w:t>
      </w:r>
      <w:r>
        <w:rPr>
          <w:rFonts w:ascii="Calibri" w:cs="Calibri" w:eastAsia="Calibri" w:hAnsi="Calibri"/>
          <w:color w:val="1A1A1A"/>
          <w:sz w:val="20"/>
          <w:szCs w:val="20"/>
        </w:rPr>
        <w:t xml:space="preserve">). Cette autorité est </w:t>
      </w:r>
      <w:r>
        <w:rPr>
          <w:rFonts w:ascii="Calibri" w:cs="Calibri" w:eastAsia="Calibri" w:hAnsi="Calibri"/>
          <w:b/>
          <w:bCs/>
          <w:color w:val="1A1A1A"/>
          <w:sz w:val="20"/>
          <w:szCs w:val="20"/>
        </w:rPr>
        <w:t xml:space="preserve">variable</w:t>
      </w:r>
      <w:r>
        <w:rPr>
          <w:rFonts w:ascii="Calibri" w:cs="Calibri" w:eastAsia="Calibri" w:hAnsi="Calibri"/>
          <w:color w:val="1A1A1A"/>
          <w:sz w:val="20"/>
          <w:szCs w:val="20"/>
        </w:rPr>
        <w:t xml:space="preserve"> selon les circonstances, la thématique et les États concernés. Le juge, voire le législateur national, peut se fonder sur un arrêt rendu contre un État tiers pour écarter une disposition interne ou modifier l’ordre juridique (</w:t>
      </w:r>
      <w:r>
        <w:rPr>
          <w:rFonts w:ascii="Calibri" w:cs="Calibri" w:eastAsia="Calibri" w:hAnsi="Calibri"/>
          <w:color w:val="E91E63"/>
          <w:sz w:val="20"/>
          <w:szCs w:val="20"/>
        </w:rPr>
        <w:t xml:space="preserve">Cass., ass. plén., 15 avril 2011, n° 10-17.049, 10-30.242, 10-30.313 et 10-30.316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processus d’exécution</w:t>
      </w:r>
      <w:r>
        <w:rPr>
          <w:rFonts w:ascii="Calibri" w:cs="Calibri" w:eastAsia="Calibri" w:hAnsi="Calibri"/>
          <w:color w:val="1A1A1A"/>
          <w:sz w:val="20"/>
          <w:szCs w:val="20"/>
        </w:rPr>
        <w:t xml:space="preserve"> : l’arrêt devient définitif trois mois après sa publication (immédiatement pour un arrêt de Grande chambre). L’État dispose de </w:t>
      </w:r>
      <w:r>
        <w:rPr>
          <w:rFonts w:ascii="Calibri" w:cs="Calibri" w:eastAsia="Calibri" w:hAnsi="Calibri"/>
          <w:b/>
          <w:bCs/>
          <w:color w:val="1A1A1A"/>
          <w:sz w:val="20"/>
          <w:szCs w:val="20"/>
        </w:rPr>
        <w:t xml:space="preserve">trois mois</w:t>
      </w:r>
      <w:r>
        <w:rPr>
          <w:rFonts w:ascii="Calibri" w:cs="Calibri" w:eastAsia="Calibri" w:hAnsi="Calibri"/>
          <w:color w:val="1A1A1A"/>
          <w:sz w:val="20"/>
          <w:szCs w:val="20"/>
        </w:rPr>
        <w:t xml:space="preserve"> pour s’acquitter de la satisfaction équitable et de </w:t>
      </w:r>
      <w:r>
        <w:rPr>
          <w:rFonts w:ascii="Calibri" w:cs="Calibri" w:eastAsia="Calibri" w:hAnsi="Calibri"/>
          <w:b/>
          <w:bCs/>
          <w:color w:val="1A1A1A"/>
          <w:sz w:val="20"/>
          <w:szCs w:val="20"/>
        </w:rPr>
        <w:t xml:space="preserve">six mois</w:t>
      </w:r>
      <w:r>
        <w:rPr>
          <w:rFonts w:ascii="Calibri" w:cs="Calibri" w:eastAsia="Calibri" w:hAnsi="Calibri"/>
          <w:color w:val="1A1A1A"/>
          <w:sz w:val="20"/>
          <w:szCs w:val="20"/>
        </w:rPr>
        <w:t xml:space="preserve"> pour soumettre un plan d’action ; il communique ensuite au Comité des ministres un bilan des actions menées ; si les mesures sont satisfaisantes, une </w:t>
      </w:r>
      <w:r>
        <w:rPr>
          <w:rFonts w:ascii="Calibri" w:cs="Calibri" w:eastAsia="Calibri" w:hAnsi="Calibri"/>
          <w:b/>
          <w:bCs/>
          <w:color w:val="1A1A1A"/>
          <w:sz w:val="20"/>
          <w:szCs w:val="20"/>
        </w:rPr>
        <w:t xml:space="preserve">résolution finale</w:t>
      </w:r>
      <w:r>
        <w:rPr>
          <w:rFonts w:ascii="Calibri" w:cs="Calibri" w:eastAsia="Calibri" w:hAnsi="Calibri"/>
          <w:color w:val="1A1A1A"/>
          <w:sz w:val="20"/>
          <w:szCs w:val="20"/>
        </w:rPr>
        <w:t xml:space="preserve"> clôt le processus. Les États restent libres d’adopter les mesures adéquates en vertu du principe de subsidiarité (</w:t>
      </w:r>
      <w:r>
        <w:rPr>
          <w:rFonts w:ascii="Calibri" w:cs="Calibri" w:eastAsia="Calibri" w:hAnsi="Calibri"/>
          <w:color w:val="E91E63"/>
          <w:sz w:val="20"/>
          <w:szCs w:val="20"/>
        </w:rPr>
        <w:t xml:space="preserve">CEDH, AP, 29 avril 1988, Belilos c. Suisse, n° 10328/83</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30 juin 2009, Verein Gegen Tierfabriken Schweiz (VgT) c. Suisse (n° 2), n° 32772</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Débats doctrinaux &amp;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Le recours en manquement</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46 § 4</w:t>
      </w:r>
      <w:r>
        <w:rPr>
          <w:rFonts w:ascii="Calibri" w:cs="Calibri" w:eastAsia="Calibri" w:hAnsi="Calibri"/>
          <w:color w:val="1A1A1A"/>
          <w:sz w:val="20"/>
          <w:szCs w:val="20"/>
        </w:rPr>
        <w:t xml:space="preserve">) : créé pour permettre exceptionnellement au Comité des ministres de saisir la Cour en cas de manquement grave dans l’exécution. Limite : il se heurte aux mêmes obstacles que le premier arrêt, puisqu’il aboutit à un </w:t>
      </w:r>
      <w:r>
        <w:rPr>
          <w:rFonts w:ascii="Calibri" w:cs="Calibri" w:eastAsia="Calibri" w:hAnsi="Calibri"/>
          <w:b/>
          <w:bCs/>
          <w:color w:val="1A1A1A"/>
          <w:sz w:val="20"/>
          <w:szCs w:val="20"/>
        </w:rPr>
        <w:t xml:space="preserve">nouvel arrêt qui devra lui aussi être exécuté</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défiance étatique</w:t>
      </w:r>
      <w:r>
        <w:rPr>
          <w:rFonts w:ascii="Calibri" w:cs="Calibri" w:eastAsia="Calibri" w:hAnsi="Calibri"/>
          <w:color w:val="1A1A1A"/>
          <w:sz w:val="20"/>
          <w:szCs w:val="20"/>
        </w:rPr>
        <w:t xml:space="preserve"> : le Royaume-Uni a longtemps refusé d’exécuter les arrêts condamnant l’interdiction du droit de vote des détenus (</w:t>
      </w:r>
      <w:r>
        <w:rPr>
          <w:rFonts w:ascii="Calibri" w:cs="Calibri" w:eastAsia="Calibri" w:hAnsi="Calibri"/>
          <w:color w:val="E91E63"/>
          <w:sz w:val="20"/>
          <w:szCs w:val="20"/>
        </w:rPr>
        <w:t xml:space="preserve">CEDH, 6 octobre 2005, Hirst c. Royaume-Uni (n° 2), n° 74025/01</w:t>
      </w:r>
      <w:r>
        <w:rPr>
          <w:rFonts w:ascii="Calibri" w:cs="Calibri" w:eastAsia="Calibri" w:hAnsi="Calibri"/>
          <w:color w:val="1A1A1A"/>
          <w:sz w:val="20"/>
          <w:szCs w:val="20"/>
        </w:rPr>
        <w:t xml:space="preserve">), inexécution ayant fait l’objet d’un arrêt pilote (</w:t>
      </w:r>
      <w:r>
        <w:rPr>
          <w:rFonts w:ascii="Calibri" w:cs="Calibri" w:eastAsia="Calibri" w:hAnsi="Calibri"/>
          <w:color w:val="E91E63"/>
          <w:sz w:val="20"/>
          <w:szCs w:val="20"/>
        </w:rPr>
        <w:t xml:space="preserve">CEDH, 23 novembre 2010, Greens et M.T. c. Royaume-Uni, n° 60041/08 et 60054/08</w:t>
      </w:r>
      <w:r>
        <w:rPr>
          <w:rFonts w:ascii="Calibri" w:cs="Calibri" w:eastAsia="Calibri" w:hAnsi="Calibri"/>
          <w:color w:val="1A1A1A"/>
          <w:sz w:val="20"/>
          <w:szCs w:val="20"/>
        </w:rPr>
        <w:t xml:space="preserve">) puis de nouveaux constats de violation (</w:t>
      </w:r>
      <w:r>
        <w:rPr>
          <w:rFonts w:ascii="Calibri" w:cs="Calibri" w:eastAsia="Calibri" w:hAnsi="Calibri"/>
          <w:color w:val="E91E63"/>
          <w:sz w:val="20"/>
          <w:szCs w:val="20"/>
        </w:rPr>
        <w:t xml:space="preserve">CEDH, 11 avril 2019, Miller et a. c. Royaume-Uni, n° 70571/14 et a.</w:t>
      </w:r>
      <w:r>
        <w:rPr>
          <w:rFonts w:ascii="Calibri" w:cs="Calibri" w:eastAsia="Calibri" w:hAnsi="Calibri"/>
          <w:color w:val="1A1A1A"/>
          <w:sz w:val="20"/>
          <w:szCs w:val="20"/>
        </w:rPr>
        <w:t xml:space="preserve">). La Russie a cessé d’échanger avec le Comité des ministres alors même qu’elle reste tenue d’exécuter les arrêts, et a adopté des dispositions législatives entravant leur exécution.</w:t>
      </w:r>
    </w:p>
    <w:p>
      <w:pPr>
        <w:pStyle w:val="ListParagraph"/>
        <w:numPr>
          <w:ilvl w:val="0"/>
          <w:numId w:val="2"/>
        </w:numPr>
        <w:spacing w:after="70" w:line="264"/>
        <w:jc w:val="both"/>
      </w:pPr>
      <w:r>
        <w:rPr>
          <w:rFonts w:ascii="Calibri" w:cs="Calibri" w:eastAsia="Calibri" w:hAnsi="Calibri"/>
          <w:b/>
          <w:bCs/>
          <w:color w:val="1A1A1A"/>
          <w:sz w:val="20"/>
          <w:szCs w:val="20"/>
        </w:rPr>
        <w:t xml:space="preserve">Les conséquences systémiques</w:t>
      </w:r>
      <w:r>
        <w:rPr>
          <w:rFonts w:ascii="Calibri" w:cs="Calibri" w:eastAsia="Calibri" w:hAnsi="Calibri"/>
          <w:color w:val="1A1A1A"/>
          <w:sz w:val="20"/>
          <w:szCs w:val="20"/>
        </w:rPr>
        <w:t xml:space="preserve"> : outre l’atteinte à la légitimité de la Cour, la défiance se répercute sur elle en provoquant un </w:t>
      </w:r>
      <w:r>
        <w:rPr>
          <w:rFonts w:ascii="Calibri" w:cs="Calibri" w:eastAsia="Calibri" w:hAnsi="Calibri"/>
          <w:b/>
          <w:bCs/>
          <w:color w:val="1A1A1A"/>
          <w:sz w:val="20"/>
          <w:szCs w:val="20"/>
        </w:rPr>
        <w:t xml:space="preserve">afflux massif de requêtes répétitives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Burmych et a. c. Ukraine, n° 46852/13 et a.</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comparaison avec Luxembourg</w:t>
      </w:r>
      <w:r>
        <w:rPr>
          <w:rFonts w:ascii="Calibri" w:cs="Calibri" w:eastAsia="Calibri" w:hAnsi="Calibri"/>
          <w:color w:val="1A1A1A"/>
          <w:sz w:val="20"/>
          <w:szCs w:val="20"/>
        </w:rPr>
        <w:t xml:space="preserve"> : l’</w:t>
      </w:r>
      <w:r>
        <w:rPr>
          <w:rFonts w:ascii="Calibri" w:cs="Calibri" w:eastAsia="Calibri" w:hAnsi="Calibri"/>
          <w:b/>
          <w:bCs/>
          <w:color w:val="1A1A1A"/>
          <w:sz w:val="20"/>
          <w:szCs w:val="20"/>
        </w:rPr>
        <w:t xml:space="preserve">absence de pouvoir d’astreinte</w:t>
      </w:r>
      <w:r>
        <w:rPr>
          <w:rFonts w:ascii="Calibri" w:cs="Calibri" w:eastAsia="Calibri" w:hAnsi="Calibri"/>
          <w:color w:val="1A1A1A"/>
          <w:sz w:val="20"/>
          <w:szCs w:val="20"/>
        </w:rPr>
        <w:t xml:space="preserve">, contrairement à la Cour de justice de l’Union européenne en cas de procédure en manquement lorsqu’une institution de l’Union est en défense, contribue à l’essor de ces problématiques d’exécution — sur la confirmation de l’astreinte prononcée à l’encontre de la Pologne : </w:t>
      </w:r>
      <w:r>
        <w:rPr>
          <w:rFonts w:ascii="Calibri" w:cs="Calibri" w:eastAsia="Calibri" w:hAnsi="Calibri"/>
          <w:color w:val="E91E63"/>
          <w:sz w:val="20"/>
          <w:szCs w:val="20"/>
        </w:rPr>
        <w:t xml:space="preserve">Trib. UE, 5 février 2025, aff. T-830/22 et T-156/23, Pologne c. Commission, et aff. T-1033/23, Pologne c. Commission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Formule de conclusion</w:t>
      </w:r>
      <w:r>
        <w:rPr>
          <w:rFonts w:ascii="Calibri" w:cs="Calibri" w:eastAsia="Calibri" w:hAnsi="Calibri"/>
          <w:color w:val="1A1A1A"/>
          <w:sz w:val="20"/>
          <w:szCs w:val="20"/>
        </w:rPr>
        <w:t xml:space="preserve"> : l’exécution des arrêts demeure tributaire des </w:t>
      </w:r>
      <w:r>
        <w:rPr>
          <w:rFonts w:ascii="Calibri" w:cs="Calibri" w:eastAsia="Calibri" w:hAnsi="Calibri"/>
          <w:b/>
          <w:bCs/>
          <w:color w:val="1A1A1A"/>
          <w:sz w:val="20"/>
          <w:szCs w:val="20"/>
        </w:rPr>
        <w:t xml:space="preserve">pressions politiques et diplomatiques</w:t>
      </w:r>
      <w:r>
        <w:rPr>
          <w:rFonts w:ascii="Calibri" w:cs="Calibri" w:eastAsia="Calibri" w:hAnsi="Calibri"/>
          <w:color w:val="1A1A1A"/>
          <w:sz w:val="20"/>
          <w:szCs w:val="20"/>
        </w:rPr>
        <w:t xml:space="preserve"> résultant de la condamnation de l’État.</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Un arrêt de la Cour annule-t-il la décision nationale ? »</w:t>
      </w:r>
      <w:r>
        <w:rPr>
          <w:rFonts w:ascii="Calibri" w:cs="Calibri" w:eastAsia="Calibri" w:hAnsi="Calibri"/>
          <w:color w:val="1A1A1A"/>
          <w:sz w:val="20"/>
          <w:szCs w:val="20"/>
        </w:rPr>
        <w:t xml:space="preserve"> — Non. L’arrêt est dépourvu de force exécutoire en droit interne ; il constate une violation et oblige l’État à adopter des mesures individuelles et générales. La Cour peut condamner à une satisfaction équitable (</w:t>
      </w:r>
      <w:r>
        <w:rPr>
          <w:rFonts w:ascii="Calibri" w:cs="Calibri" w:eastAsia="Calibri" w:hAnsi="Calibri"/>
          <w:color w:val="1E88E5"/>
          <w:sz w:val="20"/>
          <w:szCs w:val="20"/>
        </w:rPr>
        <w:t xml:space="preserve">art. 41</w:t>
      </w:r>
      <w:r>
        <w:rPr>
          <w:rFonts w:ascii="Calibri" w:cs="Calibri" w:eastAsia="Calibri" w:hAnsi="Calibri"/>
          <w:color w:val="1A1A1A"/>
          <w:sz w:val="20"/>
          <w:szCs w:val="20"/>
        </w:rPr>
        <w:t xml:space="preserve">) ou, exceptionnellement, indiquer les mesures idoines.</w:t>
      </w:r>
    </w:p>
    <w:p>
      <w:pPr>
        <w:pStyle w:val="ListParagraph"/>
        <w:numPr>
          <w:ilvl w:val="0"/>
          <w:numId w:val="2"/>
        </w:numPr>
        <w:spacing w:after="70" w:line="264"/>
        <w:jc w:val="both"/>
      </w:pPr>
      <w:r>
        <w:rPr>
          <w:rFonts w:ascii="Calibri" w:cs="Calibri" w:eastAsia="Calibri" w:hAnsi="Calibri"/>
          <w:b/>
          <w:bCs/>
          <w:color w:val="1A1A1A"/>
          <w:sz w:val="20"/>
          <w:szCs w:val="20"/>
        </w:rPr>
        <w:t xml:space="preserve">« Les arrêts ont-ils un effet </w:t>
      </w:r>
      <w:r>
        <w:rPr>
          <w:rFonts w:ascii="Calibri" w:cs="Calibri" w:eastAsia="Calibri" w:hAnsi="Calibri"/>
          <w:b/>
          <w:bCs/>
          <w:i/>
          <w:iCs/>
          <w:color w:val="1A1A1A"/>
          <w:sz w:val="20"/>
          <w:szCs w:val="20"/>
        </w:rPr>
        <w:t xml:space="preserve">erga omnes</w:t>
      </w:r>
      <w:r>
        <w:rPr>
          <w:rFonts w:ascii="Calibri" w:cs="Calibri" w:eastAsia="Calibri" w:hAnsi="Calibri"/>
          <w:b/>
          <w:bCs/>
          <w:color w:val="1A1A1A"/>
          <w:sz w:val="20"/>
          <w:szCs w:val="20"/>
        </w:rPr>
        <w:t xml:space="preserve"> ? »</w:t>
      </w:r>
      <w:r>
        <w:rPr>
          <w:rFonts w:ascii="Calibri" w:cs="Calibri" w:eastAsia="Calibri" w:hAnsi="Calibri"/>
          <w:color w:val="1A1A1A"/>
          <w:sz w:val="20"/>
          <w:szCs w:val="20"/>
        </w:rPr>
        <w:t xml:space="preserve"> — En principe non : leur portée est individuelle et limitée aux parties. Mais la Convention étant un instrument constitutionnel de l’ordre public européen, les arrêts sont dotés d’une </w:t>
      </w:r>
      <w:r>
        <w:rPr>
          <w:rFonts w:ascii="Calibri" w:cs="Calibri" w:eastAsia="Calibri" w:hAnsi="Calibri"/>
          <w:b/>
          <w:bCs/>
          <w:color w:val="1A1A1A"/>
          <w:sz w:val="20"/>
          <w:szCs w:val="20"/>
        </w:rPr>
        <w:t xml:space="preserve">autorité de la chose interprétée</w:t>
      </w:r>
      <w:r>
        <w:rPr>
          <w:rFonts w:ascii="Calibri" w:cs="Calibri" w:eastAsia="Calibri" w:hAnsi="Calibri"/>
          <w:color w:val="1A1A1A"/>
          <w:sz w:val="20"/>
          <w:szCs w:val="20"/>
        </w:rPr>
        <w:t xml:space="preserve"> qui oblige en théorie les autres États (</w:t>
      </w:r>
      <w:r>
        <w:rPr>
          <w:rFonts w:ascii="Calibri" w:cs="Calibri" w:eastAsia="Calibri" w:hAnsi="Calibri"/>
          <w:color w:val="E91E63"/>
          <w:sz w:val="20"/>
          <w:szCs w:val="20"/>
        </w:rPr>
        <w:t xml:space="preserve">Scordino</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Les mesures provisoires sont-elles contraignantes ? »</w:t>
      </w:r>
      <w:r>
        <w:rPr>
          <w:rFonts w:ascii="Calibri" w:cs="Calibri" w:eastAsia="Calibri" w:hAnsi="Calibri"/>
          <w:color w:val="1A1A1A"/>
          <w:sz w:val="20"/>
          <w:szCs w:val="20"/>
        </w:rPr>
        <w:t xml:space="preserve"> — Oui pour les États (</w:t>
      </w:r>
      <w:r>
        <w:rPr>
          <w:rFonts w:ascii="Calibri" w:cs="Calibri" w:eastAsia="Calibri" w:hAnsi="Calibri"/>
          <w:color w:val="E91E63"/>
          <w:sz w:val="20"/>
          <w:szCs w:val="20"/>
        </w:rPr>
        <w:t xml:space="preserve">Mamatkulov et Askarov</w:t>
      </w:r>
      <w:r>
        <w:rPr>
          <w:rFonts w:ascii="Calibri" w:cs="Calibri" w:eastAsia="Calibri" w:hAnsi="Calibri"/>
          <w:color w:val="1A1A1A"/>
          <w:sz w:val="20"/>
          <w:szCs w:val="20"/>
        </w:rPr>
        <w:t xml:space="preserve">), mais elles n’ont pas d’effet direct dans les ordres juridiques internes, de sorte qu’un État peut refuser de s’y conformer — l’affaire Navalny en est l’illustration.</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L’exécution des arrêts de la Cour européenne des droits de l’homme » (sujet de dissertation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La Convention, instrument vivant » ; « Les notions autonomes ».</w:t>
      </w:r>
    </w:p>
    <w:p>
      <w:pPr>
        <w:pStyle w:val="ListParagraph"/>
        <w:numPr>
          <w:ilvl w:val="0"/>
          <w:numId w:val="2"/>
        </w:numPr>
        <w:spacing w:after="70" w:line="264"/>
        <w:jc w:val="both"/>
      </w:pPr>
      <w:r>
        <w:rPr>
          <w:rFonts w:ascii="Calibri" w:cs="Calibri" w:eastAsia="Calibri" w:hAnsi="Calibri"/>
          <w:color w:val="1A1A1A"/>
          <w:sz w:val="20"/>
          <w:szCs w:val="20"/>
        </w:rPr>
        <w:t xml:space="preserve">« Les obligations positives » ; « La marge nationale d’appréciation ».</w:t>
      </w:r>
    </w:p>
    <w:p>
      <w:pPr>
        <w:pStyle w:val="ListParagraph"/>
        <w:numPr>
          <w:ilvl w:val="0"/>
          <w:numId w:val="2"/>
        </w:numPr>
        <w:spacing w:after="70" w:line="264"/>
        <w:jc w:val="both"/>
      </w:pPr>
      <w:r>
        <w:rPr>
          <w:rFonts w:ascii="Calibri" w:cs="Calibri" w:eastAsia="Calibri" w:hAnsi="Calibri"/>
          <w:color w:val="1A1A1A"/>
          <w:sz w:val="20"/>
          <w:szCs w:val="20"/>
        </w:rPr>
        <w:t xml:space="preserve">« Les arrêts pilotes » ; « L’autorité de la chose interprétée ».</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Depuis quand la compétence de la Cour est-elle obligatoire ?</w:t>
      </w:r>
      <w:r>
        <w:rPr>
          <w:rFonts w:ascii="Calibri" w:cs="Calibri" w:eastAsia="Calibri" w:hAnsi="Calibri"/>
          <w:color w:val="1A1A1A"/>
          <w:sz w:val="20"/>
          <w:szCs w:val="20"/>
        </w:rPr>
        <w:t xml:space="preserve"> — Depuis l’entrée en vigueur du </w:t>
      </w:r>
      <w:r>
        <w:rPr>
          <w:rFonts w:ascii="Calibri" w:cs="Calibri" w:eastAsia="Calibri" w:hAnsi="Calibri"/>
          <w:color w:val="1E88E5"/>
          <w:sz w:val="20"/>
          <w:szCs w:val="20"/>
        </w:rPr>
        <w:t xml:space="preserve">Protocole n° 11</w:t>
      </w:r>
      <w:r>
        <w:rPr>
          <w:rFonts w:ascii="Calibri" w:cs="Calibri" w:eastAsia="Calibri" w:hAnsi="Calibri"/>
          <w:color w:val="1A1A1A"/>
          <w:sz w:val="20"/>
          <w:szCs w:val="20"/>
        </w:rPr>
        <w:t xml:space="preserve"> en </w:t>
      </w:r>
      <w:r>
        <w:rPr>
          <w:rFonts w:ascii="Calibri" w:cs="Calibri" w:eastAsia="Calibri" w:hAnsi="Calibri"/>
          <w:b/>
          <w:bCs/>
          <w:color w:val="1A1A1A"/>
          <w:sz w:val="20"/>
          <w:szCs w:val="20"/>
        </w:rPr>
        <w:t xml:space="preserve">1998</w:t>
      </w:r>
      <w:r>
        <w:rPr>
          <w:rFonts w:ascii="Calibri" w:cs="Calibri" w:eastAsia="Calibri" w:hAnsi="Calibri"/>
          <w:color w:val="1A1A1A"/>
          <w:sz w:val="20"/>
          <w:szCs w:val="20"/>
        </w:rPr>
        <w:t xml:space="preserve">, qui a également fait disparaître la </w:t>
      </w:r>
      <w:r>
        <w:rPr>
          <w:rFonts w:ascii="Calibri" w:cs="Calibri" w:eastAsia="Calibri" w:hAnsi="Calibri"/>
          <w:b/>
          <w:bCs/>
          <w:color w:val="1A1A1A"/>
          <w:sz w:val="20"/>
          <w:szCs w:val="20"/>
        </w:rPr>
        <w:t xml:space="preserve">Commission</w:t>
      </w:r>
      <w:r>
        <w:rPr>
          <w:rFonts w:ascii="Calibri" w:cs="Calibri" w:eastAsia="Calibri" w:hAnsi="Calibri"/>
          <w:color w:val="1A1A1A"/>
          <w:sz w:val="20"/>
          <w:szCs w:val="20"/>
        </w:rPr>
        <w:t xml:space="preserve">. La Cour existe depuis 1959 ; la France a accepté le droit de requête individuelle le 2 octobre 1981.</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de juges siègent en Grande chambre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Dix-sept</w:t>
      </w:r>
      <w:r>
        <w:rPr>
          <w:rFonts w:ascii="Calibri" w:cs="Calibri" w:eastAsia="Calibri" w:hAnsi="Calibri"/>
          <w:color w:val="1A1A1A"/>
          <w:sz w:val="20"/>
          <w:szCs w:val="20"/>
        </w:rPr>
        <w:t xml:space="preserve">. Juge unique, comité de trois, chambre de sept, Grande chambre de dix-sept : la progression doit être récitable sans hésitation.</w:t>
      </w:r>
    </w:p>
    <w:p>
      <w:pPr>
        <w:pStyle w:val="ListParagraph"/>
        <w:numPr>
          <w:ilvl w:val="0"/>
          <w:numId w:val="2"/>
        </w:numPr>
        <w:spacing w:after="70" w:line="264"/>
        <w:jc w:val="both"/>
      </w:pPr>
      <w:r>
        <w:rPr>
          <w:rFonts w:ascii="Calibri" w:cs="Calibri" w:eastAsia="Calibri" w:hAnsi="Calibri"/>
          <w:b/>
          <w:bCs/>
          <w:color w:val="1A1A1A"/>
          <w:sz w:val="20"/>
          <w:szCs w:val="20"/>
        </w:rPr>
        <w:t xml:space="preserve">Q. Dans quel délai peut-on demander le renvoi en Grande chambre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Trois mois</w:t>
      </w:r>
      <w:r>
        <w:rPr>
          <w:rFonts w:ascii="Calibri" w:cs="Calibri" w:eastAsia="Calibri" w:hAnsi="Calibri"/>
          <w:color w:val="1A1A1A"/>
          <w:sz w:val="20"/>
          <w:szCs w:val="20"/>
        </w:rPr>
        <w:t xml:space="preserve"> à compter de la publication de l’arrêt de comité ou de section, délai au terme duquel l’arrêt devient définitif.</w:t>
      </w:r>
    </w:p>
    <w:p>
      <w:pPr>
        <w:pStyle w:val="ListParagraph"/>
        <w:numPr>
          <w:ilvl w:val="0"/>
          <w:numId w:val="2"/>
        </w:numPr>
        <w:spacing w:after="70" w:line="264"/>
        <w:jc w:val="both"/>
      </w:pPr>
      <w:r>
        <w:rPr>
          <w:rFonts w:ascii="Calibri" w:cs="Calibri" w:eastAsia="Calibri" w:hAnsi="Calibri"/>
          <w:b/>
          <w:bCs/>
          <w:color w:val="1A1A1A"/>
          <w:sz w:val="20"/>
          <w:szCs w:val="20"/>
        </w:rPr>
        <w:t xml:space="preserve">Q. L’article 14 peut-il être invoqué seul ?</w:t>
      </w:r>
      <w:r>
        <w:rPr>
          <w:rFonts w:ascii="Calibri" w:cs="Calibri" w:eastAsia="Calibri" w:hAnsi="Calibri"/>
          <w:color w:val="1A1A1A"/>
          <w:sz w:val="20"/>
          <w:szCs w:val="20"/>
        </w:rPr>
        <w:t xml:space="preserve"> — Non : il n’est ni indépendant ni autonome et doit être combiné à un autre article (</w:t>
      </w:r>
      <w:r>
        <w:rPr>
          <w:rFonts w:ascii="Calibri" w:cs="Calibri" w:eastAsia="Calibri" w:hAnsi="Calibri"/>
          <w:color w:val="E91E63"/>
          <w:sz w:val="20"/>
          <w:szCs w:val="20"/>
        </w:rPr>
        <w:t xml:space="preserve">Thlimmenos</w:t>
      </w:r>
      <w:r>
        <w:rPr>
          <w:rFonts w:ascii="Calibri" w:cs="Calibri" w:eastAsia="Calibri" w:hAnsi="Calibri"/>
          <w:color w:val="1A1A1A"/>
          <w:sz w:val="20"/>
          <w:szCs w:val="20"/>
        </w:rPr>
        <w:t xml:space="preserve">). L’interdiction générale figure au </w:t>
      </w:r>
      <w:r>
        <w:rPr>
          <w:rFonts w:ascii="Calibri" w:cs="Calibri" w:eastAsia="Calibri" w:hAnsi="Calibri"/>
          <w:color w:val="1E88E5"/>
          <w:sz w:val="20"/>
          <w:szCs w:val="20"/>
        </w:rPr>
        <w:t xml:space="preserve">Protocole n° 12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L’interprétation évolutive joue-t-elle toujours à la hausse ?</w:t>
      </w:r>
      <w:r>
        <w:rPr>
          <w:rFonts w:ascii="Calibri" w:cs="Calibri" w:eastAsia="Calibri" w:hAnsi="Calibri"/>
          <w:color w:val="1A1A1A"/>
          <w:sz w:val="20"/>
          <w:szCs w:val="20"/>
        </w:rPr>
        <w:t xml:space="preserve"> — Non : elle peut justifier une appréciation </w:t>
      </w:r>
      <w:r>
        <w:rPr>
          <w:rFonts w:ascii="Calibri" w:cs="Calibri" w:eastAsia="Calibri" w:hAnsi="Calibri"/>
          <w:b/>
          <w:bCs/>
          <w:color w:val="1A1A1A"/>
          <w:sz w:val="20"/>
          <w:szCs w:val="20"/>
        </w:rPr>
        <w:t xml:space="preserve">à la baisse</w:t>
      </w:r>
      <w:r>
        <w:rPr>
          <w:rFonts w:ascii="Calibri" w:cs="Calibri" w:eastAsia="Calibri" w:hAnsi="Calibri"/>
          <w:color w:val="1A1A1A"/>
          <w:sz w:val="20"/>
          <w:szCs w:val="20"/>
        </w:rPr>
        <w:t xml:space="preserve"> des garanties (</w:t>
      </w:r>
      <w:r>
        <w:rPr>
          <w:rFonts w:ascii="Calibri" w:cs="Calibri" w:eastAsia="Calibri" w:hAnsi="Calibri"/>
          <w:color w:val="E91E63"/>
          <w:sz w:val="20"/>
          <w:szCs w:val="20"/>
        </w:rPr>
        <w:t xml:space="preserve">FNASS et a. c. France</w:t>
      </w:r>
      <w:r>
        <w:rPr>
          <w:rFonts w:ascii="Calibri" w:cs="Calibri" w:eastAsia="Calibri" w:hAnsi="Calibri"/>
          <w:color w:val="1A1A1A"/>
          <w:sz w:val="20"/>
          <w:szCs w:val="20"/>
        </w:rPr>
        <w:t xml:space="preserve">, 2018). C’est une nuance rarement faite et toujours valorisée.</w:t>
      </w:r>
    </w:p>
    <w:p>
      <w:pPr>
        <w:pStyle w:val="ListParagraph"/>
        <w:numPr>
          <w:ilvl w:val="0"/>
          <w:numId w:val="2"/>
        </w:numPr>
        <w:spacing w:after="70" w:line="264"/>
        <w:jc w:val="both"/>
      </w:pPr>
      <w:r>
        <w:rPr>
          <w:rFonts w:ascii="Calibri" w:cs="Calibri" w:eastAsia="Calibri" w:hAnsi="Calibri"/>
          <w:b/>
          <w:bCs/>
          <w:color w:val="1A1A1A"/>
          <w:sz w:val="20"/>
          <w:szCs w:val="20"/>
        </w:rPr>
        <w:t xml:space="preserve">Q. Un avis rendu au titre du Protocole n° 16 lie-t-il la juridiction qui l’a demandé ?</w:t>
      </w:r>
      <w:r>
        <w:rPr>
          <w:rFonts w:ascii="Calibri" w:cs="Calibri" w:eastAsia="Calibri" w:hAnsi="Calibri"/>
          <w:color w:val="1A1A1A"/>
          <w:sz w:val="20"/>
          <w:szCs w:val="20"/>
        </w:rPr>
        <w:t xml:space="preserve"> — Non (</w:t>
      </w:r>
      <w:r>
        <w:rPr>
          <w:rFonts w:ascii="Calibri" w:cs="Calibri" w:eastAsia="Calibri" w:hAnsi="Calibri"/>
          <w:color w:val="1E88E5"/>
          <w:sz w:val="20"/>
          <w:szCs w:val="20"/>
        </w:rPr>
        <w:t xml:space="preserve">art. 5 du Protocole n° 16</w:t>
      </w:r>
      <w:r>
        <w:rPr>
          <w:rFonts w:ascii="Calibri" w:cs="Calibri" w:eastAsia="Calibri" w:hAnsi="Calibri"/>
          <w:color w:val="1A1A1A"/>
          <w:sz w:val="20"/>
          <w:szCs w:val="20"/>
        </w:rPr>
        <w:t xml:space="preserve">). Il est en théorie tout à fait possible pour les États d’aller à l’encontre de l’avis sollicité.</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23 — LA COUR DE JUSTICE DE L’UNION EUROPÉENNE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E88E5"/>
          <w:sz w:val="20"/>
          <w:szCs w:val="20"/>
        </w:rPr>
        <w:t xml:space="preserve">Art. 19 § 1 TUE</w:t>
      </w:r>
      <w:r>
        <w:rPr>
          <w:rFonts w:ascii="Calibri" w:cs="Calibri" w:eastAsia="Calibri" w:hAnsi="Calibri"/>
          <w:color w:val="1A1A1A"/>
          <w:sz w:val="20"/>
          <w:szCs w:val="20"/>
        </w:rPr>
        <w:t xml:space="preserve"> : « Les États membres établissent les voies de recours nécessaires pour assurer une protection juridictionnelle effective dans les domaines couverts par le droit de l’Union. » La Cour de justice n’est pas une Cour suprême fédérale : elle </w:t>
      </w:r>
      <w:r>
        <w:rPr>
          <w:rFonts w:ascii="Calibri" w:cs="Calibri" w:eastAsia="Calibri" w:hAnsi="Calibri"/>
          <w:b/>
          <w:bCs/>
          <w:color w:val="1A1A1A"/>
          <w:sz w:val="20"/>
          <w:szCs w:val="20"/>
        </w:rPr>
        <w:t xml:space="preserve">ne dispose ni d’un pouvoir d’appel, ni d’un pouvoir de cassation</w:t>
      </w:r>
      <w:r>
        <w:rPr>
          <w:rFonts w:ascii="Calibri" w:cs="Calibri" w:eastAsia="Calibri" w:hAnsi="Calibri"/>
          <w:color w:val="1A1A1A"/>
          <w:sz w:val="20"/>
          <w:szCs w:val="20"/>
        </w:rPr>
        <w:t xml:space="preserve"> pour réformer les décisions internes.</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w:t>
      </w:r>
      <w:r>
        <w:rPr>
          <w:rFonts w:ascii="Calibri" w:cs="Calibri" w:eastAsia="Calibri" w:hAnsi="Calibri"/>
          <w:color w:val="E91E63"/>
          <w:sz w:val="20"/>
          <w:szCs w:val="20"/>
        </w:rPr>
        <w:t xml:space="preserve">CJCE, 15 juillet 1963, Plaumann, aff. 25/62</w:t>
      </w:r>
      <w:r>
        <w:rPr>
          <w:rFonts w:ascii="Calibri" w:cs="Calibri" w:eastAsia="Calibri" w:hAnsi="Calibri"/>
          <w:color w:val="1A1A1A"/>
          <w:sz w:val="20"/>
          <w:szCs w:val="20"/>
        </w:rPr>
        <w:t xml:space="preserve"> — soixante ans après, la condition d’affectation individuelle demeure le verrou de l’accès des particuliers au juge de l’Union, et la principale cible de la critique doctrinale.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La CJUE, siégeant à Luxembourg, comprend </w:t>
      </w:r>
      <w:r>
        <w:rPr>
          <w:rFonts w:ascii="Calibri" w:cs="Calibri" w:eastAsia="Calibri" w:hAnsi="Calibri"/>
          <w:b/>
          <w:bCs/>
          <w:color w:val="1A1A1A"/>
          <w:sz w:val="20"/>
          <w:szCs w:val="20"/>
        </w:rPr>
        <w:t xml:space="preserve">deux juridictions</w:t>
      </w:r>
      <w:r>
        <w:rPr>
          <w:rFonts w:ascii="Calibri" w:cs="Calibri" w:eastAsia="Calibri" w:hAnsi="Calibri"/>
          <w:color w:val="1A1A1A"/>
          <w:sz w:val="20"/>
          <w:szCs w:val="20"/>
        </w:rPr>
        <w:t xml:space="preserve"> : la </w:t>
      </w:r>
      <w:r>
        <w:rPr>
          <w:rFonts w:ascii="Calibri" w:cs="Calibri" w:eastAsia="Calibri" w:hAnsi="Calibri"/>
          <w:b/>
          <w:bCs/>
          <w:color w:val="1A1A1A"/>
          <w:sz w:val="20"/>
          <w:szCs w:val="20"/>
        </w:rPr>
        <w:t xml:space="preserve">Cour de justice</w:t>
      </w:r>
      <w:r>
        <w:rPr>
          <w:rFonts w:ascii="Calibri" w:cs="Calibri" w:eastAsia="Calibri" w:hAnsi="Calibri"/>
          <w:color w:val="1A1A1A"/>
          <w:sz w:val="20"/>
          <w:szCs w:val="20"/>
        </w:rPr>
        <w:t xml:space="preserve">, créée en 1952, et le </w:t>
      </w:r>
      <w:r>
        <w:rPr>
          <w:rFonts w:ascii="Calibri" w:cs="Calibri" w:eastAsia="Calibri" w:hAnsi="Calibri"/>
          <w:b/>
          <w:bCs/>
          <w:color w:val="1A1A1A"/>
          <w:sz w:val="20"/>
          <w:szCs w:val="20"/>
        </w:rPr>
        <w:t xml:space="preserve">Tribunal</w:t>
      </w:r>
      <w:r>
        <w:rPr>
          <w:rFonts w:ascii="Calibri" w:cs="Calibri" w:eastAsia="Calibri" w:hAnsi="Calibri"/>
          <w:color w:val="1A1A1A"/>
          <w:sz w:val="20"/>
          <w:szCs w:val="20"/>
        </w:rPr>
        <w:t xml:space="preserve">, créé en 1988. Mission : assurer le respect du droit dans l’interprétation et l’application des traités, y compris des droits fondamentaux garantis par le droit de l’Union.</w:t>
      </w:r>
    </w:p>
    <w:p>
      <w:pPr>
        <w:pStyle w:val="ListParagraph"/>
        <w:numPr>
          <w:ilvl w:val="0"/>
          <w:numId w:val="2"/>
        </w:numPr>
        <w:spacing w:after="70" w:line="264"/>
        <w:jc w:val="both"/>
      </w:pPr>
      <w:r>
        <w:rPr>
          <w:rFonts w:ascii="Calibri" w:cs="Calibri" w:eastAsia="Calibri" w:hAnsi="Calibri"/>
          <w:b/>
          <w:bCs/>
          <w:color w:val="1A1A1A"/>
          <w:sz w:val="20"/>
          <w:szCs w:val="20"/>
        </w:rPr>
        <w:t xml:space="preserve">Trois fonctions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contentieuse</w:t>
      </w:r>
      <w:r>
        <w:rPr>
          <w:rFonts w:ascii="Calibri" w:cs="Calibri" w:eastAsia="Calibri" w:hAnsi="Calibri"/>
          <w:color w:val="1A1A1A"/>
          <w:sz w:val="20"/>
          <w:szCs w:val="20"/>
        </w:rPr>
        <w:t xml:space="preserve"> (contrôler à titre </w:t>
      </w:r>
      <w:r>
        <w:rPr>
          <w:rFonts w:ascii="Calibri" w:cs="Calibri" w:eastAsia="Calibri" w:hAnsi="Calibri"/>
          <w:b/>
          <w:bCs/>
          <w:color w:val="1A1A1A"/>
          <w:sz w:val="20"/>
          <w:szCs w:val="20"/>
        </w:rPr>
        <w:t xml:space="preserve">principal et exclusif</w:t>
      </w:r>
      <w:r>
        <w:rPr>
          <w:rFonts w:ascii="Calibri" w:cs="Calibri" w:eastAsia="Calibri" w:hAnsi="Calibri"/>
          <w:color w:val="1A1A1A"/>
          <w:sz w:val="20"/>
          <w:szCs w:val="20"/>
        </w:rPr>
        <w:t xml:space="preserve"> l’action des institutions de l’Union, et </w:t>
      </w:r>
      <w:r>
        <w:rPr>
          <w:rFonts w:ascii="Calibri" w:cs="Calibri" w:eastAsia="Calibri" w:hAnsi="Calibri"/>
          <w:b/>
          <w:bCs/>
          <w:color w:val="1A1A1A"/>
          <w:sz w:val="20"/>
          <w:szCs w:val="20"/>
        </w:rPr>
        <w:t xml:space="preserve">subsidiairement</w:t>
      </w:r>
      <w:r>
        <w:rPr>
          <w:rFonts w:ascii="Calibri" w:cs="Calibri" w:eastAsia="Calibri" w:hAnsi="Calibri"/>
          <w:color w:val="1A1A1A"/>
          <w:sz w:val="20"/>
          <w:szCs w:val="20"/>
        </w:rPr>
        <w:t xml:space="preserve"> celle des États membres), </w:t>
      </w:r>
      <w:r>
        <w:rPr>
          <w:rFonts w:ascii="Calibri" w:cs="Calibri" w:eastAsia="Calibri" w:hAnsi="Calibri"/>
          <w:b/>
          <w:bCs/>
          <w:color w:val="1A1A1A"/>
          <w:sz w:val="20"/>
          <w:szCs w:val="20"/>
        </w:rPr>
        <w:t xml:space="preserve">régulatrice</w:t>
      </w:r>
      <w:r>
        <w:rPr>
          <w:rFonts w:ascii="Calibri" w:cs="Calibri" w:eastAsia="Calibri" w:hAnsi="Calibri"/>
          <w:color w:val="1A1A1A"/>
          <w:sz w:val="20"/>
          <w:szCs w:val="20"/>
        </w:rPr>
        <w:t xml:space="preserve"> et </w:t>
      </w:r>
      <w:r>
        <w:rPr>
          <w:rFonts w:ascii="Calibri" w:cs="Calibri" w:eastAsia="Calibri" w:hAnsi="Calibri"/>
          <w:b/>
          <w:bCs/>
          <w:color w:val="1A1A1A"/>
          <w:sz w:val="20"/>
          <w:szCs w:val="20"/>
        </w:rPr>
        <w:t xml:space="preserve">consultative</w:t>
      </w:r>
      <w:r>
        <w:rPr>
          <w:rFonts w:ascii="Calibri" w:cs="Calibri" w:eastAsia="Calibri" w:hAnsi="Calibri"/>
          <w:color w:val="1A1A1A"/>
          <w:sz w:val="20"/>
          <w:szCs w:val="20"/>
        </w:rPr>
        <w:t xml:space="preserve">. Les juges nationaux sont </w:t>
      </w:r>
      <w:r>
        <w:rPr>
          <w:rFonts w:ascii="Calibri" w:cs="Calibri" w:eastAsia="Calibri" w:hAnsi="Calibri"/>
          <w:b/>
          <w:bCs/>
          <w:color w:val="1A1A1A"/>
          <w:sz w:val="20"/>
          <w:szCs w:val="20"/>
        </w:rPr>
        <w:t xml:space="preserve">incompétents</w:t>
      </w:r>
      <w:r>
        <w:rPr>
          <w:rFonts w:ascii="Calibri" w:cs="Calibri" w:eastAsia="Calibri" w:hAnsi="Calibri"/>
          <w:color w:val="1A1A1A"/>
          <w:sz w:val="20"/>
          <w:szCs w:val="20"/>
        </w:rPr>
        <w:t xml:space="preserve"> pour contrôler les actes et agissements des institutions européennes.</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15 juillet 1963, Plaumann, aff. 25/62</w:t>
      </w:r>
      <w:r>
        <w:rPr>
          <w:rFonts w:ascii="Calibri" w:cs="Calibri" w:eastAsia="Calibri" w:hAnsi="Calibri"/>
          <w:color w:val="1A1A1A"/>
          <w:sz w:val="20"/>
          <w:szCs w:val="20"/>
        </w:rPr>
        <w:t xml:space="preserve"> : les particuliers ne sont individuellement concernés que s’ils sont atteints « </w:t>
      </w:r>
      <w:r>
        <w:rPr>
          <w:rFonts w:ascii="Calibri" w:cs="Calibri" w:eastAsia="Calibri" w:hAnsi="Calibri"/>
          <w:i/>
          <w:iCs/>
          <w:color w:val="1A1A1A"/>
          <w:sz w:val="20"/>
          <w:szCs w:val="20"/>
        </w:rPr>
        <w:t xml:space="preserve">en raison de certaines qualités qui leur sont particulières ou d’une situation de fait qui les caractérise par rapport à toute autre personne et de ce fait les individualise d’une manière analogue à celle du destinataire</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8 avril 2014, Digital Rights Ireland, C-293/12</w:t>
      </w:r>
      <w:r>
        <w:rPr>
          <w:rFonts w:ascii="Calibri" w:cs="Calibri" w:eastAsia="Calibri" w:hAnsi="Calibri"/>
          <w:color w:val="1A1A1A"/>
          <w:sz w:val="20"/>
          <w:szCs w:val="20"/>
        </w:rPr>
        <w:t xml:space="preserve"> : invalidation de la </w:t>
      </w:r>
      <w:r>
        <w:rPr>
          <w:rFonts w:ascii="Calibri" w:cs="Calibri" w:eastAsia="Calibri" w:hAnsi="Calibri"/>
          <w:color w:val="1E88E5"/>
          <w:sz w:val="20"/>
          <w:szCs w:val="20"/>
        </w:rPr>
        <w:t xml:space="preserve">directive 2006/24/CE</w:t>
      </w:r>
      <w:r>
        <w:rPr>
          <w:rFonts w:ascii="Calibri" w:cs="Calibri" w:eastAsia="Calibri" w:hAnsi="Calibri"/>
          <w:color w:val="1A1A1A"/>
          <w:sz w:val="20"/>
          <w:szCs w:val="20"/>
        </w:rPr>
        <w:t xml:space="preserve"> sur la conservation des données — ingérence </w:t>
      </w:r>
      <w:r>
        <w:rPr>
          <w:rFonts w:ascii="Calibri" w:cs="Calibri" w:eastAsia="Calibri" w:hAnsi="Calibri"/>
          <w:b/>
          <w:bCs/>
          <w:color w:val="1A1A1A"/>
          <w:sz w:val="20"/>
          <w:szCs w:val="20"/>
        </w:rPr>
        <w:t xml:space="preserve">disproportionnée</w:t>
      </w:r>
      <w:r>
        <w:rPr>
          <w:rFonts w:ascii="Calibri" w:cs="Calibri" w:eastAsia="Calibri" w:hAnsi="Calibri"/>
          <w:color w:val="1A1A1A"/>
          <w:sz w:val="20"/>
          <w:szCs w:val="20"/>
        </w:rPr>
        <w:t xml:space="preserve"> dans le droit au respect de la vie privée et le droit à la protection des données (</w:t>
      </w:r>
      <w:r>
        <w:rPr>
          <w:rFonts w:ascii="Calibri" w:cs="Calibri" w:eastAsia="Calibri" w:hAnsi="Calibri"/>
          <w:color w:val="1E88E5"/>
          <w:sz w:val="20"/>
          <w:szCs w:val="20"/>
        </w:rPr>
        <w:t xml:space="preserve">art. 7 et 8 de la Charte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9 mars 1978, Simmenthal, aff. 106/77</w:t>
      </w:r>
      <w:r>
        <w:rPr>
          <w:rFonts w:ascii="Calibri" w:cs="Calibri" w:eastAsia="Calibri" w:hAnsi="Calibri"/>
          <w:color w:val="1A1A1A"/>
          <w:sz w:val="20"/>
          <w:szCs w:val="20"/>
        </w:rPr>
        <w:t xml:space="preserve"> : le juge national est tenu « </w:t>
      </w:r>
      <w:r>
        <w:rPr>
          <w:rFonts w:ascii="Calibri" w:cs="Calibri" w:eastAsia="Calibri" w:hAnsi="Calibri"/>
          <w:i/>
          <w:iCs/>
          <w:color w:val="1A1A1A"/>
          <w:sz w:val="20"/>
          <w:szCs w:val="20"/>
        </w:rPr>
        <w:t xml:space="preserve">d’appliquer intégralement le droit communautaire et de protéger les droits que celui-ci confère aux particuliers, en laissant inappliquée toute disposition nationale contraire</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15 mai 1986, Johnston, aff. 222/84</w:t>
      </w:r>
      <w:r>
        <w:rPr>
          <w:rFonts w:ascii="Calibri" w:cs="Calibri" w:eastAsia="Calibri" w:hAnsi="Calibri"/>
          <w:color w:val="1A1A1A"/>
          <w:sz w:val="20"/>
          <w:szCs w:val="20"/>
        </w:rPr>
        <w:t xml:space="preserve"> : érection du droit à un recours juridictionnel effectif en </w:t>
      </w:r>
      <w:r>
        <w:rPr>
          <w:rFonts w:ascii="Calibri" w:cs="Calibri" w:eastAsia="Calibri" w:hAnsi="Calibri"/>
          <w:b/>
          <w:bCs/>
          <w:color w:val="1A1A1A"/>
          <w:sz w:val="20"/>
          <w:szCs w:val="20"/>
        </w:rPr>
        <w:t xml:space="preserve">principe général</w:t>
      </w:r>
      <w:r>
        <w:rPr>
          <w:rFonts w:ascii="Calibri" w:cs="Calibri" w:eastAsia="Calibri" w:hAnsi="Calibri"/>
          <w:color w:val="1A1A1A"/>
          <w:sz w:val="20"/>
          <w:szCs w:val="20"/>
        </w:rPr>
        <w:t xml:space="preserve"> du droit de l’Union — la Cour circonscrit ainsi l’autonomie procédurale des États par les exigences d’</w:t>
      </w:r>
      <w:r>
        <w:rPr>
          <w:rFonts w:ascii="Calibri" w:cs="Calibri" w:eastAsia="Calibri" w:hAnsi="Calibri"/>
          <w:b/>
          <w:bCs/>
          <w:color w:val="1A1A1A"/>
          <w:sz w:val="20"/>
          <w:szCs w:val="20"/>
        </w:rPr>
        <w:t xml:space="preserve">effectivité et d’équivalence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13 mars 2007, Unibet, C-432/05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27 octobre 2021, Commission c. Pologne, C-204/21</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C-791/19</w:t>
      </w:r>
      <w:r>
        <w:rPr>
          <w:rFonts w:ascii="Calibri" w:cs="Calibri" w:eastAsia="Calibri" w:hAnsi="Calibri"/>
          <w:color w:val="1A1A1A"/>
          <w:sz w:val="20"/>
          <w:szCs w:val="20"/>
        </w:rPr>
        <w:t xml:space="preserve">) : le recours en manquement comme instrument de protection des droits fondamentaux — obligation faite aux juges polonais de déclarer par écrit leur appartenance à une association ou à un parti, jugée contraire à la protection des données et au respect de la vie privée.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Commentaire de l’article 19 § 1 TUE et de l’article 47 de la Charte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La subsidiarité juridictionnelle, entre consécration implicite et mise en œuvre ambiguë</w:t>
      </w:r>
      <w:r>
        <w:rPr>
          <w:rFonts w:ascii="Calibri" w:cs="Calibri" w:eastAsia="Calibri" w:hAnsi="Calibri"/>
          <w:color w:val="1A1A1A"/>
          <w:sz w:val="20"/>
          <w:szCs w:val="20"/>
        </w:rPr>
        <w:t xml:space="preserve"> (A. L’</w:t>
      </w:r>
      <w:r>
        <w:rPr>
          <w:rFonts w:ascii="Calibri" w:cs="Calibri" w:eastAsia="Calibri" w:hAnsi="Calibri"/>
          <w:color w:val="1E88E5"/>
          <w:sz w:val="20"/>
          <w:szCs w:val="20"/>
        </w:rPr>
        <w:t xml:space="preserve">art. 19</w:t>
      </w:r>
      <w:r>
        <w:rPr>
          <w:rFonts w:ascii="Calibri" w:cs="Calibri" w:eastAsia="Calibri" w:hAnsi="Calibri"/>
          <w:color w:val="1A1A1A"/>
          <w:sz w:val="20"/>
          <w:szCs w:val="20"/>
        </w:rPr>
        <w:t xml:space="preserve"> garant de l’autonomie procédurale des États membres ; B. Une subsidiarité révélatrice des limites de l’accès direct au juge de l’Union : </w:t>
      </w:r>
      <w:r>
        <w:rPr>
          <w:rFonts w:ascii="Calibri" w:cs="Calibri" w:eastAsia="Calibri" w:hAnsi="Calibri"/>
          <w:color w:val="E91E63"/>
          <w:sz w:val="20"/>
          <w:szCs w:val="20"/>
        </w:rPr>
        <w:t xml:space="preserve">Plaumann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Inuit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La combinaison des articles 47 et 19 pour approfondir les exigences envers les États</w:t>
      </w:r>
      <w:r>
        <w:rPr>
          <w:rFonts w:ascii="Calibri" w:cs="Calibri" w:eastAsia="Calibri" w:hAnsi="Calibri"/>
          <w:color w:val="1A1A1A"/>
          <w:sz w:val="20"/>
          <w:szCs w:val="20"/>
        </w:rPr>
        <w:t xml:space="preserve"> (A. L’équivalence entre l’</w:t>
      </w:r>
      <w:r>
        <w:rPr>
          <w:rFonts w:ascii="Calibri" w:cs="Calibri" w:eastAsia="Calibri" w:hAnsi="Calibri"/>
          <w:color w:val="1E88E5"/>
          <w:sz w:val="20"/>
          <w:szCs w:val="20"/>
        </w:rPr>
        <w:t xml:space="preserve">art. 47 de la Charte</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6 CEDH</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Gambino et Hyka</w:t>
      </w:r>
      <w:r>
        <w:rPr>
          <w:rFonts w:ascii="Calibri" w:cs="Calibri" w:eastAsia="Calibri" w:hAnsi="Calibri"/>
          <w:color w:val="1A1A1A"/>
          <w:sz w:val="20"/>
          <w:szCs w:val="20"/>
        </w:rPr>
        <w:t xml:space="preserve"> ; B. Le fondement d’un contrôle des réformes juridictionnelles nationales : </w:t>
      </w:r>
      <w:r>
        <w:rPr>
          <w:rFonts w:ascii="Calibri" w:cs="Calibri" w:eastAsia="Calibri" w:hAnsi="Calibri"/>
          <w:color w:val="E91E63"/>
          <w:sz w:val="20"/>
          <w:szCs w:val="20"/>
        </w:rPr>
        <w:t xml:space="preserve">Commission c. Pologne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L’accès des particuliers au juge de l’Union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Des voies étroites</w:t>
      </w:r>
      <w:r>
        <w:rPr>
          <w:rFonts w:ascii="Calibri" w:cs="Calibri" w:eastAsia="Calibri" w:hAnsi="Calibri"/>
          <w:color w:val="1A1A1A"/>
          <w:sz w:val="20"/>
          <w:szCs w:val="20"/>
        </w:rPr>
        <w:t xml:space="preserve"> (A. Le recours en annulation et les conditions </w:t>
      </w:r>
      <w:r>
        <w:rPr>
          <w:rFonts w:ascii="Calibri" w:cs="Calibri" w:eastAsia="Calibri" w:hAnsi="Calibri"/>
          <w:i/>
          <w:iCs/>
          <w:color w:val="1A1A1A"/>
          <w:sz w:val="20"/>
          <w:szCs w:val="20"/>
        </w:rPr>
        <w:t xml:space="preserve">Plaumann</w:t>
      </w:r>
      <w:r>
        <w:rPr>
          <w:rFonts w:ascii="Calibri" w:cs="Calibri" w:eastAsia="Calibri" w:hAnsi="Calibri"/>
          <w:color w:val="1A1A1A"/>
          <w:sz w:val="20"/>
          <w:szCs w:val="20"/>
        </w:rPr>
        <w:t xml:space="preserve"> ; B. La question préjudicielle, dialogue de juges et non recours ouvert aux particuliers) / </w:t>
      </w:r>
      <w:r>
        <w:rPr>
          <w:rFonts w:ascii="Calibri" w:cs="Calibri" w:eastAsia="Calibri" w:hAnsi="Calibri"/>
          <w:b/>
          <w:bCs/>
          <w:color w:val="1A1A1A"/>
          <w:sz w:val="20"/>
          <w:szCs w:val="20"/>
        </w:rPr>
        <w:t xml:space="preserve">II. Une complétude revendiquée</w:t>
      </w:r>
      <w:r>
        <w:rPr>
          <w:rFonts w:ascii="Calibri" w:cs="Calibri" w:eastAsia="Calibri" w:hAnsi="Calibri"/>
          <w:color w:val="1A1A1A"/>
          <w:sz w:val="20"/>
          <w:szCs w:val="20"/>
        </w:rPr>
        <w:t xml:space="preserve"> (A. La thèse de la complétude du système juridictionnel : </w:t>
      </w:r>
      <w:r>
        <w:rPr>
          <w:rFonts w:ascii="Calibri" w:cs="Calibri" w:eastAsia="Calibri" w:hAnsi="Calibri"/>
          <w:color w:val="E91E63"/>
          <w:sz w:val="20"/>
          <w:szCs w:val="20"/>
        </w:rPr>
        <w:t xml:space="preserve">Inuit Tapiriit Kanatami</w:t>
      </w:r>
      <w:r>
        <w:rPr>
          <w:rFonts w:ascii="Calibri" w:cs="Calibri" w:eastAsia="Calibri" w:hAnsi="Calibri"/>
          <w:color w:val="1A1A1A"/>
          <w:sz w:val="20"/>
          <w:szCs w:val="20"/>
        </w:rPr>
        <w:t xml:space="preserve"> ; B. Le report sur le juge national et ses critiques : variation de la protection selon les États membres).</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La question préjudicielle n’est pas un recours des particuliers</w:t>
      </w:r>
      <w:r>
        <w:rPr>
          <w:rFonts w:ascii="Calibri" w:cs="Calibri" w:eastAsia="Calibri" w:hAnsi="Calibri"/>
          <w:color w:val="1A1A1A"/>
          <w:sz w:val="20"/>
          <w:szCs w:val="20"/>
        </w:rPr>
        <w:t xml:space="preserve"> : la possibilité de saisir la Cour est </w:t>
      </w:r>
      <w:r>
        <w:rPr>
          <w:rFonts w:ascii="Calibri" w:cs="Calibri" w:eastAsia="Calibri" w:hAnsi="Calibri"/>
          <w:b/>
          <w:bCs/>
          <w:color w:val="1A1A1A"/>
          <w:sz w:val="20"/>
          <w:szCs w:val="20"/>
        </w:rPr>
        <w:t xml:space="preserve">exclusivement réservée aux juridictions nationales</w:t>
      </w:r>
      <w:r>
        <w:rPr>
          <w:rFonts w:ascii="Calibri" w:cs="Calibri" w:eastAsia="Calibri" w:hAnsi="Calibri"/>
          <w:color w:val="1A1A1A"/>
          <w:sz w:val="20"/>
          <w:szCs w:val="20"/>
        </w:rPr>
        <w:t xml:space="preserve">. Les particuliers peuvent le demander, mais la décision finale appartient au juge national, qui peut aussi saisir la Cour de sa propre initiative. Aucun délai n’est prescrit.</w:t>
      </w:r>
    </w:p>
    <w:p>
      <w:pPr>
        <w:pStyle w:val="ListParagraph"/>
        <w:numPr>
          <w:ilvl w:val="0"/>
          <w:numId w:val="2"/>
        </w:numPr>
        <w:spacing w:after="70" w:line="264"/>
        <w:jc w:val="both"/>
      </w:pPr>
      <w:r>
        <w:rPr>
          <w:rFonts w:ascii="Calibri" w:cs="Calibri" w:eastAsia="Calibri" w:hAnsi="Calibri"/>
          <w:b/>
          <w:bCs/>
          <w:color w:val="1A1A1A"/>
          <w:sz w:val="20"/>
          <w:szCs w:val="20"/>
        </w:rPr>
        <w:t xml:space="preserve">Depuis le 1er octobre 2024, la compétence préjudicielle n’appartient plus exclusivement à la Cour</w:t>
      </w:r>
      <w:r>
        <w:rPr>
          <w:rFonts w:ascii="Calibri" w:cs="Calibri" w:eastAsia="Calibri" w:hAnsi="Calibri"/>
          <w:color w:val="1A1A1A"/>
          <w:sz w:val="20"/>
          <w:szCs w:val="20"/>
        </w:rPr>
        <w:t xml:space="preserve"> : le Tribunal peut examiner les renvois relevant de six matières limitativement énumérées (</w:t>
      </w:r>
      <w:r>
        <w:rPr>
          <w:rFonts w:ascii="Calibri" w:cs="Calibri" w:eastAsia="Calibri" w:hAnsi="Calibri"/>
          <w:color w:val="1E88E5"/>
          <w:sz w:val="20"/>
          <w:szCs w:val="20"/>
        </w:rPr>
        <w:t xml:space="preserve">règlement (UE, Euratom) 2024/2019 du 11 avril 2024 ; art. 50 ter du statut</w:t>
      </w:r>
      <w:r>
        <w:rPr>
          <w:rFonts w:ascii="Calibri" w:cs="Calibri" w:eastAsia="Calibri" w:hAnsi="Calibri"/>
          <w:color w:val="1A1A1A"/>
          <w:sz w:val="20"/>
          <w:szCs w:val="20"/>
        </w:rPr>
        <w:t xml:space="preserve">). La Cour conserve les questions touchant aux </w:t>
      </w:r>
      <w:r>
        <w:rPr>
          <w:rFonts w:ascii="Calibri" w:cs="Calibri" w:eastAsia="Calibri" w:hAnsi="Calibri"/>
          <w:b/>
          <w:bCs/>
          <w:color w:val="1A1A1A"/>
          <w:sz w:val="20"/>
          <w:szCs w:val="20"/>
        </w:rPr>
        <w:t xml:space="preserve">droits fondamentaux</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recours en manquement n’est pas ouvert aux particuliers</w:t>
      </w:r>
      <w:r>
        <w:rPr>
          <w:rFonts w:ascii="Calibri" w:cs="Calibri" w:eastAsia="Calibri" w:hAnsi="Calibri"/>
          <w:color w:val="1A1A1A"/>
          <w:sz w:val="20"/>
          <w:szCs w:val="20"/>
        </w:rPr>
        <w:t xml:space="preserve"> : il est formé par la Commission ou par un autre État membre. Les particuliers peuvent seulement adresser une </w:t>
      </w:r>
      <w:r>
        <w:rPr>
          <w:rFonts w:ascii="Calibri" w:cs="Calibri" w:eastAsia="Calibri" w:hAnsi="Calibri"/>
          <w:b/>
          <w:bCs/>
          <w:color w:val="1A1A1A"/>
          <w:sz w:val="20"/>
          <w:szCs w:val="20"/>
        </w:rPr>
        <w:t xml:space="preserve">plainte</w:t>
      </w:r>
      <w:r>
        <w:rPr>
          <w:rFonts w:ascii="Calibri" w:cs="Calibri" w:eastAsia="Calibri" w:hAnsi="Calibri"/>
          <w:color w:val="1A1A1A"/>
          <w:sz w:val="20"/>
          <w:szCs w:val="20"/>
        </w:rPr>
        <w:t xml:space="preserve"> à la Commission.</w:t>
      </w:r>
    </w:p>
    <w:p>
      <w:r>
        <w:br w:type="page"/>
      </w:r>
    </w:p>
    <w:p>
      <w:pPr>
        <w:pStyle w:val="Heading2"/>
        <w:spacing w:after="120" w:before="280"/>
      </w:pPr>
      <w:r>
        <w:rPr>
          <w:rFonts w:ascii="Calibri" w:cs="Calibri" w:eastAsia="Calibri" w:hAnsi="Calibri"/>
          <w:b/>
          <w:bCs/>
          <w:color w:val="1A1A1A"/>
          <w:sz w:val="24"/>
          <w:szCs w:val="24"/>
        </w:rPr>
        <w:t xml:space="preserve">1. L’institution, ses missions et son fonctionnement</w:t>
      </w:r>
    </w:p>
    <w:p>
      <w:pPr>
        <w:pStyle w:val="ListParagraph"/>
        <w:numPr>
          <w:ilvl w:val="0"/>
          <w:numId w:val="2"/>
        </w:numPr>
        <w:spacing w:after="70" w:line="264"/>
        <w:jc w:val="both"/>
      </w:pPr>
      <w:r>
        <w:rPr>
          <w:rFonts w:ascii="Calibri" w:cs="Calibri" w:eastAsia="Calibri" w:hAnsi="Calibri"/>
          <w:b/>
          <w:bCs/>
          <w:color w:val="1A1A1A"/>
          <w:sz w:val="20"/>
          <w:szCs w:val="20"/>
        </w:rPr>
        <w:t xml:space="preserve">Composition et missions</w:t>
      </w:r>
      <w:r>
        <w:rPr>
          <w:rFonts w:ascii="Calibri" w:cs="Calibri" w:eastAsia="Calibri" w:hAnsi="Calibri"/>
          <w:color w:val="1A1A1A"/>
          <w:sz w:val="20"/>
          <w:szCs w:val="20"/>
        </w:rPr>
        <w:t xml:space="preserve"> : la Cour de justice contrôle la légalité des actes des institutions européennes, veille au respect par les États membres des obligations découlant des traités, et interprète le droit de l’Union à la demande des juges nationaux. Elle constitue l’autorité judiciaire de l’Union et veille, </w:t>
      </w:r>
      <w:r>
        <w:rPr>
          <w:rFonts w:ascii="Calibri" w:cs="Calibri" w:eastAsia="Calibri" w:hAnsi="Calibri"/>
          <w:b/>
          <w:bCs/>
          <w:color w:val="1A1A1A"/>
          <w:sz w:val="20"/>
          <w:szCs w:val="20"/>
        </w:rPr>
        <w:t xml:space="preserve">en collaboration avec les juridictions des États membres</w:t>
      </w:r>
      <w:r>
        <w:rPr>
          <w:rFonts w:ascii="Calibri" w:cs="Calibri" w:eastAsia="Calibri" w:hAnsi="Calibri"/>
          <w:color w:val="1A1A1A"/>
          <w:sz w:val="20"/>
          <w:szCs w:val="20"/>
        </w:rPr>
        <w:t xml:space="preserve">, à l’application et à l’interprétation uniforme du droit de l’Union.</w:t>
      </w:r>
    </w:p>
    <w:p>
      <w:pPr>
        <w:pStyle w:val="ListParagraph"/>
        <w:numPr>
          <w:ilvl w:val="0"/>
          <w:numId w:val="2"/>
        </w:numPr>
        <w:spacing w:after="70" w:line="264"/>
        <w:jc w:val="both"/>
      </w:pPr>
      <w:r>
        <w:rPr>
          <w:rFonts w:ascii="Calibri" w:cs="Calibri" w:eastAsia="Calibri" w:hAnsi="Calibri"/>
          <w:b/>
          <w:bCs/>
          <w:color w:val="1A1A1A"/>
          <w:sz w:val="20"/>
          <w:szCs w:val="20"/>
        </w:rPr>
        <w:t xml:space="preserve">Régime linguistique</w:t>
      </w:r>
      <w:r>
        <w:rPr>
          <w:rFonts w:ascii="Calibri" w:cs="Calibri" w:eastAsia="Calibri" w:hAnsi="Calibri"/>
          <w:color w:val="1A1A1A"/>
          <w:sz w:val="20"/>
          <w:szCs w:val="20"/>
        </w:rPr>
        <w:t xml:space="preserve"> : singulier, chacune des langues officielles de l’Union pouvant être une langue de procédure. Le respect d’un </w:t>
      </w:r>
      <w:r>
        <w:rPr>
          <w:rFonts w:ascii="Calibri" w:cs="Calibri" w:eastAsia="Calibri" w:hAnsi="Calibri"/>
          <w:b/>
          <w:bCs/>
          <w:color w:val="1A1A1A"/>
          <w:sz w:val="20"/>
          <w:szCs w:val="20"/>
        </w:rPr>
        <w:t xml:space="preserve">multilinguisme intégral</w:t>
      </w:r>
      <w:r>
        <w:rPr>
          <w:rFonts w:ascii="Calibri" w:cs="Calibri" w:eastAsia="Calibri" w:hAnsi="Calibri"/>
          <w:color w:val="1A1A1A"/>
          <w:sz w:val="20"/>
          <w:szCs w:val="20"/>
        </w:rPr>
        <w:t xml:space="preserve"> découle de la nécessité de communiquer avec les parties dans la langue du procès et d’assurer la diffusion de la jurisprudence dans l’ensemble des États membres.</w:t>
      </w:r>
    </w:p>
    <w:p>
      <w:pPr>
        <w:pStyle w:val="ListParagraph"/>
        <w:numPr>
          <w:ilvl w:val="0"/>
          <w:numId w:val="2"/>
        </w:numPr>
        <w:spacing w:after="70" w:line="264"/>
        <w:jc w:val="both"/>
      </w:pPr>
      <w:r>
        <w:rPr>
          <w:rFonts w:ascii="Calibri" w:cs="Calibri" w:eastAsia="Calibri" w:hAnsi="Calibri"/>
          <w:b/>
          <w:bCs/>
          <w:color w:val="1A1A1A"/>
          <w:sz w:val="20"/>
          <w:szCs w:val="20"/>
        </w:rPr>
        <w:t xml:space="preserve">Les trois fonctions</w:t>
      </w:r>
      <w:r>
        <w:rPr>
          <w:rFonts w:ascii="Calibri" w:cs="Calibri" w:eastAsia="Calibri" w:hAnsi="Calibri"/>
          <w:color w:val="1A1A1A"/>
          <w:sz w:val="20"/>
          <w:szCs w:val="20"/>
        </w:rPr>
        <w:t xml:space="preserve"> : la fonction </w:t>
      </w:r>
      <w:r>
        <w:rPr>
          <w:rFonts w:ascii="Calibri" w:cs="Calibri" w:eastAsia="Calibri" w:hAnsi="Calibri"/>
          <w:b/>
          <w:bCs/>
          <w:color w:val="1A1A1A"/>
          <w:sz w:val="20"/>
          <w:szCs w:val="20"/>
        </w:rPr>
        <w:t xml:space="preserve">contentieuse</w:t>
      </w:r>
      <w:r>
        <w:rPr>
          <w:rFonts w:ascii="Calibri" w:cs="Calibri" w:eastAsia="Calibri" w:hAnsi="Calibri"/>
          <w:color w:val="1A1A1A"/>
          <w:sz w:val="20"/>
          <w:szCs w:val="20"/>
        </w:rPr>
        <w:t xml:space="preserve"> revêt une importance certaine, car son objet est de contrôler, à titre principal et exclusif, l’action des institutions de l’Union et, subsidiairement, celle des États membres. S’agissant des institutions, la Cour dispose d’importants moyens — recours en annulation, en carence, exception d’illégalité, questions d’indemnité. S’agissant du contrôle de l’action des États membres, elle dispose en revanche de moyens </w:t>
      </w:r>
      <w:r>
        <w:rPr>
          <w:rFonts w:ascii="Calibri" w:cs="Calibri" w:eastAsia="Calibri" w:hAnsi="Calibri"/>
          <w:b/>
          <w:bCs/>
          <w:color w:val="1A1A1A"/>
          <w:sz w:val="20"/>
          <w:szCs w:val="20"/>
        </w:rPr>
        <w:t xml:space="preserve">limités</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Les voies de recours</w:t>
      </w:r>
    </w:p>
    <w:p>
      <w:pPr>
        <w:pStyle w:val="Heading3"/>
        <w:spacing w:after="90" w:before="200"/>
      </w:pPr>
      <w:r>
        <w:rPr>
          <w:rFonts w:ascii="Calibri" w:cs="Calibri" w:eastAsia="Calibri" w:hAnsi="Calibri"/>
          <w:b/>
          <w:bCs/>
          <w:i/>
          <w:iCs/>
          <w:color w:val="5A5A5A"/>
          <w:sz w:val="21"/>
          <w:szCs w:val="21"/>
        </w:rPr>
        <w:t xml:space="preserve">2.1. Le recours en annulation</w:t>
      </w:r>
    </w:p>
    <w:p>
      <w:pPr>
        <w:pStyle w:val="ListParagraph"/>
        <w:numPr>
          <w:ilvl w:val="0"/>
          <w:numId w:val="2"/>
        </w:numPr>
        <w:spacing w:after="70" w:line="264"/>
        <w:jc w:val="both"/>
      </w:pPr>
      <w:r>
        <w:rPr>
          <w:rFonts w:ascii="Calibri" w:cs="Calibri" w:eastAsia="Calibri" w:hAnsi="Calibri"/>
          <w:color w:val="1E88E5"/>
          <w:sz w:val="20"/>
          <w:szCs w:val="20"/>
        </w:rPr>
        <w:t xml:space="preserve">Art. 263 TFUE</w:t>
      </w:r>
      <w:r>
        <w:rPr>
          <w:rFonts w:ascii="Calibri" w:cs="Calibri" w:eastAsia="Calibri" w:hAnsi="Calibri"/>
          <w:color w:val="1A1A1A"/>
          <w:sz w:val="20"/>
          <w:szCs w:val="20"/>
        </w:rPr>
        <w:t xml:space="preserve"> : contrôle de la légalité des actes européens, ouvert aux particuliers dans un délai de </w:t>
      </w:r>
      <w:r>
        <w:rPr>
          <w:rFonts w:ascii="Calibri" w:cs="Calibri" w:eastAsia="Calibri" w:hAnsi="Calibri"/>
          <w:b/>
          <w:bCs/>
          <w:color w:val="1A1A1A"/>
          <w:sz w:val="20"/>
          <w:szCs w:val="20"/>
        </w:rPr>
        <w:t xml:space="preserve">deux mois</w:t>
      </w:r>
      <w:r>
        <w:rPr>
          <w:rFonts w:ascii="Calibri" w:cs="Calibri" w:eastAsia="Calibri" w:hAnsi="Calibri"/>
          <w:color w:val="1A1A1A"/>
          <w:sz w:val="20"/>
          <w:szCs w:val="20"/>
        </w:rPr>
        <w:t xml:space="preserve"> à compter, suivant le cas, de la publication de l’acte, de sa notification ou du jour où le requérant en a eu connaissance. Appartenant à la catégorie des </w:t>
      </w:r>
      <w:r>
        <w:rPr>
          <w:rFonts w:ascii="Calibri" w:cs="Calibri" w:eastAsia="Calibri" w:hAnsi="Calibri"/>
          <w:b/>
          <w:bCs/>
          <w:color w:val="1A1A1A"/>
          <w:sz w:val="20"/>
          <w:szCs w:val="20"/>
        </w:rPr>
        <w:t xml:space="preserve">requérants « non privilégiés »</w:t>
      </w:r>
      <w:r>
        <w:rPr>
          <w:rFonts w:ascii="Calibri" w:cs="Calibri" w:eastAsia="Calibri" w:hAnsi="Calibri"/>
          <w:color w:val="1A1A1A"/>
          <w:sz w:val="20"/>
          <w:szCs w:val="20"/>
        </w:rPr>
        <w:t xml:space="preserve">, les particuliers doivent démontrer un intérêt à agir : l’acte contesté doit être à destination du requérant ou le concerner </w:t>
      </w:r>
      <w:r>
        <w:rPr>
          <w:rFonts w:ascii="Calibri" w:cs="Calibri" w:eastAsia="Calibri" w:hAnsi="Calibri"/>
          <w:b/>
          <w:bCs/>
          <w:color w:val="1A1A1A"/>
          <w:sz w:val="20"/>
          <w:szCs w:val="20"/>
        </w:rPr>
        <w:t xml:space="preserve">directement et individuellement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Illustration : dans l’affaire </w:t>
      </w:r>
      <w:r>
        <w:rPr>
          <w:rFonts w:ascii="Calibri" w:cs="Calibri" w:eastAsia="Calibri" w:hAnsi="Calibri"/>
          <w:color w:val="E91E63"/>
          <w:sz w:val="20"/>
          <w:szCs w:val="20"/>
        </w:rPr>
        <w:t xml:space="preserve">Kadi</w:t>
      </w:r>
      <w:r>
        <w:rPr>
          <w:rFonts w:ascii="Calibri" w:cs="Calibri" w:eastAsia="Calibri" w:hAnsi="Calibri"/>
          <w:color w:val="1A1A1A"/>
          <w:sz w:val="20"/>
          <w:szCs w:val="20"/>
        </w:rPr>
        <w:t xml:space="preserve">, en désaccord avec le Tribunal initialement saisi, la Cour de justice a annulé un règlement européen gelant les fonds d’un requérant pour violation des droits de la défense et du principe de protection juridictionnelle effective (</w:t>
      </w:r>
      <w:r>
        <w:rPr>
          <w:rFonts w:ascii="Calibri" w:cs="Calibri" w:eastAsia="Calibri" w:hAnsi="Calibri"/>
          <w:color w:val="E91E63"/>
          <w:sz w:val="20"/>
          <w:szCs w:val="20"/>
        </w:rPr>
        <w:t xml:space="preserve">CJCE, 3 septembre 2008, Kadi c. Conseil et Commission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2.2. La question préjudicielle</w:t>
      </w:r>
    </w:p>
    <w:p>
      <w:pPr>
        <w:pStyle w:val="ListParagraph"/>
        <w:numPr>
          <w:ilvl w:val="0"/>
          <w:numId w:val="2"/>
        </w:numPr>
        <w:spacing w:after="70" w:line="264"/>
        <w:jc w:val="both"/>
      </w:pPr>
      <w:r>
        <w:rPr>
          <w:rFonts w:ascii="Calibri" w:cs="Calibri" w:eastAsia="Calibri" w:hAnsi="Calibri"/>
          <w:color w:val="1E88E5"/>
          <w:sz w:val="20"/>
          <w:szCs w:val="20"/>
        </w:rPr>
        <w:t xml:space="preserve">Art. 267 TFUE</w:t>
      </w:r>
      <w:r>
        <w:rPr>
          <w:rFonts w:ascii="Calibri" w:cs="Calibri" w:eastAsia="Calibri" w:hAnsi="Calibri"/>
          <w:color w:val="1A1A1A"/>
          <w:sz w:val="20"/>
          <w:szCs w:val="20"/>
        </w:rPr>
        <w:t xml:space="preserve"> : la Cour est compétente pour statuer à titre préjudiciel sur la </w:t>
      </w:r>
      <w:r>
        <w:rPr>
          <w:rFonts w:ascii="Calibri" w:cs="Calibri" w:eastAsia="Calibri" w:hAnsi="Calibri"/>
          <w:b/>
          <w:bCs/>
          <w:color w:val="1A1A1A"/>
          <w:sz w:val="20"/>
          <w:szCs w:val="20"/>
        </w:rPr>
        <w:t xml:space="preserve">validité des actes</w:t>
      </w:r>
      <w:r>
        <w:rPr>
          <w:rFonts w:ascii="Calibri" w:cs="Calibri" w:eastAsia="Calibri" w:hAnsi="Calibri"/>
          <w:color w:val="1A1A1A"/>
          <w:sz w:val="20"/>
          <w:szCs w:val="20"/>
        </w:rPr>
        <w:t xml:space="preserve"> pris par les institutions, organes ou organismes de l’Union. Il ne s’agit pas d’un recours à disposition des particuliers, mais d’un </w:t>
      </w:r>
      <w:r>
        <w:rPr>
          <w:rFonts w:ascii="Calibri" w:cs="Calibri" w:eastAsia="Calibri" w:hAnsi="Calibri"/>
          <w:b/>
          <w:bCs/>
          <w:color w:val="1A1A1A"/>
          <w:sz w:val="20"/>
          <w:szCs w:val="20"/>
        </w:rPr>
        <w:t xml:space="preserve">dialogue des juges</w:t>
      </w:r>
      <w:r>
        <w:rPr>
          <w:rFonts w:ascii="Calibri" w:cs="Calibri" w:eastAsia="Calibri" w:hAnsi="Calibri"/>
          <w:color w:val="1A1A1A"/>
          <w:sz w:val="20"/>
          <w:szCs w:val="20"/>
        </w:rPr>
        <w:t xml:space="preserve">. Conditions : une procédure judiciaire doit être en cours au niveau national, mettant en cause un acte de l’Union ou une mesure nationale de mise en œuvre du droit de l’Union prétendument contraire aux droits fondamentaux.</w:t>
      </w:r>
    </w:p>
    <w:p>
      <w:pPr>
        <w:pStyle w:val="ListParagraph"/>
        <w:numPr>
          <w:ilvl w:val="0"/>
          <w:numId w:val="2"/>
        </w:numPr>
        <w:spacing w:after="70" w:line="264"/>
        <w:jc w:val="both"/>
      </w:pPr>
      <w:r>
        <w:rPr>
          <w:rFonts w:ascii="Calibri" w:cs="Calibri" w:eastAsia="Calibri" w:hAnsi="Calibri"/>
          <w:color w:val="1A1A1A"/>
          <w:sz w:val="20"/>
          <w:szCs w:val="20"/>
        </w:rPr>
        <w:t xml:space="preserve">Illustration : ★ </w:t>
      </w:r>
      <w:r>
        <w:rPr>
          <w:rFonts w:ascii="Calibri" w:cs="Calibri" w:eastAsia="Calibri" w:hAnsi="Calibri"/>
          <w:color w:val="E91E63"/>
          <w:sz w:val="20"/>
          <w:szCs w:val="20"/>
        </w:rPr>
        <w:t xml:space="preserve">CJUE, 8 avril 2014, Digital Rights Ireland</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directive 2006/24/CE</w:t>
      </w:r>
      <w:r>
        <w:rPr>
          <w:rFonts w:ascii="Calibri" w:cs="Calibri" w:eastAsia="Calibri" w:hAnsi="Calibri"/>
          <w:color w:val="1A1A1A"/>
          <w:sz w:val="20"/>
          <w:szCs w:val="20"/>
        </w:rPr>
        <w:t xml:space="preserve"> sur la conservation des données traitées dans le cadre de la fourniture de services de communications électroniques est invalide, en ce qu’elle comportait une ingérence disproportionnée dans le droit au respect de la vie privée et le droit à la protection des données (</w:t>
      </w:r>
      <w:r>
        <w:rPr>
          <w:rFonts w:ascii="Calibri" w:cs="Calibri" w:eastAsia="Calibri" w:hAnsi="Calibri"/>
          <w:color w:val="1E88E5"/>
          <w:sz w:val="20"/>
          <w:szCs w:val="20"/>
        </w:rPr>
        <w:t xml:space="preserve">art. 7 et 8 de la Charte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 — le Tribunal peut désormais statuer à titre préjudiciel</w:t>
      </w:r>
      <w:r>
        <w:rPr>
          <w:rFonts w:ascii="Calibri" w:cs="Calibri" w:eastAsia="Calibri" w:hAnsi="Calibri"/>
          <w:color w:val="1A1A1A"/>
          <w:sz w:val="20"/>
          <w:szCs w:val="20"/>
        </w:rPr>
        <w:t xml:space="preserve"> : depuis le </w:t>
      </w:r>
      <w:r>
        <w:rPr>
          <w:rFonts w:ascii="Calibri" w:cs="Calibri" w:eastAsia="Calibri" w:hAnsi="Calibri"/>
          <w:b/>
          <w:bCs/>
          <w:color w:val="1A1A1A"/>
          <w:sz w:val="20"/>
          <w:szCs w:val="20"/>
        </w:rPr>
        <w:t xml:space="preserve">1er octobre 2024</w:t>
      </w:r>
      <w:r>
        <w:rPr>
          <w:rFonts w:ascii="Calibri" w:cs="Calibri" w:eastAsia="Calibri" w:hAnsi="Calibri"/>
          <w:color w:val="1A1A1A"/>
          <w:sz w:val="20"/>
          <w:szCs w:val="20"/>
        </w:rPr>
        <w:t xml:space="preserve">, une partie des renvois formés sur le fondement de l’</w:t>
      </w:r>
      <w:r>
        <w:rPr>
          <w:rFonts w:ascii="Calibri" w:cs="Calibri" w:eastAsia="Calibri" w:hAnsi="Calibri"/>
          <w:color w:val="1E88E5"/>
          <w:sz w:val="20"/>
          <w:szCs w:val="20"/>
        </w:rPr>
        <w:t xml:space="preserve">art. 267 TFUE</w:t>
      </w:r>
      <w:r>
        <w:rPr>
          <w:rFonts w:ascii="Calibri" w:cs="Calibri" w:eastAsia="Calibri" w:hAnsi="Calibri"/>
          <w:color w:val="1A1A1A"/>
          <w:sz w:val="20"/>
          <w:szCs w:val="20"/>
        </w:rPr>
        <w:t xml:space="preserve"> peut être examinée par le Tribunal lorsque la question relève </w:t>
      </w:r>
      <w:r>
        <w:rPr>
          <w:rFonts w:ascii="Calibri" w:cs="Calibri" w:eastAsia="Calibri" w:hAnsi="Calibri"/>
          <w:b/>
          <w:bCs/>
          <w:color w:val="1A1A1A"/>
          <w:sz w:val="20"/>
          <w:szCs w:val="20"/>
        </w:rPr>
        <w:t xml:space="preserve">exclusivement</w:t>
      </w:r>
      <w:r>
        <w:rPr>
          <w:rFonts w:ascii="Calibri" w:cs="Calibri" w:eastAsia="Calibri" w:hAnsi="Calibri"/>
          <w:color w:val="1A1A1A"/>
          <w:sz w:val="20"/>
          <w:szCs w:val="20"/>
        </w:rPr>
        <w:t xml:space="preserve"> de l’une des six matières énumérées par le statut : </w:t>
      </w:r>
      <w:r>
        <w:rPr>
          <w:rFonts w:ascii="Calibri" w:cs="Calibri" w:eastAsia="Calibri" w:hAnsi="Calibri"/>
          <w:b/>
          <w:bCs/>
          <w:color w:val="1A1A1A"/>
          <w:sz w:val="20"/>
          <w:szCs w:val="20"/>
        </w:rPr>
        <w:t xml:space="preserve">TVA, droits d’accise, code des douanes, classement tarifaire des marchandises, indemnisation et assistance des passagers, système d’échange de quotas d’émission de gaz à effet de serre</w:t>
      </w:r>
      <w:r>
        <w:rPr>
          <w:rFonts w:ascii="Calibri" w:cs="Calibri" w:eastAsia="Calibri" w:hAnsi="Calibri"/>
          <w:color w:val="1A1A1A"/>
          <w:sz w:val="20"/>
          <w:szCs w:val="20"/>
        </w:rPr>
        <w:t xml:space="preserve">. Toutes les demandes demeurent adressées à la Cour de justice, qui détermine si elles doivent être transférées au Tribunal ; la Cour conserve notamment sa compétence lorsqu’une demande soulève une question autonome relative au droit primaire, au droit international public, aux principes généraux du droit de l’Union ou à la Charte des droits fondamentaux (</w:t>
      </w:r>
      <w:r>
        <w:rPr>
          <w:rFonts w:ascii="Calibri" w:cs="Calibri" w:eastAsia="Calibri" w:hAnsi="Calibri"/>
          <w:color w:val="1E88E5"/>
          <w:sz w:val="20"/>
          <w:szCs w:val="20"/>
        </w:rPr>
        <w:t xml:space="preserve">règlement (UE, Euratom) 2024/2019 du 11 avril 2024 modifiant le protocole n° 3 sur le statut de la Cour de justice ; art. 50 ter du statut</w:t>
      </w:r>
      <w:r>
        <w:rPr>
          <w:rFonts w:ascii="Calibri" w:cs="Calibri" w:eastAsia="Calibri" w:hAnsi="Calibri"/>
          <w:color w:val="1A1A1A"/>
          <w:sz w:val="20"/>
          <w:szCs w:val="20"/>
        </w:rPr>
        <w:t xml:space="preserve">). Le Tribunal a rendu ses premiers arrêts préjudiciels en 2025 (</w:t>
      </w:r>
      <w:r>
        <w:rPr>
          <w:rFonts w:ascii="Calibri" w:cs="Calibri" w:eastAsia="Calibri" w:hAnsi="Calibri"/>
          <w:color w:val="E91E63"/>
          <w:sz w:val="20"/>
          <w:szCs w:val="20"/>
        </w:rPr>
        <w:t xml:space="preserve">Trib. UE, 9 juillet 2025, Gotek, aff. T-534/24</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À retenir</w:t>
      </w:r>
      <w:r>
        <w:rPr>
          <w:rFonts w:ascii="Calibri" w:cs="Calibri" w:eastAsia="Calibri" w:hAnsi="Calibri"/>
          <w:color w:val="1A1A1A"/>
          <w:sz w:val="20"/>
          <w:szCs w:val="20"/>
        </w:rPr>
        <w:t xml:space="preserve"> : le renvoi préjudiciel n’est plus une compétence exclusivement exercée par la Cour ; le Tribunal statue dans des matières techniques précisément délimitées, tandis que la Cour conserve les questions relatives aux droits fondamentaux et aux principes structurants de l’ordre juridique de l’Union.</w:t>
      </w:r>
    </w:p>
    <w:p>
      <w:pPr>
        <w:pStyle w:val="Heading3"/>
        <w:spacing w:after="90" w:before="200"/>
      </w:pPr>
      <w:r>
        <w:rPr>
          <w:rFonts w:ascii="Calibri" w:cs="Calibri" w:eastAsia="Calibri" w:hAnsi="Calibri"/>
          <w:b/>
          <w:bCs/>
          <w:i/>
          <w:iCs/>
          <w:color w:val="5A5A5A"/>
          <w:sz w:val="21"/>
          <w:szCs w:val="21"/>
        </w:rPr>
        <w:t xml:space="preserve">2.3. L’accès limité des particuliers</w:t>
      </w:r>
    </w:p>
    <w:p>
      <w:pPr>
        <w:pStyle w:val="ListParagraph"/>
        <w:numPr>
          <w:ilvl w:val="0"/>
          <w:numId w:val="2"/>
        </w:numPr>
        <w:spacing w:after="70" w:line="264"/>
        <w:jc w:val="both"/>
      </w:pPr>
      <w:r>
        <w:rPr>
          <w:rFonts w:ascii="Calibri" w:cs="Calibri" w:eastAsia="Calibri" w:hAnsi="Calibri"/>
          <w:b/>
          <w:bCs/>
          <w:color w:val="1A1A1A"/>
          <w:sz w:val="20"/>
          <w:szCs w:val="20"/>
        </w:rPr>
        <w:t xml:space="preserve">Le verrou </w:t>
      </w:r>
      <w:r>
        <w:rPr>
          <w:rFonts w:ascii="Calibri" w:cs="Calibri" w:eastAsia="Calibri" w:hAnsi="Calibri"/>
          <w:b/>
          <w:bCs/>
          <w:i/>
          <w:iCs/>
          <w:color w:val="1A1A1A"/>
          <w:sz w:val="20"/>
          <w:szCs w:val="20"/>
        </w:rPr>
        <w:t xml:space="preserve">Plaumann</w:t>
      </w:r>
      <w:r>
        <w:rPr>
          <w:rFonts w:ascii="Calibri" w:cs="Calibri" w:eastAsia="Calibri" w:hAnsi="Calibri"/>
          <w:color w:val="1A1A1A"/>
          <w:sz w:val="20"/>
          <w:szCs w:val="20"/>
        </w:rPr>
        <w:t xml:space="preserve"> : les deux conditions de l’</w:t>
      </w:r>
      <w:r>
        <w:rPr>
          <w:rFonts w:ascii="Calibri" w:cs="Calibri" w:eastAsia="Calibri" w:hAnsi="Calibri"/>
          <w:color w:val="1E88E5"/>
          <w:sz w:val="20"/>
          <w:szCs w:val="20"/>
        </w:rPr>
        <w:t xml:space="preserve">art. 263</w:t>
      </w:r>
      <w:r>
        <w:rPr>
          <w:rFonts w:ascii="Calibri" w:cs="Calibri" w:eastAsia="Calibri" w:hAnsi="Calibri"/>
          <w:color w:val="1A1A1A"/>
          <w:sz w:val="20"/>
          <w:szCs w:val="20"/>
        </w:rPr>
        <w:t xml:space="preserve"> ont été interprétées de manière très stricte. La Cour a conservé cette interprétation malgré les critiques, exigeant que le requérant soit </w:t>
      </w:r>
      <w:r>
        <w:rPr>
          <w:rFonts w:ascii="Calibri" w:cs="Calibri" w:eastAsia="Calibri" w:hAnsi="Calibri"/>
          <w:b/>
          <w:bCs/>
          <w:color w:val="1A1A1A"/>
          <w:sz w:val="20"/>
          <w:szCs w:val="20"/>
        </w:rPr>
        <w:t xml:space="preserve">individuellement concerné</w:t>
      </w:r>
      <w:r>
        <w:rPr>
          <w:rFonts w:ascii="Calibri" w:cs="Calibri" w:eastAsia="Calibri" w:hAnsi="Calibri"/>
          <w:color w:val="1A1A1A"/>
          <w:sz w:val="20"/>
          <w:szCs w:val="20"/>
        </w:rPr>
        <w:t xml:space="preserve"> pour qu’un recours en annulation soit recevable contre un acte de portée générale.</w:t>
      </w:r>
    </w:p>
    <w:p>
      <w:pPr>
        <w:pStyle w:val="ListParagraph"/>
        <w:numPr>
          <w:ilvl w:val="0"/>
          <w:numId w:val="2"/>
        </w:numPr>
        <w:spacing w:after="70" w:line="264"/>
        <w:jc w:val="both"/>
      </w:pPr>
      <w:r>
        <w:rPr>
          <w:rFonts w:ascii="Calibri" w:cs="Calibri" w:eastAsia="Calibri" w:hAnsi="Calibri"/>
          <w:b/>
          <w:bCs/>
          <w:color w:val="1A1A1A"/>
          <w:sz w:val="20"/>
          <w:szCs w:val="20"/>
        </w:rPr>
        <w:t xml:space="preserve">La réponse de la Cour</w:t>
      </w:r>
      <w:r>
        <w:rPr>
          <w:rFonts w:ascii="Calibri" w:cs="Calibri" w:eastAsia="Calibri" w:hAnsi="Calibri"/>
          <w:color w:val="1A1A1A"/>
          <w:sz w:val="20"/>
          <w:szCs w:val="20"/>
        </w:rPr>
        <w:t xml:space="preserve"> : si le droit à un recours effectif est consacré par l’</w:t>
      </w:r>
      <w:r>
        <w:rPr>
          <w:rFonts w:ascii="Calibri" w:cs="Calibri" w:eastAsia="Calibri" w:hAnsi="Calibri"/>
          <w:color w:val="1E88E5"/>
          <w:sz w:val="20"/>
          <w:szCs w:val="20"/>
        </w:rPr>
        <w:t xml:space="preserve">art. 47 de la Charte</w:t>
      </w:r>
      <w:r>
        <w:rPr>
          <w:rFonts w:ascii="Calibri" w:cs="Calibri" w:eastAsia="Calibri" w:hAnsi="Calibri"/>
          <w:color w:val="1A1A1A"/>
          <w:sz w:val="20"/>
          <w:szCs w:val="20"/>
        </w:rPr>
        <w:t xml:space="preserve">, cette disposition n’impose pas, selon une jurisprudence constante, la possibilité d’intenter de manière inconditionnelle un recours en annulation devant le juge de Luxembourg. La compatibilité est assurée, aux yeux de la Cour, par la capacité des requérants à contester la légalité d’un acte de portée générale </w:t>
      </w:r>
      <w:r>
        <w:rPr>
          <w:rFonts w:ascii="Calibri" w:cs="Calibri" w:eastAsia="Calibri" w:hAnsi="Calibri"/>
          <w:b/>
          <w:bCs/>
          <w:color w:val="1A1A1A"/>
          <w:sz w:val="20"/>
          <w:szCs w:val="20"/>
        </w:rPr>
        <w:t xml:space="preserve">par d’autres voies de recours</w:t>
      </w:r>
      <w:r>
        <w:rPr>
          <w:rFonts w:ascii="Calibri" w:cs="Calibri" w:eastAsia="Calibri" w:hAnsi="Calibri"/>
          <w:color w:val="1A1A1A"/>
          <w:sz w:val="20"/>
          <w:szCs w:val="20"/>
        </w:rPr>
        <w:t xml:space="preserve">, notamment le renvoi préjudiciel en validité — c’est la thèse de la </w:t>
      </w:r>
      <w:r>
        <w:rPr>
          <w:rFonts w:ascii="Calibri" w:cs="Calibri" w:eastAsia="Calibri" w:hAnsi="Calibri"/>
          <w:b/>
          <w:bCs/>
          <w:color w:val="1A1A1A"/>
          <w:sz w:val="20"/>
          <w:szCs w:val="20"/>
        </w:rPr>
        <w:t xml:space="preserve">complétude du système juridictionnel de l’Union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3 octobre 2013, Inuit Tapiriit Kanatami c. Parlement et Conseil</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critique doctrinale</w:t>
      </w:r>
      <w:r>
        <w:rPr>
          <w:rFonts w:ascii="Calibri" w:cs="Calibri" w:eastAsia="Calibri" w:hAnsi="Calibri"/>
          <w:color w:val="1A1A1A"/>
          <w:sz w:val="20"/>
          <w:szCs w:val="20"/>
        </w:rPr>
        <w:t xml:space="preserve"> : dans l’affaire </w:t>
      </w:r>
      <w:r>
        <w:rPr>
          <w:rFonts w:ascii="Calibri" w:cs="Calibri" w:eastAsia="Calibri" w:hAnsi="Calibri"/>
          <w:color w:val="E91E63"/>
          <w:sz w:val="20"/>
          <w:szCs w:val="20"/>
        </w:rPr>
        <w:t xml:space="preserve">UPA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25 juillet 2002, Unión de Pequeños Agricultores</w:t>
      </w:r>
      <w:r>
        <w:rPr>
          <w:rFonts w:ascii="Calibri" w:cs="Calibri" w:eastAsia="Calibri" w:hAnsi="Calibri"/>
          <w:color w:val="1A1A1A"/>
          <w:sz w:val="20"/>
          <w:szCs w:val="20"/>
        </w:rPr>
        <w:t xml:space="preserve">), le Tribunal, par son arrêt </w:t>
      </w:r>
      <w:r>
        <w:rPr>
          <w:rFonts w:ascii="Calibri" w:cs="Calibri" w:eastAsia="Calibri" w:hAnsi="Calibri"/>
          <w:i/>
          <w:iCs/>
          <w:color w:val="1A1A1A"/>
          <w:sz w:val="20"/>
          <w:szCs w:val="20"/>
        </w:rPr>
        <w:t xml:space="preserve">Jégo-Quéré</w:t>
      </w:r>
      <w:r>
        <w:rPr>
          <w:rFonts w:ascii="Calibri" w:cs="Calibri" w:eastAsia="Calibri" w:hAnsi="Calibri"/>
          <w:color w:val="1A1A1A"/>
          <w:sz w:val="20"/>
          <w:szCs w:val="20"/>
        </w:rPr>
        <w:t xml:space="preserve">, et l’Avocat général avaient estimé que le droit à un recours effectif exigeait une évolution de la jurisprudence sur la notion de personne individuellement concernée. La Cour a considéré que seule une </w:t>
      </w:r>
      <w:r>
        <w:rPr>
          <w:rFonts w:ascii="Calibri" w:cs="Calibri" w:eastAsia="Calibri" w:hAnsi="Calibri"/>
          <w:b/>
          <w:bCs/>
          <w:color w:val="1A1A1A"/>
          <w:sz w:val="20"/>
          <w:szCs w:val="20"/>
        </w:rPr>
        <w:t xml:space="preserve">révision du traité</w:t>
      </w:r>
      <w:r>
        <w:rPr>
          <w:rFonts w:ascii="Calibri" w:cs="Calibri" w:eastAsia="Calibri" w:hAnsi="Calibri"/>
          <w:color w:val="1A1A1A"/>
          <w:sz w:val="20"/>
          <w:szCs w:val="20"/>
        </w:rPr>
        <w:t xml:space="preserve"> permettrait un assouplissement, et a renvoyé aux juridictions nationales la tâche d’assurer la protection complète du justiciable. On lui a reproché de se retrancher derrière la subsidiarité juridictionnelle pour éviter un encombrement de son prétoire, et d’imposer aux autorités nationales une obligation de compléter les voies de recours de l’Union, au risque de faire </w:t>
      </w:r>
      <w:r>
        <w:rPr>
          <w:rFonts w:ascii="Calibri" w:cs="Calibri" w:eastAsia="Calibri" w:hAnsi="Calibri"/>
          <w:b/>
          <w:bCs/>
          <w:color w:val="1A1A1A"/>
          <w:sz w:val="20"/>
          <w:szCs w:val="20"/>
        </w:rPr>
        <w:t xml:space="preserve">varier la protection des particuliers selon les États membres</w:t>
      </w:r>
      <w:r>
        <w:rPr>
          <w:rFonts w:ascii="Calibri" w:cs="Calibri" w:eastAsia="Calibri" w:hAnsi="Calibri"/>
          <w:color w:val="1A1A1A"/>
          <w:sz w:val="20"/>
          <w:szCs w:val="20"/>
        </w:rPr>
        <w:t xml:space="preserve">. La modification de l’</w:t>
      </w:r>
      <w:r>
        <w:rPr>
          <w:rFonts w:ascii="Calibri" w:cs="Calibri" w:eastAsia="Calibri" w:hAnsi="Calibri"/>
          <w:color w:val="1E88E5"/>
          <w:sz w:val="20"/>
          <w:szCs w:val="20"/>
        </w:rPr>
        <w:t xml:space="preserve">art. 263 TFUE</w:t>
      </w:r>
      <w:r>
        <w:rPr>
          <w:rFonts w:ascii="Calibri" w:cs="Calibri" w:eastAsia="Calibri" w:hAnsi="Calibri"/>
          <w:color w:val="1A1A1A"/>
          <w:sz w:val="20"/>
          <w:szCs w:val="20"/>
        </w:rPr>
        <w:t xml:space="preserve"> par le traité de Lisbonne n’a pas comblé ces lacunes.</w:t>
      </w:r>
    </w:p>
    <w:p>
      <w:pPr>
        <w:pStyle w:val="Heading3"/>
        <w:spacing w:after="90" w:before="200"/>
      </w:pPr>
      <w:r>
        <w:rPr>
          <w:rFonts w:ascii="Calibri" w:cs="Calibri" w:eastAsia="Calibri" w:hAnsi="Calibri"/>
          <w:b/>
          <w:bCs/>
          <w:i/>
          <w:iCs/>
          <w:color w:val="5A5A5A"/>
          <w:sz w:val="21"/>
          <w:szCs w:val="21"/>
        </w:rPr>
        <w:t xml:space="preserve">2.4. Le recours en manquement</w:t>
      </w:r>
    </w:p>
    <w:p>
      <w:pPr>
        <w:pStyle w:val="ListParagraph"/>
        <w:numPr>
          <w:ilvl w:val="0"/>
          <w:numId w:val="2"/>
        </w:numPr>
        <w:spacing w:after="70" w:line="264"/>
        <w:jc w:val="both"/>
      </w:pPr>
      <w:r>
        <w:rPr>
          <w:rFonts w:ascii="Calibri" w:cs="Calibri" w:eastAsia="Calibri" w:hAnsi="Calibri"/>
          <w:color w:val="1A1A1A"/>
          <w:sz w:val="20"/>
          <w:szCs w:val="20"/>
        </w:rPr>
        <w:t xml:space="preserve">Dirigé contre un État membre ayant manqué à ses obligations, il peut être formé par la </w:t>
      </w:r>
      <w:r>
        <w:rPr>
          <w:rFonts w:ascii="Calibri" w:cs="Calibri" w:eastAsia="Calibri" w:hAnsi="Calibri"/>
          <w:b/>
          <w:bCs/>
          <w:color w:val="1A1A1A"/>
          <w:sz w:val="20"/>
          <w:szCs w:val="20"/>
        </w:rPr>
        <w:t xml:space="preserve">Commission ou par un autre État</w:t>
      </w:r>
      <w:r>
        <w:rPr>
          <w:rFonts w:ascii="Calibri" w:cs="Calibri" w:eastAsia="Calibri" w:hAnsi="Calibri"/>
          <w:color w:val="1A1A1A"/>
          <w:sz w:val="20"/>
          <w:szCs w:val="20"/>
        </w:rPr>
        <w:t xml:space="preserve">. Lorsque le manquement est constaté, l’État doit se conformer à l’arrêt dans les meilleurs délais ; si la Commission estime qu’il ne s’y est pas conformé, elle peut introduire un </w:t>
      </w:r>
      <w:r>
        <w:rPr>
          <w:rFonts w:ascii="Calibri" w:cs="Calibri" w:eastAsia="Calibri" w:hAnsi="Calibri"/>
          <w:b/>
          <w:bCs/>
          <w:color w:val="1A1A1A"/>
          <w:sz w:val="20"/>
          <w:szCs w:val="20"/>
        </w:rPr>
        <w:t xml:space="preserve">nouveau recours demandant des sanctions pécuniaires</w:t>
      </w:r>
      <w:r>
        <w:rPr>
          <w:rFonts w:ascii="Calibri" w:cs="Calibri" w:eastAsia="Calibri" w:hAnsi="Calibri"/>
          <w:color w:val="1A1A1A"/>
          <w:sz w:val="20"/>
          <w:szCs w:val="20"/>
        </w:rPr>
        <w:t xml:space="preserve">. Le recours n’est pas ouvert aux particuliers, mais leur permet néanmoins, par la </w:t>
      </w:r>
      <w:r>
        <w:rPr>
          <w:rFonts w:ascii="Calibri" w:cs="Calibri" w:eastAsia="Calibri" w:hAnsi="Calibri"/>
          <w:b/>
          <w:bCs/>
          <w:color w:val="1A1A1A"/>
          <w:sz w:val="20"/>
          <w:szCs w:val="20"/>
        </w:rPr>
        <w:t xml:space="preserve">plainte</w:t>
      </w:r>
      <w:r>
        <w:rPr>
          <w:rFonts w:ascii="Calibri" w:cs="Calibri" w:eastAsia="Calibri" w:hAnsi="Calibri"/>
          <w:color w:val="1A1A1A"/>
          <w:sz w:val="20"/>
          <w:szCs w:val="20"/>
        </w:rPr>
        <w:t xml:space="preserve"> adressée à la Commission, de faire constater des violations des droits fondamentaux.</w:t>
      </w:r>
    </w:p>
    <w:p>
      <w:pPr>
        <w:pStyle w:val="ListParagraph"/>
        <w:numPr>
          <w:ilvl w:val="0"/>
          <w:numId w:val="2"/>
        </w:numPr>
        <w:spacing w:after="70" w:line="264"/>
        <w:jc w:val="both"/>
      </w:pPr>
      <w:r>
        <w:rPr>
          <w:rFonts w:ascii="Calibri" w:cs="Calibri" w:eastAsia="Calibri" w:hAnsi="Calibri"/>
          <w:color w:val="1A1A1A"/>
          <w:sz w:val="20"/>
          <w:szCs w:val="20"/>
        </w:rPr>
        <w:t xml:space="preserve">Illustration : à la suite de l’adoption par la Pologne, en 2019, d’une loi modifiant les règles relatives à l’organisation des juridictions de droit commun et de la Cour suprême, la Commission a introduit des recours en manquement. La Cour a jugé que les dispositions obligeant les juges polonais à indiquer par écrit leur appartenance à une association ou à un parti politique, et prévoyant la mise en ligne de ces informations, </w:t>
      </w:r>
      <w:r>
        <w:rPr>
          <w:rFonts w:ascii="Calibri" w:cs="Calibri" w:eastAsia="Calibri" w:hAnsi="Calibri"/>
          <w:b/>
          <w:bCs/>
          <w:color w:val="1A1A1A"/>
          <w:sz w:val="20"/>
          <w:szCs w:val="20"/>
        </w:rPr>
        <w:t xml:space="preserve">violaient leurs droits fondamentaux</w:t>
      </w:r>
      <w:r>
        <w:rPr>
          <w:rFonts w:ascii="Calibri" w:cs="Calibri" w:eastAsia="Calibri" w:hAnsi="Calibri"/>
          <w:color w:val="1A1A1A"/>
          <w:sz w:val="20"/>
          <w:szCs w:val="20"/>
        </w:rPr>
        <w:t xml:space="preserve"> à la protection des données à caractère personnel et au respect de la vie privée (</w:t>
      </w:r>
      <w:r>
        <w:rPr>
          <w:rFonts w:ascii="Calibri" w:cs="Calibri" w:eastAsia="Calibri" w:hAnsi="Calibri"/>
          <w:color w:val="E91E63"/>
          <w:sz w:val="20"/>
          <w:szCs w:val="20"/>
        </w:rPr>
        <w:t xml:space="preserve">CJUE, 27 octobre 2021, Commission c. Pologne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 subsidiarité juridictionnelle</w:t>
      </w:r>
    </w:p>
    <w:p>
      <w:pPr>
        <w:pStyle w:val="ListParagraph"/>
        <w:numPr>
          <w:ilvl w:val="0"/>
          <w:numId w:val="2"/>
        </w:numPr>
        <w:spacing w:after="70" w:line="264"/>
        <w:jc w:val="both"/>
      </w:pPr>
      <w:r>
        <w:rPr>
          <w:rFonts w:ascii="Calibri" w:cs="Calibri" w:eastAsia="Calibri" w:hAnsi="Calibri"/>
          <w:color w:val="1E88E5"/>
          <w:sz w:val="20"/>
          <w:szCs w:val="20"/>
        </w:rPr>
        <w:t xml:space="preserve">Art. 19 TUE</w:t>
      </w:r>
      <w:r>
        <w:rPr>
          <w:rFonts w:ascii="Calibri" w:cs="Calibri" w:eastAsia="Calibri" w:hAnsi="Calibri"/>
          <w:color w:val="1A1A1A"/>
          <w:sz w:val="20"/>
          <w:szCs w:val="20"/>
        </w:rPr>
        <w:t xml:space="preserve"> : les juridictions nationales sont la </w:t>
      </w:r>
      <w:r>
        <w:rPr>
          <w:rFonts w:ascii="Calibri" w:cs="Calibri" w:eastAsia="Calibri" w:hAnsi="Calibri"/>
          <w:b/>
          <w:bCs/>
          <w:color w:val="1A1A1A"/>
          <w:sz w:val="20"/>
          <w:szCs w:val="20"/>
        </w:rPr>
        <w:t xml:space="preserve">clé de voûte</w:t>
      </w:r>
      <w:r>
        <w:rPr>
          <w:rFonts w:ascii="Calibri" w:cs="Calibri" w:eastAsia="Calibri" w:hAnsi="Calibri"/>
          <w:color w:val="1A1A1A"/>
          <w:sz w:val="20"/>
          <w:szCs w:val="20"/>
        </w:rPr>
        <w:t xml:space="preserve"> du système juridictionnel de l’Union. Les juges internes disposent d’une compétence de principe dans le contrôle de la compatibilité du droit national avec le droit de l’Union, d’une part, et dans la protection juridictionnelle des particuliers, d’autre part. Dès le début des Communautés, le juge national agissait comme </w:t>
      </w:r>
      <w:r>
        <w:rPr>
          <w:rFonts w:ascii="Calibri" w:cs="Calibri" w:eastAsia="Calibri" w:hAnsi="Calibri"/>
          <w:b/>
          <w:bCs/>
          <w:color w:val="1A1A1A"/>
          <w:sz w:val="20"/>
          <w:szCs w:val="20"/>
        </w:rPr>
        <w:t xml:space="preserve">juge communautaire de droit commun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Simmenthal</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Distinction à faire</w:t>
      </w:r>
      <w:r>
        <w:rPr>
          <w:rFonts w:ascii="Calibri" w:cs="Calibri" w:eastAsia="Calibri" w:hAnsi="Calibri"/>
          <w:color w:val="1A1A1A"/>
          <w:sz w:val="20"/>
          <w:szCs w:val="20"/>
        </w:rPr>
        <w:t xml:space="preserve"> : à la différence du principe de subsidiarité consacré à l’</w:t>
      </w:r>
      <w:r>
        <w:rPr>
          <w:rFonts w:ascii="Calibri" w:cs="Calibri" w:eastAsia="Calibri" w:hAnsi="Calibri"/>
          <w:color w:val="1E88E5"/>
          <w:sz w:val="20"/>
          <w:szCs w:val="20"/>
        </w:rPr>
        <w:t xml:space="preserve">art. 5 § 3 TUE</w:t>
      </w:r>
      <w:r>
        <w:rPr>
          <w:rFonts w:ascii="Calibri" w:cs="Calibri" w:eastAsia="Calibri" w:hAnsi="Calibri"/>
          <w:color w:val="1A1A1A"/>
          <w:sz w:val="20"/>
          <w:szCs w:val="20"/>
        </w:rPr>
        <w:t xml:space="preserve">, la subsidiarité </w:t>
      </w:r>
      <w:r>
        <w:rPr>
          <w:rFonts w:ascii="Calibri" w:cs="Calibri" w:eastAsia="Calibri" w:hAnsi="Calibri"/>
          <w:b/>
          <w:bCs/>
          <w:color w:val="1A1A1A"/>
          <w:sz w:val="20"/>
          <w:szCs w:val="20"/>
        </w:rPr>
        <w:t xml:space="preserve">juridictionnelle</w:t>
      </w:r>
      <w:r>
        <w:rPr>
          <w:rFonts w:ascii="Calibri" w:cs="Calibri" w:eastAsia="Calibri" w:hAnsi="Calibri"/>
          <w:color w:val="1A1A1A"/>
          <w:sz w:val="20"/>
          <w:szCs w:val="20"/>
        </w:rPr>
        <w:t xml:space="preserve"> se présente comme un principe de </w:t>
      </w:r>
      <w:r>
        <w:rPr>
          <w:rFonts w:ascii="Calibri" w:cs="Calibri" w:eastAsia="Calibri" w:hAnsi="Calibri"/>
          <w:b/>
          <w:bCs/>
          <w:color w:val="1A1A1A"/>
          <w:sz w:val="20"/>
          <w:szCs w:val="20"/>
        </w:rPr>
        <w:t xml:space="preserve">répartition des compétences</w:t>
      </w:r>
      <w:r>
        <w:rPr>
          <w:rFonts w:ascii="Calibri" w:cs="Calibri" w:eastAsia="Calibri" w:hAnsi="Calibri"/>
          <w:color w:val="1A1A1A"/>
          <w:sz w:val="20"/>
          <w:szCs w:val="20"/>
        </w:rPr>
        <w:t xml:space="preserve"> entre les juges nationaux et la Cour, et non comme un principe de régulation de leur exercice, dans la mesure où elle implique une séparation étanche entre les sphères de compétences juridictionnelles. Si la Cour est compétente pour interpréter le droit de l’Union et contrôler la légalité du droit dérivé par rapport au droit primaire, les juges nationaux sont compétents pour interpréter le droit interne et en sanctionner la non-conformité au droit de l’Union, tel qu’interprété par la Cour.</w:t>
      </w:r>
    </w:p>
    <w:p>
      <w:pPr>
        <w:pStyle w:val="ListParagraph"/>
        <w:numPr>
          <w:ilvl w:val="0"/>
          <w:numId w:val="2"/>
        </w:numPr>
        <w:spacing w:after="70" w:line="264"/>
        <w:jc w:val="both"/>
      </w:pPr>
      <w:r>
        <w:rPr>
          <w:rFonts w:ascii="Calibri" w:cs="Calibri" w:eastAsia="Calibri" w:hAnsi="Calibri"/>
          <w:b/>
          <w:bCs/>
          <w:color w:val="1A1A1A"/>
          <w:sz w:val="20"/>
          <w:szCs w:val="20"/>
        </w:rPr>
        <w:t xml:space="preserve">Le caractère subsidiaire</w:t>
      </w:r>
      <w:r>
        <w:rPr>
          <w:rFonts w:ascii="Calibri" w:cs="Calibri" w:eastAsia="Calibri" w:hAnsi="Calibri"/>
          <w:color w:val="1A1A1A"/>
          <w:sz w:val="20"/>
          <w:szCs w:val="20"/>
        </w:rPr>
        <w:t xml:space="preserve"> des compétences juridictionnelles de la Cour s’explique par le fait que la Cour de Luxembourg </w:t>
      </w:r>
      <w:r>
        <w:rPr>
          <w:rFonts w:ascii="Calibri" w:cs="Calibri" w:eastAsia="Calibri" w:hAnsi="Calibri"/>
          <w:b/>
          <w:bCs/>
          <w:color w:val="1A1A1A"/>
          <w:sz w:val="20"/>
          <w:szCs w:val="20"/>
        </w:rPr>
        <w:t xml:space="preserve">ne constitue pas une véritable Cour suprême</w:t>
      </w:r>
      <w:r>
        <w:rPr>
          <w:rFonts w:ascii="Calibri" w:cs="Calibri" w:eastAsia="Calibri" w:hAnsi="Calibri"/>
          <w:color w:val="1A1A1A"/>
          <w:sz w:val="20"/>
          <w:szCs w:val="20"/>
        </w:rPr>
        <w:t xml:space="preserve"> au sommet de la hiérarchie judiciaire — contrairement à ce qui existe dans le fédéralisme allemand ou suisse, elle n’est pas compétente pour réformer les jugements des tribunaux des États.</w:t>
      </w:r>
    </w:p>
    <w:p>
      <w:pPr>
        <w:pStyle w:val="ListParagraph"/>
        <w:numPr>
          <w:ilvl w:val="0"/>
          <w:numId w:val="2"/>
        </w:numPr>
        <w:spacing w:after="70" w:line="264"/>
        <w:jc w:val="both"/>
      </w:pPr>
      <w:r>
        <w:rPr>
          <w:rFonts w:ascii="Calibri" w:cs="Calibri" w:eastAsia="Calibri" w:hAnsi="Calibri"/>
          <w:b/>
          <w:bCs/>
          <w:color w:val="1A1A1A"/>
          <w:sz w:val="20"/>
          <w:szCs w:val="20"/>
        </w:rPr>
        <w:t xml:space="preserve">Le tournant de la protection juridictionnelle effective</w:t>
      </w:r>
      <w:r>
        <w:rPr>
          <w:rFonts w:ascii="Calibri" w:cs="Calibri" w:eastAsia="Calibri" w:hAnsi="Calibri"/>
          <w:color w:val="1A1A1A"/>
          <w:sz w:val="20"/>
          <w:szCs w:val="20"/>
        </w:rPr>
        <w:t xml:space="preserve"> : dans les années 1980, la Cour érige en principe général le droit à un recours juridictionnel effectif (</w:t>
      </w:r>
      <w:r>
        <w:rPr>
          <w:rFonts w:ascii="Calibri" w:cs="Calibri" w:eastAsia="Calibri" w:hAnsi="Calibri"/>
          <w:color w:val="E91E63"/>
          <w:sz w:val="20"/>
          <w:szCs w:val="20"/>
        </w:rPr>
        <w:t xml:space="preserve">Johnston</w:t>
      </w:r>
      <w:r>
        <w:rPr>
          <w:rFonts w:ascii="Calibri" w:cs="Calibri" w:eastAsia="Calibri" w:hAnsi="Calibri"/>
          <w:color w:val="1A1A1A"/>
          <w:sz w:val="20"/>
          <w:szCs w:val="20"/>
        </w:rPr>
        <w:t xml:space="preserve">, 1986). Cette décision marque un tournant : non seulement elle renforce la protection des droits fondamentaux, mais elle permet à la Cour de </w:t>
      </w:r>
      <w:r>
        <w:rPr>
          <w:rFonts w:ascii="Calibri" w:cs="Calibri" w:eastAsia="Calibri" w:hAnsi="Calibri"/>
          <w:b/>
          <w:bCs/>
          <w:color w:val="1A1A1A"/>
          <w:sz w:val="20"/>
          <w:szCs w:val="20"/>
        </w:rPr>
        <w:t xml:space="preserve">circonscrire l’autonomie procédurale</w:t>
      </w:r>
      <w:r>
        <w:rPr>
          <w:rFonts w:ascii="Calibri" w:cs="Calibri" w:eastAsia="Calibri" w:hAnsi="Calibri"/>
          <w:color w:val="1A1A1A"/>
          <w:sz w:val="20"/>
          <w:szCs w:val="20"/>
        </w:rPr>
        <w:t xml:space="preserve"> des États membres au travers des exigences d’</w:t>
      </w:r>
      <w:r>
        <w:rPr>
          <w:rFonts w:ascii="Calibri" w:cs="Calibri" w:eastAsia="Calibri" w:hAnsi="Calibri"/>
          <w:b/>
          <w:bCs/>
          <w:color w:val="1A1A1A"/>
          <w:sz w:val="20"/>
          <w:szCs w:val="20"/>
        </w:rPr>
        <w:t xml:space="preserve">effectivité et d’équivalence</w:t>
      </w:r>
      <w:r>
        <w:rPr>
          <w:rFonts w:ascii="Calibri" w:cs="Calibri" w:eastAsia="Calibri" w:hAnsi="Calibri"/>
          <w:color w:val="1A1A1A"/>
          <w:sz w:val="20"/>
          <w:szCs w:val="20"/>
        </w:rPr>
        <w:t xml:space="preserve">. La jurisprudence ultérieure semble confirmer que la protection juridictionnelle effective est davantage conçue comme un </w:t>
      </w:r>
      <w:r>
        <w:rPr>
          <w:rFonts w:ascii="Calibri" w:cs="Calibri" w:eastAsia="Calibri" w:hAnsi="Calibri"/>
          <w:b/>
          <w:bCs/>
          <w:color w:val="1A1A1A"/>
          <w:sz w:val="20"/>
          <w:szCs w:val="20"/>
        </w:rPr>
        <w:t xml:space="preserve">moyen d’assurer l’applicabilité uniforme du droit de l’Union</w:t>
      </w:r>
      <w:r>
        <w:rPr>
          <w:rFonts w:ascii="Calibri" w:cs="Calibri" w:eastAsia="Calibri" w:hAnsi="Calibri"/>
          <w:color w:val="1A1A1A"/>
          <w:sz w:val="20"/>
          <w:szCs w:val="20"/>
        </w:rPr>
        <w:t xml:space="preserve"> que comme une fin autonome (</w:t>
      </w:r>
      <w:r>
        <w:rPr>
          <w:rFonts w:ascii="Calibri" w:cs="Calibri" w:eastAsia="Calibri" w:hAnsi="Calibri"/>
          <w:color w:val="E91E63"/>
          <w:sz w:val="20"/>
          <w:szCs w:val="20"/>
        </w:rPr>
        <w:t xml:space="preserve">CJCE, 13 mars 2007, Unibet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limites</w:t>
      </w:r>
      <w:r>
        <w:rPr>
          <w:rFonts w:ascii="Calibri" w:cs="Calibri" w:eastAsia="Calibri" w:hAnsi="Calibri"/>
          <w:color w:val="1A1A1A"/>
          <w:sz w:val="20"/>
          <w:szCs w:val="20"/>
        </w:rPr>
        <w:t xml:space="preserve"> : l’obligation de l’</w:t>
      </w:r>
      <w:r>
        <w:rPr>
          <w:rFonts w:ascii="Calibri" w:cs="Calibri" w:eastAsia="Calibri" w:hAnsi="Calibri"/>
          <w:color w:val="1E88E5"/>
          <w:sz w:val="20"/>
          <w:szCs w:val="20"/>
        </w:rPr>
        <w:t xml:space="preserve">art. 19</w:t>
      </w:r>
      <w:r>
        <w:rPr>
          <w:rFonts w:ascii="Calibri" w:cs="Calibri" w:eastAsia="Calibri" w:hAnsi="Calibri"/>
          <w:color w:val="1A1A1A"/>
          <w:sz w:val="20"/>
          <w:szCs w:val="20"/>
        </w:rPr>
        <w:t xml:space="preserve"> n’implique pas que les États membres ouvrent une voie de droit spécifique permettant de contester à titre principal un acte de l’Union de portée générale. Les États conservent la compétence pour organiser les recours internes, dans le respect des principes d’équivalence et d’effectivité (</w:t>
      </w:r>
      <w:r>
        <w:rPr>
          <w:rFonts w:ascii="Calibri" w:cs="Calibri" w:eastAsia="Calibri" w:hAnsi="Calibri"/>
          <w:color w:val="E91E63"/>
          <w:sz w:val="20"/>
          <w:szCs w:val="20"/>
        </w:rPr>
        <w:t xml:space="preserve">Inuit</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Lecture critique à défendre</w:t>
      </w:r>
      <w:r>
        <w:rPr>
          <w:rFonts w:ascii="Calibri" w:cs="Calibri" w:eastAsia="Calibri" w:hAnsi="Calibri"/>
          <w:color w:val="1A1A1A"/>
          <w:sz w:val="20"/>
          <w:szCs w:val="20"/>
        </w:rPr>
        <w:t xml:space="preserve"> : loin de garantir le droit au recours, la subsidiarité juridictionnelle masquerait un </w:t>
      </w:r>
      <w:r>
        <w:rPr>
          <w:rFonts w:ascii="Calibri" w:cs="Calibri" w:eastAsia="Calibri" w:hAnsi="Calibri"/>
          <w:b/>
          <w:bCs/>
          <w:color w:val="1A1A1A"/>
          <w:sz w:val="20"/>
          <w:szCs w:val="20"/>
        </w:rPr>
        <w:t xml:space="preserve">renoncement jurisprudentiel</w:t>
      </w:r>
      <w:r>
        <w:rPr>
          <w:rFonts w:ascii="Calibri" w:cs="Calibri" w:eastAsia="Calibri" w:hAnsi="Calibri"/>
          <w:color w:val="1A1A1A"/>
          <w:sz w:val="20"/>
          <w:szCs w:val="20"/>
        </w:rPr>
        <w:t xml:space="preserve"> à assurer une protection juridictionnelle intégrale à l’échelle de l’Union.</w:t>
      </w:r>
    </w:p>
    <w:p>
      <w:pPr>
        <w:pStyle w:val="Heading2"/>
        <w:spacing w:after="120" w:before="280"/>
      </w:pPr>
      <w:r>
        <w:rPr>
          <w:rFonts w:ascii="Calibri" w:cs="Calibri" w:eastAsia="Calibri" w:hAnsi="Calibri"/>
          <w:b/>
          <w:bCs/>
          <w:color w:val="1A1A1A"/>
          <w:sz w:val="24"/>
          <w:szCs w:val="24"/>
        </w:rPr>
        <w:t xml:space="preserve">4. La Cour de justice et les autres juridictions protectrices</w:t>
      </w:r>
    </w:p>
    <w:p>
      <w:pPr>
        <w:pStyle w:val="ListParagraph"/>
        <w:numPr>
          <w:ilvl w:val="0"/>
          <w:numId w:val="2"/>
        </w:numPr>
        <w:spacing w:after="70" w:line="264"/>
        <w:jc w:val="both"/>
      </w:pPr>
      <w:r>
        <w:rPr>
          <w:rFonts w:ascii="Calibri" w:cs="Calibri" w:eastAsia="Calibri" w:hAnsi="Calibri"/>
          <w:b/>
          <w:bCs/>
          <w:color w:val="1A1A1A"/>
          <w:sz w:val="20"/>
          <w:szCs w:val="20"/>
        </w:rPr>
        <w:t xml:space="preserve">Avec les juridictions nationales</w:t>
      </w:r>
      <w:r>
        <w:rPr>
          <w:rFonts w:ascii="Calibri" w:cs="Calibri" w:eastAsia="Calibri" w:hAnsi="Calibri"/>
          <w:color w:val="1A1A1A"/>
          <w:sz w:val="20"/>
          <w:szCs w:val="20"/>
        </w:rPr>
        <w:t xml:space="preserve"> : l’organisation judiciaire de l’Union, fondée sur la subsidiarité juridictionnelle, exclut toute hiérarchie entre la Cour et les juges nationaux. Le </w:t>
      </w:r>
      <w:r>
        <w:rPr>
          <w:rFonts w:ascii="Calibri" w:cs="Calibri" w:eastAsia="Calibri" w:hAnsi="Calibri"/>
          <w:b/>
          <w:bCs/>
          <w:color w:val="1A1A1A"/>
          <w:sz w:val="20"/>
          <w:szCs w:val="20"/>
        </w:rPr>
        <w:t xml:space="preserve">renvoi préjudiciel en interprétation</w:t>
      </w:r>
      <w:r>
        <w:rPr>
          <w:rFonts w:ascii="Calibri" w:cs="Calibri" w:eastAsia="Calibri" w:hAnsi="Calibri"/>
          <w:color w:val="1A1A1A"/>
          <w:sz w:val="20"/>
          <w:szCs w:val="20"/>
        </w:rPr>
        <w:t xml:space="preserve"> est le mécanisme original permettant d’assurer l’unité d’interprétation et d’application sans lien de subordination : par un art subtil de la </w:t>
      </w:r>
      <w:r>
        <w:rPr>
          <w:rFonts w:ascii="Calibri" w:cs="Calibri" w:eastAsia="Calibri" w:hAnsi="Calibri"/>
          <w:b/>
          <w:bCs/>
          <w:color w:val="1A1A1A"/>
          <w:sz w:val="20"/>
          <w:szCs w:val="20"/>
        </w:rPr>
        <w:t xml:space="preserve">reformulation des questions</w:t>
      </w:r>
      <w:r>
        <w:rPr>
          <w:rFonts w:ascii="Calibri" w:cs="Calibri" w:eastAsia="Calibri" w:hAnsi="Calibri"/>
          <w:color w:val="1A1A1A"/>
          <w:sz w:val="20"/>
          <w:szCs w:val="20"/>
        </w:rPr>
        <w:t xml:space="preserve">, la Cour apporte des réponses suffisamment précises pour guider le jugement national. Si, en principe, elle ne statue pas sur la validité du droit national, le renvoi lui offre en pratique une </w:t>
      </w:r>
      <w:r>
        <w:rPr>
          <w:rFonts w:ascii="Calibri" w:cs="Calibri" w:eastAsia="Calibri" w:hAnsi="Calibri"/>
          <w:b/>
          <w:bCs/>
          <w:color w:val="1A1A1A"/>
          <w:sz w:val="20"/>
          <w:szCs w:val="20"/>
        </w:rPr>
        <w:t xml:space="preserve">capacité d’influence notable</w:t>
      </w:r>
      <w:r>
        <w:rPr>
          <w:rFonts w:ascii="Calibri" w:cs="Calibri" w:eastAsia="Calibri" w:hAnsi="Calibri"/>
          <w:color w:val="1A1A1A"/>
          <w:sz w:val="20"/>
          <w:szCs w:val="20"/>
        </w:rPr>
        <w:t xml:space="preserve">, restreignant la marge d’appréciation des juges nationaux. Ainsi, la subsidiarité juridictionnelle, pensée comme une garantie de proximité, sert aussi à </w:t>
      </w:r>
      <w:r>
        <w:rPr>
          <w:rFonts w:ascii="Calibri" w:cs="Calibri" w:eastAsia="Calibri" w:hAnsi="Calibri"/>
          <w:b/>
          <w:bCs/>
          <w:color w:val="1A1A1A"/>
          <w:sz w:val="20"/>
          <w:szCs w:val="20"/>
        </w:rPr>
        <w:t xml:space="preserve">affirmer l’autorité du droit de l’Union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Avec la Cour européenne des droits de l’homme</w:t>
      </w:r>
      <w:r>
        <w:rPr>
          <w:rFonts w:ascii="Calibri" w:cs="Calibri" w:eastAsia="Calibri" w:hAnsi="Calibri"/>
          <w:color w:val="1A1A1A"/>
          <w:sz w:val="20"/>
          <w:szCs w:val="20"/>
        </w:rPr>
        <w:t xml:space="preserve"> : l’idée d’une rivalité persistante ne correspond plus aujourd’hui qu’à une </w:t>
      </w:r>
      <w:r>
        <w:rPr>
          <w:rFonts w:ascii="Calibri" w:cs="Calibri" w:eastAsia="Calibri" w:hAnsi="Calibri"/>
          <w:b/>
          <w:bCs/>
          <w:color w:val="1A1A1A"/>
          <w:sz w:val="20"/>
          <w:szCs w:val="20"/>
        </w:rPr>
        <w:t xml:space="preserve">réalité résiduelle</w:t>
      </w:r>
      <w:r>
        <w:rPr>
          <w:rFonts w:ascii="Calibri" w:cs="Calibri" w:eastAsia="Calibri" w:hAnsi="Calibri"/>
          <w:color w:val="1A1A1A"/>
          <w:sz w:val="20"/>
          <w:szCs w:val="20"/>
        </w:rPr>
        <w:t xml:space="preserve"> — relations empreintes de courtoisie et de coopération, échanges institutionnels réguliers, suivi mutuel des jurisprudences. La Cour de justice reste toutefois indéniablement attachée à préserver l’</w:t>
      </w:r>
      <w:r>
        <w:rPr>
          <w:rFonts w:ascii="Calibri" w:cs="Calibri" w:eastAsia="Calibri" w:hAnsi="Calibri"/>
          <w:b/>
          <w:bCs/>
          <w:color w:val="1A1A1A"/>
          <w:sz w:val="20"/>
          <w:szCs w:val="20"/>
        </w:rPr>
        <w:t xml:space="preserve">autonomie du droit de l’Union</w:t>
      </w:r>
      <w:r>
        <w:rPr>
          <w:rFonts w:ascii="Calibri" w:cs="Calibri" w:eastAsia="Calibri" w:hAnsi="Calibri"/>
          <w:color w:val="1A1A1A"/>
          <w:sz w:val="20"/>
          <w:szCs w:val="20"/>
        </w:rPr>
        <w:t xml:space="preserve">, au point que son « obsession du contrôle » est souvent dénoncée, notamment à la suite de l’</w:t>
      </w:r>
      <w:r>
        <w:rPr>
          <w:rFonts w:ascii="Calibri" w:cs="Calibri" w:eastAsia="Calibri" w:hAnsi="Calibri"/>
          <w:color w:val="E91E63"/>
          <w:sz w:val="20"/>
          <w:szCs w:val="20"/>
        </w:rPr>
        <w:t xml:space="preserve">avis 2/13 du 18 décembre 2014</w:t>
      </w:r>
      <w:r>
        <w:rPr>
          <w:rFonts w:ascii="Calibri" w:cs="Calibri" w:eastAsia="Calibri" w:hAnsi="Calibri"/>
          <w:color w:val="1A1A1A"/>
          <w:sz w:val="20"/>
          <w:szCs w:val="20"/>
        </w:rPr>
        <w:t xml:space="preserve">. Beaucoup y ont vu l’expression d’une méfiance viscérale à l’idée de partager, même partiellement, sa souveraineté juridictionnelle, et lui ont reproché un manque d’audace dans sa défiance tant à l’égard des juridictions suprêmes nationales qu’à l’égard de la Cour de Strasbourg. D’autres analyses soulignent la cohérence d’ensemble de son argumentation. </w:t>
      </w:r>
      <w:r>
        <w:rPr>
          <w:rFonts w:ascii="Calibri" w:cs="Calibri" w:eastAsia="Calibri" w:hAnsi="Calibri"/>
          <w:b/>
          <w:bCs/>
          <w:color w:val="1A1A1A"/>
          <w:sz w:val="20"/>
          <w:szCs w:val="20"/>
        </w:rPr>
        <w:t xml:space="preserve">Formule de conclusion</w:t>
      </w:r>
      <w:r>
        <w:rPr>
          <w:rFonts w:ascii="Calibri" w:cs="Calibri" w:eastAsia="Calibri" w:hAnsi="Calibri"/>
          <w:color w:val="1A1A1A"/>
          <w:sz w:val="20"/>
          <w:szCs w:val="20"/>
        </w:rPr>
        <w:t xml:space="preserve"> : loin d’une logique brutale de confrontation, les deux Cours s’inscrivent dans une </w:t>
      </w:r>
      <w:r>
        <w:rPr>
          <w:rFonts w:ascii="Calibri" w:cs="Calibri" w:eastAsia="Calibri" w:hAnsi="Calibri"/>
          <w:b/>
          <w:bCs/>
          <w:color w:val="1A1A1A"/>
          <w:sz w:val="20"/>
          <w:szCs w:val="20"/>
        </w:rPr>
        <w:t xml:space="preserve">recherche constante de complémentarité et de convergence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L’équivalence des standards</w:t>
      </w:r>
      <w:r>
        <w:rPr>
          <w:rFonts w:ascii="Calibri" w:cs="Calibri" w:eastAsia="Calibri" w:hAnsi="Calibri"/>
          <w:color w:val="1A1A1A"/>
          <w:sz w:val="20"/>
          <w:szCs w:val="20"/>
        </w:rPr>
        <w:t xml:space="preserve"> : le droit des personnes à voir leur cause entendue dans un délai raisonnable constitue un principe général du droit de l’Union, consacré à l’</w:t>
      </w:r>
      <w:r>
        <w:rPr>
          <w:rFonts w:ascii="Calibri" w:cs="Calibri" w:eastAsia="Calibri" w:hAnsi="Calibri"/>
          <w:color w:val="1E88E5"/>
          <w:sz w:val="20"/>
          <w:szCs w:val="20"/>
        </w:rPr>
        <w:t xml:space="preserve">art. 6 § 1 CEDH</w:t>
      </w:r>
      <w:r>
        <w:rPr>
          <w:rFonts w:ascii="Calibri" w:cs="Calibri" w:eastAsia="Calibri" w:hAnsi="Calibri"/>
          <w:color w:val="1A1A1A"/>
          <w:sz w:val="20"/>
          <w:szCs w:val="20"/>
        </w:rPr>
        <w:t xml:space="preserve"> et à l’</w:t>
      </w:r>
      <w:r>
        <w:rPr>
          <w:rFonts w:ascii="Calibri" w:cs="Calibri" w:eastAsia="Calibri" w:hAnsi="Calibri"/>
          <w:color w:val="1E88E5"/>
          <w:sz w:val="20"/>
          <w:szCs w:val="20"/>
        </w:rPr>
        <w:t xml:space="preserve">art. 47 de la Charte</w:t>
      </w:r>
      <w:r>
        <w:rPr>
          <w:rFonts w:ascii="Calibri" w:cs="Calibri" w:eastAsia="Calibri" w:hAnsi="Calibri"/>
          <w:color w:val="1A1A1A"/>
          <w:sz w:val="20"/>
          <w:szCs w:val="20"/>
        </w:rPr>
        <w:t xml:space="preserve">. La Cour veille à ce que l’interprétation qu’elle effectue de l’</w:t>
      </w:r>
      <w:r>
        <w:rPr>
          <w:rFonts w:ascii="Calibri" w:cs="Calibri" w:eastAsia="Calibri" w:hAnsi="Calibri"/>
          <w:color w:val="1E88E5"/>
          <w:sz w:val="20"/>
          <w:szCs w:val="20"/>
        </w:rPr>
        <w:t xml:space="preserve">art. 47</w:t>
      </w:r>
      <w:r>
        <w:rPr>
          <w:rFonts w:ascii="Calibri" w:cs="Calibri" w:eastAsia="Calibri" w:hAnsi="Calibri"/>
          <w:color w:val="1A1A1A"/>
          <w:sz w:val="20"/>
          <w:szCs w:val="20"/>
        </w:rPr>
        <w:t xml:space="preserve"> assure un niveau de protection qui </w:t>
      </w:r>
      <w:r>
        <w:rPr>
          <w:rFonts w:ascii="Calibri" w:cs="Calibri" w:eastAsia="Calibri" w:hAnsi="Calibri"/>
          <w:b/>
          <w:bCs/>
          <w:color w:val="1A1A1A"/>
          <w:sz w:val="20"/>
          <w:szCs w:val="20"/>
        </w:rPr>
        <w:t xml:space="preserve">ne méconnaît pas</w:t>
      </w:r>
      <w:r>
        <w:rPr>
          <w:rFonts w:ascii="Calibri" w:cs="Calibri" w:eastAsia="Calibri" w:hAnsi="Calibri"/>
          <w:color w:val="1A1A1A"/>
          <w:sz w:val="20"/>
          <w:szCs w:val="20"/>
        </w:rPr>
        <w:t xml:space="preserve"> celui garanti à l’</w:t>
      </w:r>
      <w:r>
        <w:rPr>
          <w:rFonts w:ascii="Calibri" w:cs="Calibri" w:eastAsia="Calibri" w:hAnsi="Calibri"/>
          <w:color w:val="1E88E5"/>
          <w:sz w:val="20"/>
          <w:szCs w:val="20"/>
        </w:rPr>
        <w:t xml:space="preserve">art. 6 CEDH</w:t>
      </w:r>
      <w:r>
        <w:rPr>
          <w:rFonts w:ascii="Calibri" w:cs="Calibri" w:eastAsia="Calibri" w:hAnsi="Calibri"/>
          <w:color w:val="1A1A1A"/>
          <w:sz w:val="20"/>
          <w:szCs w:val="20"/>
        </w:rPr>
        <w:t xml:space="preserve">, tel qu’interprété par la Cour européenne (</w:t>
      </w:r>
      <w:r>
        <w:rPr>
          <w:rFonts w:ascii="Calibri" w:cs="Calibri" w:eastAsia="Calibri" w:hAnsi="Calibri"/>
          <w:color w:val="E91E63"/>
          <w:sz w:val="20"/>
          <w:szCs w:val="20"/>
        </w:rPr>
        <w:t xml:space="preserve">CJUE, 29 juillet 2019, Gambino et Hyka, C-38/18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fondement du contrôle des réformes juridictionnelles nationales</w:t>
      </w:r>
      <w:r>
        <w:rPr>
          <w:rFonts w:ascii="Calibri" w:cs="Calibri" w:eastAsia="Calibri" w:hAnsi="Calibri"/>
          <w:color w:val="1A1A1A"/>
          <w:sz w:val="20"/>
          <w:szCs w:val="20"/>
        </w:rPr>
        <w:t xml:space="preserve"> : l’exigence d’indépendance découlant de l’</w:t>
      </w:r>
      <w:r>
        <w:rPr>
          <w:rFonts w:ascii="Calibri" w:cs="Calibri" w:eastAsia="Calibri" w:hAnsi="Calibri"/>
          <w:color w:val="1E88E5"/>
          <w:sz w:val="20"/>
          <w:szCs w:val="20"/>
        </w:rPr>
        <w:t xml:space="preserve">art. 19 § 1 TUE</w:t>
      </w:r>
      <w:r>
        <w:rPr>
          <w:rFonts w:ascii="Calibri" w:cs="Calibri" w:eastAsia="Calibri" w:hAnsi="Calibri"/>
          <w:color w:val="1A1A1A"/>
          <w:sz w:val="20"/>
          <w:szCs w:val="20"/>
        </w:rPr>
        <w:t xml:space="preserve">, à laquelle doivent satisfaire les juridictions nationales susceptibles d’interpréter et d’appliquer le droit de l’Union, impose que les règles gouvernant le régime disciplinaire prévoient l’intervention d’instances satisfaisant elles-mêmes aux garanties inhérentes à une protection juridictionnelle effective, conformément à une procédure conforme à l’</w:t>
      </w:r>
      <w:r>
        <w:rPr>
          <w:rFonts w:ascii="Calibri" w:cs="Calibri" w:eastAsia="Calibri" w:hAnsi="Calibri"/>
          <w:color w:val="1E88E5"/>
          <w:sz w:val="20"/>
          <w:szCs w:val="20"/>
        </w:rPr>
        <w:t xml:space="preserve">art. 47 de la Charte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Commission c. Pologne, C-791/19</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Un particulier peut-il contester un règlement européen devant la Cour ? »</w:t>
      </w:r>
      <w:r>
        <w:rPr>
          <w:rFonts w:ascii="Calibri" w:cs="Calibri" w:eastAsia="Calibri" w:hAnsi="Calibri"/>
          <w:color w:val="1A1A1A"/>
          <w:sz w:val="20"/>
          <w:szCs w:val="20"/>
        </w:rPr>
        <w:t xml:space="preserve"> — Très difficilement : il doit démontrer être </w:t>
      </w:r>
      <w:r>
        <w:rPr>
          <w:rFonts w:ascii="Calibri" w:cs="Calibri" w:eastAsia="Calibri" w:hAnsi="Calibri"/>
          <w:b/>
          <w:bCs/>
          <w:color w:val="1A1A1A"/>
          <w:sz w:val="20"/>
          <w:szCs w:val="20"/>
        </w:rPr>
        <w:t xml:space="preserve">directement et individuellement</w:t>
      </w:r>
      <w:r>
        <w:rPr>
          <w:rFonts w:ascii="Calibri" w:cs="Calibri" w:eastAsia="Calibri" w:hAnsi="Calibri"/>
          <w:color w:val="1A1A1A"/>
          <w:sz w:val="20"/>
          <w:szCs w:val="20"/>
        </w:rPr>
        <w:t xml:space="preserve"> concerné, au sens strict de </w:t>
      </w:r>
      <w:r>
        <w:rPr>
          <w:rFonts w:ascii="Calibri" w:cs="Calibri" w:eastAsia="Calibri" w:hAnsi="Calibri"/>
          <w:color w:val="E91E63"/>
          <w:sz w:val="20"/>
          <w:szCs w:val="20"/>
        </w:rPr>
        <w:t xml:space="preserve">Plaumann</w:t>
      </w:r>
      <w:r>
        <w:rPr>
          <w:rFonts w:ascii="Calibri" w:cs="Calibri" w:eastAsia="Calibri" w:hAnsi="Calibri"/>
          <w:color w:val="1A1A1A"/>
          <w:sz w:val="20"/>
          <w:szCs w:val="20"/>
        </w:rPr>
        <w:t xml:space="preserve">. La Cour renvoie aux autres voies, notamment le renvoi préjudiciel en validité, au nom de la complétude du système (</w:t>
      </w:r>
      <w:r>
        <w:rPr>
          <w:rFonts w:ascii="Calibri" w:cs="Calibri" w:eastAsia="Calibri" w:hAnsi="Calibri"/>
          <w:color w:val="E91E63"/>
          <w:sz w:val="20"/>
          <w:szCs w:val="20"/>
        </w:rPr>
        <w:t xml:space="preserve">Inuit</w:t>
      </w:r>
      <w:r>
        <w:rPr>
          <w:rFonts w:ascii="Calibri" w:cs="Calibri" w:eastAsia="Calibri" w:hAnsi="Calibri"/>
          <w:color w:val="1A1A1A"/>
          <w:sz w:val="20"/>
          <w:szCs w:val="20"/>
        </w:rPr>
        <w:t xml:space="preserve">). C’est la principale critique adressée au système juridictionnel de l’Union.</w:t>
      </w:r>
    </w:p>
    <w:p>
      <w:pPr>
        <w:pStyle w:val="ListParagraph"/>
        <w:numPr>
          <w:ilvl w:val="0"/>
          <w:numId w:val="2"/>
        </w:numPr>
        <w:spacing w:after="70" w:line="264"/>
        <w:jc w:val="both"/>
      </w:pPr>
      <w:r>
        <w:rPr>
          <w:rFonts w:ascii="Calibri" w:cs="Calibri" w:eastAsia="Calibri" w:hAnsi="Calibri"/>
          <w:b/>
          <w:bCs/>
          <w:color w:val="1A1A1A"/>
          <w:sz w:val="20"/>
          <w:szCs w:val="20"/>
        </w:rPr>
        <w:t xml:space="preserve">« Le juge national est-il le juge de droit commun du droit de l’Union ? »</w:t>
      </w:r>
      <w:r>
        <w:rPr>
          <w:rFonts w:ascii="Calibri" w:cs="Calibri" w:eastAsia="Calibri" w:hAnsi="Calibri"/>
          <w:color w:val="1A1A1A"/>
          <w:sz w:val="20"/>
          <w:szCs w:val="20"/>
        </w:rPr>
        <w:t xml:space="preserve"> — Oui : il est tenu d’appliquer intégralement le droit de l’Union et de laisser inappliquée toute disposition nationale contraire (</w:t>
      </w:r>
      <w:r>
        <w:rPr>
          <w:rFonts w:ascii="Calibri" w:cs="Calibri" w:eastAsia="Calibri" w:hAnsi="Calibri"/>
          <w:color w:val="E91E63"/>
          <w:sz w:val="20"/>
          <w:szCs w:val="20"/>
        </w:rPr>
        <w:t xml:space="preserve">Simmenthal</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19 § 1 TUE</w:t>
      </w:r>
      <w:r>
        <w:rPr>
          <w:rFonts w:ascii="Calibri" w:cs="Calibri" w:eastAsia="Calibri" w:hAnsi="Calibri"/>
          <w:color w:val="1A1A1A"/>
          <w:sz w:val="20"/>
          <w:szCs w:val="20"/>
        </w:rPr>
        <w:t xml:space="preserve"> lui impose d’assurer une protection juridictionnelle effective. La Cour n’intervient qu’</w:t>
      </w:r>
      <w:r>
        <w:rPr>
          <w:rFonts w:ascii="Calibri" w:cs="Calibri" w:eastAsia="Calibri" w:hAnsi="Calibri"/>
          <w:b/>
          <w:bCs/>
          <w:color w:val="1A1A1A"/>
          <w:sz w:val="20"/>
          <w:szCs w:val="20"/>
        </w:rPr>
        <w:t xml:space="preserve">exceptionnellement, en cas de défaillance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La protection juridictionnelle effective est-elle une fin ou un moyen ? »</w:t>
      </w:r>
      <w:r>
        <w:rPr>
          <w:rFonts w:ascii="Calibri" w:cs="Calibri" w:eastAsia="Calibri" w:hAnsi="Calibri"/>
          <w:color w:val="1A1A1A"/>
          <w:sz w:val="20"/>
          <w:szCs w:val="20"/>
        </w:rPr>
        <w:t xml:space="preserve"> — Question de dissertation déguisée. Réponse attendue : consacrée comme principe général (</w:t>
      </w:r>
      <w:r>
        <w:rPr>
          <w:rFonts w:ascii="Calibri" w:cs="Calibri" w:eastAsia="Calibri" w:hAnsi="Calibri"/>
          <w:color w:val="E91E63"/>
          <w:sz w:val="20"/>
          <w:szCs w:val="20"/>
        </w:rPr>
        <w:t xml:space="preserve">Johnston</w:t>
      </w:r>
      <w:r>
        <w:rPr>
          <w:rFonts w:ascii="Calibri" w:cs="Calibri" w:eastAsia="Calibri" w:hAnsi="Calibri"/>
          <w:color w:val="1A1A1A"/>
          <w:sz w:val="20"/>
          <w:szCs w:val="20"/>
        </w:rPr>
        <w:t xml:space="preserve">), elle sert surtout à </w:t>
      </w:r>
      <w:r>
        <w:rPr>
          <w:rFonts w:ascii="Calibri" w:cs="Calibri" w:eastAsia="Calibri" w:hAnsi="Calibri"/>
          <w:b/>
          <w:bCs/>
          <w:color w:val="1A1A1A"/>
          <w:sz w:val="20"/>
          <w:szCs w:val="20"/>
        </w:rPr>
        <w:t xml:space="preserve">circonscrire l’autonomie procédurale</w:t>
      </w:r>
      <w:r>
        <w:rPr>
          <w:rFonts w:ascii="Calibri" w:cs="Calibri" w:eastAsia="Calibri" w:hAnsi="Calibri"/>
          <w:color w:val="1A1A1A"/>
          <w:sz w:val="20"/>
          <w:szCs w:val="20"/>
        </w:rPr>
        <w:t xml:space="preserve"> des États et à garantir l’applicabilité uniforme du droit de l’Union (</w:t>
      </w:r>
      <w:r>
        <w:rPr>
          <w:rFonts w:ascii="Calibri" w:cs="Calibri" w:eastAsia="Calibri" w:hAnsi="Calibri"/>
          <w:color w:val="E91E63"/>
          <w:sz w:val="20"/>
          <w:szCs w:val="20"/>
        </w:rPr>
        <w:t xml:space="preserve">Unibet</w:t>
      </w:r>
      <w:r>
        <w:rPr>
          <w:rFonts w:ascii="Calibri" w:cs="Calibri" w:eastAsia="Calibri" w:hAnsi="Calibri"/>
          <w:color w:val="1A1A1A"/>
          <w:sz w:val="20"/>
          <w:szCs w:val="20"/>
        </w:rPr>
        <w:t xml:space="preserve">) — moins une fin en soi qu’un instrument d’effectivité.</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Commentaire de l’article 19 § 1 du Traité et de l’article 47 de la Charte des droits fondamentaux » (sujet de commentaire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L’accès des particuliers au juge de l’Union » ; « La subsidiarité juridictionnelle ».</w:t>
      </w:r>
    </w:p>
    <w:p>
      <w:pPr>
        <w:pStyle w:val="ListParagraph"/>
        <w:numPr>
          <w:ilvl w:val="0"/>
          <w:numId w:val="2"/>
        </w:numPr>
        <w:spacing w:after="70" w:line="264"/>
        <w:jc w:val="both"/>
      </w:pPr>
      <w:r>
        <w:rPr>
          <w:rFonts w:ascii="Calibri" w:cs="Calibri" w:eastAsia="Calibri" w:hAnsi="Calibri"/>
          <w:color w:val="1A1A1A"/>
          <w:sz w:val="20"/>
          <w:szCs w:val="20"/>
        </w:rPr>
        <w:t xml:space="preserve">« Le renvoi préjudiciel, dialogue ou subordination ? » ; « Le juge national, juge de droit commun du droit de l’Union ».</w:t>
      </w:r>
    </w:p>
    <w:p>
      <w:pPr>
        <w:pStyle w:val="ListParagraph"/>
        <w:numPr>
          <w:ilvl w:val="0"/>
          <w:numId w:val="2"/>
        </w:numPr>
        <w:spacing w:after="70" w:line="264"/>
        <w:jc w:val="both"/>
      </w:pPr>
      <w:r>
        <w:rPr>
          <w:rFonts w:ascii="Calibri" w:cs="Calibri" w:eastAsia="Calibri" w:hAnsi="Calibri"/>
          <w:color w:val="1A1A1A"/>
          <w:sz w:val="20"/>
          <w:szCs w:val="20"/>
        </w:rPr>
        <w:t xml:space="preserve">« Cour de justice et Cour européenne des droits de l’homme : concurrence ou synergie ? ».</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La CJUE est-elle une Cour suprême fédérale ?</w:t>
      </w:r>
      <w:r>
        <w:rPr>
          <w:rFonts w:ascii="Calibri" w:cs="Calibri" w:eastAsia="Calibri" w:hAnsi="Calibri"/>
          <w:color w:val="1A1A1A"/>
          <w:sz w:val="20"/>
          <w:szCs w:val="20"/>
        </w:rPr>
        <w:t xml:space="preserve"> — Non : elle </w:t>
      </w:r>
      <w:r>
        <w:rPr>
          <w:rFonts w:ascii="Calibri" w:cs="Calibri" w:eastAsia="Calibri" w:hAnsi="Calibri"/>
          <w:b/>
          <w:bCs/>
          <w:color w:val="1A1A1A"/>
          <w:sz w:val="20"/>
          <w:szCs w:val="20"/>
        </w:rPr>
        <w:t xml:space="preserve">ne dispose ni d’un pouvoir d’appel ni d’un pouvoir de cassation</w:t>
      </w:r>
      <w:r>
        <w:rPr>
          <w:rFonts w:ascii="Calibri" w:cs="Calibri" w:eastAsia="Calibri" w:hAnsi="Calibri"/>
          <w:color w:val="1A1A1A"/>
          <w:sz w:val="20"/>
          <w:szCs w:val="20"/>
        </w:rPr>
        <w:t xml:space="preserve"> pour réformer les décisions internes. C’est la différence structurelle avec les fédéralismes allemand et suisse.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est le délai du recours en annulation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Deux mois</w:t>
      </w:r>
      <w:r>
        <w:rPr>
          <w:rFonts w:ascii="Calibri" w:cs="Calibri" w:eastAsia="Calibri" w:hAnsi="Calibri"/>
          <w:color w:val="1A1A1A"/>
          <w:sz w:val="20"/>
          <w:szCs w:val="20"/>
        </w:rPr>
        <w:t xml:space="preserve">, à compter de la publication de l’acte, de sa notification ou du jour où le requérant en a eu connaissance. Le renvoi préjudiciel, lui, n’est enfermé dans </w:t>
      </w:r>
      <w:r>
        <w:rPr>
          <w:rFonts w:ascii="Calibri" w:cs="Calibri" w:eastAsia="Calibri" w:hAnsi="Calibri"/>
          <w:b/>
          <w:bCs/>
          <w:color w:val="1A1A1A"/>
          <w:sz w:val="20"/>
          <w:szCs w:val="20"/>
        </w:rPr>
        <w:t xml:space="preserve">aucun délai</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Qui décide de poser une question préjudicielle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juge national</w:t>
      </w:r>
      <w:r>
        <w:rPr>
          <w:rFonts w:ascii="Calibri" w:cs="Calibri" w:eastAsia="Calibri" w:hAnsi="Calibri"/>
          <w:color w:val="1A1A1A"/>
          <w:sz w:val="20"/>
          <w:szCs w:val="20"/>
        </w:rPr>
        <w:t xml:space="preserve">, de sa propre initiative ou à la demande des parties. Les particuliers ne peuvent pas saisir la Cour directement par cette voie.</w:t>
      </w:r>
    </w:p>
    <w:p>
      <w:pPr>
        <w:pStyle w:val="ListParagraph"/>
        <w:numPr>
          <w:ilvl w:val="0"/>
          <w:numId w:val="2"/>
        </w:numPr>
        <w:spacing w:after="70" w:line="264"/>
        <w:jc w:val="both"/>
      </w:pPr>
      <w:r>
        <w:rPr>
          <w:rFonts w:ascii="Calibri" w:cs="Calibri" w:eastAsia="Calibri" w:hAnsi="Calibri"/>
          <w:b/>
          <w:bCs/>
          <w:color w:val="1A1A1A"/>
          <w:sz w:val="20"/>
          <w:szCs w:val="20"/>
        </w:rPr>
        <w:t xml:space="preserve">Q. Le Tribunal peut-il statuer sur des questions relatives à la Charte ?</w:t>
      </w:r>
      <w:r>
        <w:rPr>
          <w:rFonts w:ascii="Calibri" w:cs="Calibri" w:eastAsia="Calibri" w:hAnsi="Calibri"/>
          <w:color w:val="1A1A1A"/>
          <w:sz w:val="20"/>
          <w:szCs w:val="20"/>
        </w:rPr>
        <w:t xml:space="preserve"> — Non : la Cour conserve sa compétence lorsqu’une demande préjudicielle soulève une question autonome relative au droit primaire, au droit international public, aux principes généraux du droit de l’Union ou à la </w:t>
      </w:r>
      <w:r>
        <w:rPr>
          <w:rFonts w:ascii="Calibri" w:cs="Calibri" w:eastAsia="Calibri" w:hAnsi="Calibri"/>
          <w:b/>
          <w:bCs/>
          <w:color w:val="1A1A1A"/>
          <w:sz w:val="20"/>
          <w:szCs w:val="20"/>
        </w:rPr>
        <w:t xml:space="preserve">Charte des droits fondamentaux</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L’article 47 de la Charte impose-t-il d’ouvrir un recours en annulation à tout particulier ?</w:t>
      </w:r>
      <w:r>
        <w:rPr>
          <w:rFonts w:ascii="Calibri" w:cs="Calibri" w:eastAsia="Calibri" w:hAnsi="Calibri"/>
          <w:color w:val="1A1A1A"/>
          <w:sz w:val="20"/>
          <w:szCs w:val="20"/>
        </w:rPr>
        <w:t xml:space="preserve"> — Non, selon une jurisprudence constante : la compatibilité est assurée par l’existence d’autres voies de recours, notamment le renvoi préjudiciel en validité.</w:t>
      </w:r>
    </w:p>
    <w:p>
      <w:pPr>
        <w:pStyle w:val="ListParagraph"/>
        <w:numPr>
          <w:ilvl w:val="0"/>
          <w:numId w:val="2"/>
        </w:numPr>
        <w:spacing w:after="70" w:line="264"/>
        <w:jc w:val="both"/>
      </w:pPr>
      <w:r>
        <w:rPr>
          <w:rFonts w:ascii="Calibri" w:cs="Calibri" w:eastAsia="Calibri" w:hAnsi="Calibri"/>
          <w:b/>
          <w:bCs/>
          <w:color w:val="1A1A1A"/>
          <w:sz w:val="20"/>
          <w:szCs w:val="20"/>
        </w:rPr>
        <w:t xml:space="preserve">Q. Un particulier peut-il former un recours en manquement ?</w:t>
      </w:r>
      <w:r>
        <w:rPr>
          <w:rFonts w:ascii="Calibri" w:cs="Calibri" w:eastAsia="Calibri" w:hAnsi="Calibri"/>
          <w:color w:val="1A1A1A"/>
          <w:sz w:val="20"/>
          <w:szCs w:val="20"/>
        </w:rPr>
        <w:t xml:space="preserve"> — Non : seuls la Commission ou un autre État membre le peuvent. Le particulier passe par une </w:t>
      </w:r>
      <w:r>
        <w:rPr>
          <w:rFonts w:ascii="Calibri" w:cs="Calibri" w:eastAsia="Calibri" w:hAnsi="Calibri"/>
          <w:b/>
          <w:bCs/>
          <w:color w:val="1A1A1A"/>
          <w:sz w:val="20"/>
          <w:szCs w:val="20"/>
        </w:rPr>
        <w:t xml:space="preserve">plainte</w:t>
      </w:r>
      <w:r>
        <w:rPr>
          <w:rFonts w:ascii="Calibri" w:cs="Calibri" w:eastAsia="Calibri" w:hAnsi="Calibri"/>
          <w:color w:val="1A1A1A"/>
          <w:sz w:val="20"/>
          <w:szCs w:val="20"/>
        </w:rPr>
        <w:t xml:space="preserve"> adressée à la Commission.</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24 — LES AUTRES JURIDICTIONS RÉGIONALES</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Quatre cours régionales, quatre degrés d’effectivité : de Strasbourg, avec 46 États et un recours individuel de plein droit, à une Cour arabe </w:t>
      </w:r>
      <w:r>
        <w:rPr>
          <w:rFonts w:ascii="Calibri" w:cs="Calibri" w:eastAsia="Calibri" w:hAnsi="Calibri"/>
          <w:b/>
          <w:bCs/>
          <w:color w:val="1A1A1A"/>
          <w:sz w:val="20"/>
          <w:szCs w:val="20"/>
        </w:rPr>
        <w:t xml:space="preserve">jamais entrée en vigueur</w:t>
      </w:r>
      <w:r>
        <w:rPr>
          <w:rFonts w:ascii="Calibri" w:cs="Calibri" w:eastAsia="Calibri" w:hAnsi="Calibri"/>
          <w:color w:val="1A1A1A"/>
          <w:sz w:val="20"/>
          <w:szCs w:val="20"/>
        </w:rPr>
        <w:t xml:space="preserve">, ratifiée par un seul État et qui n’a jamais rendu la moindre décision. L’universalité proclamée à Vienne en 1993 se heurte à une </w:t>
      </w:r>
      <w:r>
        <w:rPr>
          <w:rFonts w:ascii="Calibri" w:cs="Calibri" w:eastAsia="Calibri" w:hAnsi="Calibri"/>
          <w:b/>
          <w:bCs/>
          <w:color w:val="1A1A1A"/>
          <w:sz w:val="20"/>
          <w:szCs w:val="20"/>
        </w:rPr>
        <w:t xml:space="preserve">fragmentation régionale</w:t>
      </w:r>
      <w:r>
        <w:rPr>
          <w:rFonts w:ascii="Calibri" w:cs="Calibri" w:eastAsia="Calibri" w:hAnsi="Calibri"/>
          <w:color w:val="1A1A1A"/>
          <w:sz w:val="20"/>
          <w:szCs w:val="20"/>
        </w:rPr>
        <w:t xml:space="preserve"> mesurable.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selon un communiqué de l’Union africaine du 3 novembre 2021, les décisions de la Cour africaine ont connu en 2020 une exécution </w:t>
      </w:r>
      <w:r>
        <w:rPr>
          <w:rFonts w:ascii="Calibri" w:cs="Calibri" w:eastAsia="Calibri" w:hAnsi="Calibri"/>
          <w:b/>
          <w:bCs/>
          <w:color w:val="1A1A1A"/>
          <w:sz w:val="20"/>
          <w:szCs w:val="20"/>
        </w:rPr>
        <w:t xml:space="preserve">intégrale à 7 %</w:t>
      </w:r>
      <w:r>
        <w:rPr>
          <w:rFonts w:ascii="Calibri" w:cs="Calibri" w:eastAsia="Calibri" w:hAnsi="Calibri"/>
          <w:color w:val="1A1A1A"/>
          <w:sz w:val="20"/>
          <w:szCs w:val="20"/>
        </w:rPr>
        <w:t xml:space="preserve">, partielle à 18 %, et une non-exécution totale à </w:t>
      </w:r>
      <w:r>
        <w:rPr>
          <w:rFonts w:ascii="Calibri" w:cs="Calibri" w:eastAsia="Calibri" w:hAnsi="Calibri"/>
          <w:b/>
          <w:bCs/>
          <w:color w:val="1A1A1A"/>
          <w:sz w:val="20"/>
          <w:szCs w:val="20"/>
        </w:rPr>
        <w:t xml:space="preserve">75 %</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À côté de la Cour européenne, trois juridictions régionales : la </w:t>
      </w:r>
      <w:r>
        <w:rPr>
          <w:rFonts w:ascii="Calibri" w:cs="Calibri" w:eastAsia="Calibri" w:hAnsi="Calibri"/>
          <w:b/>
          <w:bCs/>
          <w:color w:val="1A1A1A"/>
          <w:sz w:val="20"/>
          <w:szCs w:val="20"/>
        </w:rPr>
        <w:t xml:space="preserve">Cour interaméricaine des droits de l’homme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américaine de 1969</w:t>
      </w:r>
      <w:r>
        <w:rPr>
          <w:rFonts w:ascii="Calibri" w:cs="Calibri" w:eastAsia="Calibri" w:hAnsi="Calibri"/>
          <w:color w:val="1A1A1A"/>
          <w:sz w:val="20"/>
          <w:szCs w:val="20"/>
        </w:rPr>
        <w:t xml:space="preserve">, en vigueur en 1978, 22 États), la </w:t>
      </w:r>
      <w:r>
        <w:rPr>
          <w:rFonts w:ascii="Calibri" w:cs="Calibri" w:eastAsia="Calibri" w:hAnsi="Calibri"/>
          <w:b/>
          <w:bCs/>
          <w:color w:val="1A1A1A"/>
          <w:sz w:val="20"/>
          <w:szCs w:val="20"/>
        </w:rPr>
        <w:t xml:space="preserve">Cour africaine des droits de l’homme et des peuples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de 1998</w:t>
      </w:r>
      <w:r>
        <w:rPr>
          <w:rFonts w:ascii="Calibri" w:cs="Calibri" w:eastAsia="Calibri" w:hAnsi="Calibri"/>
          <w:color w:val="1A1A1A"/>
          <w:sz w:val="20"/>
          <w:szCs w:val="20"/>
        </w:rPr>
        <w:t xml:space="preserve">, en vigueur en 2004, 34 États sur 55) et la </w:t>
      </w:r>
      <w:r>
        <w:rPr>
          <w:rFonts w:ascii="Calibri" w:cs="Calibri" w:eastAsia="Calibri" w:hAnsi="Calibri"/>
          <w:b/>
          <w:bCs/>
          <w:color w:val="1A1A1A"/>
          <w:sz w:val="20"/>
          <w:szCs w:val="20"/>
        </w:rPr>
        <w:t xml:space="preserve">Cour arabe des droits de l’homme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Statut de 2014</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jamais entrée en vigueur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sens de la fragmentation</w:t>
      </w:r>
      <w:r>
        <w:rPr>
          <w:rFonts w:ascii="Calibri" w:cs="Calibri" w:eastAsia="Calibri" w:hAnsi="Calibri"/>
          <w:color w:val="1A1A1A"/>
          <w:sz w:val="20"/>
          <w:szCs w:val="20"/>
        </w:rPr>
        <w:t xml:space="preserve"> : l’absence de juridiction internationale universelle — la Cour internationale de Justice n’a pas vocation à régler des litiges relatifs aux violations des droits humains, puisqu’elle n’est saisissable que par des États au contentieux — a conduit à une concrétisation </w:t>
      </w:r>
      <w:r>
        <w:rPr>
          <w:rFonts w:ascii="Calibri" w:cs="Calibri" w:eastAsia="Calibri" w:hAnsi="Calibri"/>
          <w:b/>
          <w:bCs/>
          <w:color w:val="1A1A1A"/>
          <w:sz w:val="20"/>
          <w:szCs w:val="20"/>
        </w:rPr>
        <w:t xml:space="preserve">à l’échelle régionale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CIDH, 1988, Velasquez Rodriguez c. Honduras</w:t>
      </w:r>
      <w:r>
        <w:rPr>
          <w:rFonts w:ascii="Calibri" w:cs="Calibri" w:eastAsia="Calibri" w:hAnsi="Calibri"/>
          <w:color w:val="1A1A1A"/>
          <w:sz w:val="20"/>
          <w:szCs w:val="20"/>
        </w:rPr>
        <w:t xml:space="preserve"> : les disparitions forcées commencent à faire l’objet d’un traitement juridictionnel ; prolongée par </w:t>
      </w:r>
      <w:r>
        <w:rPr>
          <w:rFonts w:ascii="Calibri" w:cs="Calibri" w:eastAsia="Calibri" w:hAnsi="Calibri"/>
          <w:color w:val="E91E63"/>
          <w:sz w:val="20"/>
          <w:szCs w:val="20"/>
        </w:rPr>
        <w:t xml:space="preserve">CIDH, 2010, Chitay Nech et a. c. Guatemala</w:t>
      </w:r>
      <w:r>
        <w:rPr>
          <w:rFonts w:ascii="Calibri" w:cs="Calibri" w:eastAsia="Calibri" w:hAnsi="Calibri"/>
          <w:color w:val="1A1A1A"/>
          <w:sz w:val="20"/>
          <w:szCs w:val="20"/>
        </w:rPr>
        <w:t xml:space="preserve"> (disparition forcée d’un maire : violation concomitante des droits politiques du maire et de sa communauté).</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CIDH, 2012, Atala Riffo et filles c. Chili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première condamnation</w:t>
      </w:r>
      <w:r>
        <w:rPr>
          <w:rFonts w:ascii="Calibri" w:cs="Calibri" w:eastAsia="Calibri" w:hAnsi="Calibri"/>
          <w:color w:val="1A1A1A"/>
          <w:sz w:val="20"/>
          <w:szCs w:val="20"/>
        </w:rPr>
        <w:t xml:space="preserve"> d’un État pour discrimination fondée sur l’</w:t>
      </w:r>
      <w:r>
        <w:rPr>
          <w:rFonts w:ascii="Calibri" w:cs="Calibri" w:eastAsia="Calibri" w:hAnsi="Calibri"/>
          <w:b/>
          <w:bCs/>
          <w:color w:val="1A1A1A"/>
          <w:sz w:val="20"/>
          <w:szCs w:val="20"/>
        </w:rPr>
        <w:t xml:space="preserve">orientation sexuelle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CIDH, 2020, Olivarez Muñoz y otros c. Venezuela</w:t>
      </w:r>
      <w:r>
        <w:rPr>
          <w:rFonts w:ascii="Calibri" w:cs="Calibri" w:eastAsia="Calibri" w:hAnsi="Calibri"/>
          <w:color w:val="1A1A1A"/>
          <w:sz w:val="20"/>
          <w:szCs w:val="20"/>
        </w:rPr>
        <w:t xml:space="preserve"> : usage disproportionné de la force à l’égard de détenus — la matière pénitentiaire comme champ jurisprudentiel majeur.</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de 1998 à la Charte africaine, adopté à Ouagadougou</w:t>
      </w:r>
      <w:r>
        <w:rPr>
          <w:rFonts w:ascii="Calibri" w:cs="Calibri" w:eastAsia="Calibri" w:hAnsi="Calibri"/>
          <w:color w:val="1A1A1A"/>
          <w:sz w:val="20"/>
          <w:szCs w:val="20"/>
        </w:rPr>
        <w:t xml:space="preserve">, entré en vigueur en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 institution de la Cour africaine, siégeant à </w:t>
      </w:r>
      <w:r>
        <w:rPr>
          <w:rFonts w:ascii="Calibri" w:cs="Calibri" w:eastAsia="Calibri" w:hAnsi="Calibri"/>
          <w:b/>
          <w:bCs/>
          <w:color w:val="1A1A1A"/>
          <w:sz w:val="20"/>
          <w:szCs w:val="20"/>
        </w:rPr>
        <w:t xml:space="preserve">Arusha</w:t>
      </w:r>
      <w:r>
        <w:rPr>
          <w:rFonts w:ascii="Calibri" w:cs="Calibri" w:eastAsia="Calibri" w:hAnsi="Calibri"/>
          <w:color w:val="1A1A1A"/>
          <w:sz w:val="20"/>
          <w:szCs w:val="20"/>
        </w:rPr>
        <w:t xml:space="preserve"> (Tanzanie), 11 juges, ratifié par </w:t>
      </w:r>
      <w:r>
        <w:rPr>
          <w:rFonts w:ascii="Calibri" w:cs="Calibri" w:eastAsia="Calibri" w:hAnsi="Calibri"/>
          <w:b/>
          <w:bCs/>
          <w:color w:val="1A1A1A"/>
          <w:sz w:val="20"/>
          <w:szCs w:val="20"/>
        </w:rPr>
        <w:t xml:space="preserve">34 des 55 États</w:t>
      </w:r>
      <w:r>
        <w:rPr>
          <w:rFonts w:ascii="Calibri" w:cs="Calibri" w:eastAsia="Calibri" w:hAnsi="Calibri"/>
          <w:color w:val="1A1A1A"/>
          <w:sz w:val="20"/>
          <w:szCs w:val="20"/>
        </w:rPr>
        <w:t xml:space="preserve"> de l’Union africaine ; </w:t>
      </w:r>
      <w:r>
        <w:rPr>
          <w:rFonts w:ascii="Calibri" w:cs="Calibri" w:eastAsia="Calibri" w:hAnsi="Calibri"/>
          <w:color w:val="1E88E5"/>
          <w:sz w:val="20"/>
          <w:szCs w:val="20"/>
        </w:rPr>
        <w:t xml:space="preserve">art. 72 du règlement</w:t>
      </w:r>
      <w:r>
        <w:rPr>
          <w:rFonts w:ascii="Calibri" w:cs="Calibri" w:eastAsia="Calibri" w:hAnsi="Calibri"/>
          <w:color w:val="1A1A1A"/>
          <w:sz w:val="20"/>
          <w:szCs w:val="20"/>
        </w:rPr>
        <w:t xml:space="preserve"> : caractère </w:t>
      </w:r>
      <w:r>
        <w:rPr>
          <w:rFonts w:ascii="Calibri" w:cs="Calibri" w:eastAsia="Calibri" w:hAnsi="Calibri"/>
          <w:b/>
          <w:bCs/>
          <w:color w:val="1A1A1A"/>
          <w:sz w:val="20"/>
          <w:szCs w:val="20"/>
        </w:rPr>
        <w:t xml:space="preserve">obligatoire et exécutoire</w:t>
      </w:r>
      <w:r>
        <w:rPr>
          <w:rFonts w:ascii="Calibri" w:cs="Calibri" w:eastAsia="Calibri" w:hAnsi="Calibri"/>
          <w:color w:val="1A1A1A"/>
          <w:sz w:val="20"/>
          <w:szCs w:val="20"/>
        </w:rPr>
        <w:t xml:space="preserve"> des décisions.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Résolution n° 7790 du Conseil de la Ligue arabe (2014) portant Statut de la Cour arabe</w:t>
      </w:r>
      <w:r>
        <w:rPr>
          <w:rFonts w:ascii="Calibri" w:cs="Calibri" w:eastAsia="Calibri" w:hAnsi="Calibri"/>
          <w:color w:val="1A1A1A"/>
          <w:sz w:val="20"/>
          <w:szCs w:val="20"/>
        </w:rPr>
        <w:t xml:space="preserve"> : siège à Manama (Bahreïn), 7 juges, </w:t>
      </w:r>
      <w:r>
        <w:rPr>
          <w:rFonts w:ascii="Calibri" w:cs="Calibri" w:eastAsia="Calibri" w:hAnsi="Calibri"/>
          <w:b/>
          <w:bCs/>
          <w:color w:val="1A1A1A"/>
          <w:sz w:val="20"/>
          <w:szCs w:val="20"/>
        </w:rPr>
        <w:t xml:space="preserve">pas de recours individuel</w:t>
      </w:r>
      <w:r>
        <w:rPr>
          <w:rFonts w:ascii="Calibri" w:cs="Calibri" w:eastAsia="Calibri" w:hAnsi="Calibri"/>
          <w:color w:val="1A1A1A"/>
          <w:sz w:val="20"/>
          <w:szCs w:val="20"/>
        </w:rPr>
        <w:t xml:space="preserve"> ; un seul État l’a ratifié (Arabie saoudite) ; projet « </w:t>
      </w:r>
      <w:r>
        <w:rPr>
          <w:rFonts w:ascii="Calibri" w:cs="Calibri" w:eastAsia="Calibri" w:hAnsi="Calibri"/>
          <w:i/>
          <w:iCs/>
          <w:color w:val="1A1A1A"/>
          <w:sz w:val="20"/>
          <w:szCs w:val="20"/>
        </w:rPr>
        <w:t xml:space="preserve">au point mort</w:t>
      </w:r>
      <w:r>
        <w:rPr>
          <w:rFonts w:ascii="Calibri" w:cs="Calibri" w:eastAsia="Calibri" w:hAnsi="Calibri"/>
          <w:color w:val="1A1A1A"/>
          <w:sz w:val="20"/>
          <w:szCs w:val="20"/>
        </w:rPr>
        <w:t xml:space="preserve"> » (note du Secrétaire général de l’ONU du 27 août 2024).</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Les juridictions régionales et l’universalisation des droits humains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universalisation concrétisée par des instruments et mécanismes régionaux</w:t>
      </w:r>
      <w:r>
        <w:rPr>
          <w:rFonts w:ascii="Calibri" w:cs="Calibri" w:eastAsia="Calibri" w:hAnsi="Calibri"/>
          <w:color w:val="1A1A1A"/>
          <w:sz w:val="20"/>
          <w:szCs w:val="20"/>
        </w:rPr>
        <w:t xml:space="preserve"> (A. L’absence de juridiction internationale de protection : DUDH sans force contraignante, Pactes de 1966, comités onusiens, CIJ non compétente pour les particuliers ; B. Une concrétisation réalisée à l’échelle régionale : quatre cours) / </w:t>
      </w:r>
      <w:r>
        <w:rPr>
          <w:rFonts w:ascii="Calibri" w:cs="Calibri" w:eastAsia="Calibri" w:hAnsi="Calibri"/>
          <w:b/>
          <w:bCs/>
          <w:color w:val="1A1A1A"/>
          <w:sz w:val="20"/>
          <w:szCs w:val="20"/>
        </w:rPr>
        <w:t xml:space="preserve">II. Une universalisation confrontée à des obstacles structurels</w:t>
      </w:r>
      <w:r>
        <w:rPr>
          <w:rFonts w:ascii="Calibri" w:cs="Calibri" w:eastAsia="Calibri" w:hAnsi="Calibri"/>
          <w:color w:val="1A1A1A"/>
          <w:sz w:val="20"/>
          <w:szCs w:val="20"/>
        </w:rPr>
        <w:t xml:space="preserve"> (A. L’efficacité variable des cours régionales : taux d’exécution africains, Cour arabe non entrée en vigueur, absence de juridiction régionale en Asie ; B. Le relativisme culturel : marge d’appréciation européenne, charia dans la Charte arabe, devoirs envers la communauté dans la Charte africaine).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Faut-il une cour mondiale des droits de l’homme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Les carences que révèle la comparaison régionale</w:t>
      </w:r>
      <w:r>
        <w:rPr>
          <w:rFonts w:ascii="Calibri" w:cs="Calibri" w:eastAsia="Calibri" w:hAnsi="Calibri"/>
          <w:color w:val="1A1A1A"/>
          <w:sz w:val="20"/>
          <w:szCs w:val="20"/>
        </w:rPr>
        <w:t xml:space="preserve"> (A. Des protections à géométrie variable ; B. Des zones sans juridiction, l’Asie au premier chef) / </w:t>
      </w:r>
      <w:r>
        <w:rPr>
          <w:rFonts w:ascii="Calibri" w:cs="Calibri" w:eastAsia="Calibri" w:hAnsi="Calibri"/>
          <w:b/>
          <w:bCs/>
          <w:color w:val="1A1A1A"/>
          <w:sz w:val="20"/>
          <w:szCs w:val="20"/>
        </w:rPr>
        <w:t xml:space="preserve">II. Les obstacles</w:t>
      </w:r>
      <w:r>
        <w:rPr>
          <w:rFonts w:ascii="Calibri" w:cs="Calibri" w:eastAsia="Calibri" w:hAnsi="Calibri"/>
          <w:color w:val="1A1A1A"/>
          <w:sz w:val="20"/>
          <w:szCs w:val="20"/>
        </w:rPr>
        <w:t xml:space="preserve"> (A. La souveraineté et le relativisme culturel ; B. L’articulation avec les cours régionales existantes et le risque de conflits d’obligations).</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Les États-Unis et le Canada ne sont pas parties à la Convention américaine</w:t>
      </w:r>
      <w:r>
        <w:rPr>
          <w:rFonts w:ascii="Calibri" w:cs="Calibri" w:eastAsia="Calibri" w:hAnsi="Calibri"/>
          <w:color w:val="1A1A1A"/>
          <w:sz w:val="20"/>
          <w:szCs w:val="20"/>
        </w:rPr>
        <w:t xml:space="preserve"> ; seuls </w:t>
      </w:r>
      <w:r>
        <w:rPr>
          <w:rFonts w:ascii="Calibri" w:cs="Calibri" w:eastAsia="Calibri" w:hAnsi="Calibri"/>
          <w:b/>
          <w:bCs/>
          <w:color w:val="1A1A1A"/>
          <w:sz w:val="20"/>
          <w:szCs w:val="20"/>
        </w:rPr>
        <w:t xml:space="preserve">22 États</w:t>
      </w:r>
      <w:r>
        <w:rPr>
          <w:rFonts w:ascii="Calibri" w:cs="Calibri" w:eastAsia="Calibri" w:hAnsi="Calibri"/>
          <w:color w:val="1A1A1A"/>
          <w:sz w:val="20"/>
          <w:szCs w:val="20"/>
        </w:rPr>
        <w:t xml:space="preserve"> ont reconnu la compétence de la Cour interaméricaine, sur les 35 membres de l’Organisation des États américains.</w:t>
      </w:r>
    </w:p>
    <w:p>
      <w:pPr>
        <w:pStyle w:val="ListParagraph"/>
        <w:numPr>
          <w:ilvl w:val="0"/>
          <w:numId w:val="2"/>
        </w:numPr>
        <w:spacing w:after="70" w:line="264"/>
        <w:jc w:val="both"/>
      </w:pPr>
      <w:r>
        <w:rPr>
          <w:rFonts w:ascii="Calibri" w:cs="Calibri" w:eastAsia="Calibri" w:hAnsi="Calibri"/>
          <w:b/>
          <w:bCs/>
          <w:color w:val="1A1A1A"/>
          <w:sz w:val="20"/>
          <w:szCs w:val="20"/>
        </w:rPr>
        <w:t xml:space="preserve">Devant la Cour interaméricaine, il n’existe pas de recours individuel direct</w:t>
      </w:r>
      <w:r>
        <w:rPr>
          <w:rFonts w:ascii="Calibri" w:cs="Calibri" w:eastAsia="Calibri" w:hAnsi="Calibri"/>
          <w:color w:val="1A1A1A"/>
          <w:sz w:val="20"/>
          <w:szCs w:val="20"/>
        </w:rPr>
        <w:t xml:space="preserve"> : la saisine appartient à un État membre de l’Organisation ou à la Commission. C’est la différence majeure avec le système européen.</w:t>
      </w:r>
    </w:p>
    <w:p>
      <w:pPr>
        <w:pStyle w:val="ListParagraph"/>
        <w:numPr>
          <w:ilvl w:val="0"/>
          <w:numId w:val="2"/>
        </w:numPr>
        <w:spacing w:after="70" w:line="264"/>
        <w:jc w:val="both"/>
      </w:pPr>
      <w:r>
        <w:rPr>
          <w:rFonts w:ascii="Calibri" w:cs="Calibri" w:eastAsia="Calibri" w:hAnsi="Calibri"/>
          <w:b/>
          <w:bCs/>
          <w:color w:val="1A1A1A"/>
          <w:sz w:val="20"/>
          <w:szCs w:val="20"/>
        </w:rPr>
        <w:t xml:space="preserve">Ne pas parler d’« exécution » des décisions de la Cour arabe</w:t>
      </w:r>
      <w:r>
        <w:rPr>
          <w:rFonts w:ascii="Calibri" w:cs="Calibri" w:eastAsia="Calibri" w:hAnsi="Calibri"/>
          <w:color w:val="1A1A1A"/>
          <w:sz w:val="20"/>
          <w:szCs w:val="20"/>
        </w:rPr>
        <w:t xml:space="preserve"> : elle </w:t>
      </w:r>
      <w:r>
        <w:rPr>
          <w:rFonts w:ascii="Calibri" w:cs="Calibri" w:eastAsia="Calibri" w:hAnsi="Calibri"/>
          <w:b/>
          <w:bCs/>
          <w:color w:val="1A1A1A"/>
          <w:sz w:val="20"/>
          <w:szCs w:val="20"/>
        </w:rPr>
        <w:t xml:space="preserve">n’est pas entrée en vigueur</w:t>
      </w:r>
      <w:r>
        <w:rPr>
          <w:rFonts w:ascii="Calibri" w:cs="Calibri" w:eastAsia="Calibri" w:hAnsi="Calibri"/>
          <w:color w:val="1A1A1A"/>
          <w:sz w:val="20"/>
          <w:szCs w:val="20"/>
        </w:rPr>
        <w:t xml:space="preserve"> et n’a jamais rendu de décision.</w:t>
      </w:r>
    </w:p>
    <w:p>
      <w:r>
        <w:br w:type="page"/>
      </w:r>
    </w:p>
    <w:p>
      <w:pPr>
        <w:pStyle w:val="Heading2"/>
        <w:spacing w:after="120" w:before="280"/>
      </w:pPr>
      <w:r>
        <w:rPr>
          <w:rFonts w:ascii="Calibri" w:cs="Calibri" w:eastAsia="Calibri" w:hAnsi="Calibri"/>
          <w:b/>
          <w:bCs/>
          <w:color w:val="1A1A1A"/>
          <w:sz w:val="24"/>
          <w:szCs w:val="24"/>
        </w:rPr>
        <w:t xml:space="preserve">1. La Cour interaméricaine des droits de l’homme</w:t>
      </w:r>
    </w:p>
    <w:p>
      <w:pPr>
        <w:pStyle w:val="ListParagraph"/>
        <w:numPr>
          <w:ilvl w:val="0"/>
          <w:numId w:val="2"/>
        </w:numPr>
        <w:spacing w:after="70" w:line="264"/>
        <w:jc w:val="both"/>
      </w:pPr>
      <w:r>
        <w:rPr>
          <w:rFonts w:ascii="Calibri" w:cs="Calibri" w:eastAsia="Calibri" w:hAnsi="Calibri"/>
          <w:b/>
          <w:bCs/>
          <w:color w:val="1A1A1A"/>
          <w:sz w:val="20"/>
          <w:szCs w:val="20"/>
        </w:rPr>
        <w:t xml:space="preserve">Textes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Déclaration américaine des droits et devoirs de l’homme, adoptée en 1948 à Bogota</w:t>
      </w:r>
      <w:r>
        <w:rPr>
          <w:rFonts w:ascii="Calibri" w:cs="Calibri" w:eastAsia="Calibri" w:hAnsi="Calibri"/>
          <w:color w:val="1A1A1A"/>
          <w:sz w:val="20"/>
          <w:szCs w:val="20"/>
        </w:rPr>
        <w:t xml:space="preserve"> par les États membres de l’Organisation des États américains, qui compte </w:t>
      </w:r>
      <w:r>
        <w:rPr>
          <w:rFonts w:ascii="Calibri" w:cs="Calibri" w:eastAsia="Calibri" w:hAnsi="Calibri"/>
          <w:b/>
          <w:bCs/>
          <w:color w:val="1A1A1A"/>
          <w:sz w:val="20"/>
          <w:szCs w:val="20"/>
        </w:rPr>
        <w:t xml:space="preserve">35 États membres</w:t>
      </w:r>
      <w:r>
        <w:rPr>
          <w:rFonts w:ascii="Calibri" w:cs="Calibri" w:eastAsia="Calibri" w:hAnsi="Calibri"/>
          <w:color w:val="1A1A1A"/>
          <w:sz w:val="20"/>
          <w:szCs w:val="20"/>
        </w:rPr>
        <w:t xml:space="preserve"> (Secrétaire général : Luis Almagro, Uruguay) ; </w:t>
      </w:r>
      <w:r>
        <w:rPr>
          <w:rFonts w:ascii="Calibri" w:cs="Calibri" w:eastAsia="Calibri" w:hAnsi="Calibri"/>
          <w:color w:val="1E88E5"/>
          <w:sz w:val="20"/>
          <w:szCs w:val="20"/>
        </w:rPr>
        <w:t xml:space="preserve">Convention américaine relative aux droits de l’homme, adoptée en 1969 à San José (Costa Rica)</w:t>
      </w:r>
      <w:r>
        <w:rPr>
          <w:rFonts w:ascii="Calibri" w:cs="Calibri" w:eastAsia="Calibri" w:hAnsi="Calibri"/>
          <w:color w:val="1A1A1A"/>
          <w:sz w:val="20"/>
          <w:szCs w:val="20"/>
        </w:rPr>
        <w:t xml:space="preserve">, entrée en vigueur en </w:t>
      </w:r>
      <w:r>
        <w:rPr>
          <w:rFonts w:ascii="Calibri" w:cs="Calibri" w:eastAsia="Calibri" w:hAnsi="Calibri"/>
          <w:b/>
          <w:bCs/>
          <w:color w:val="1A1A1A"/>
          <w:sz w:val="20"/>
          <w:szCs w:val="20"/>
        </w:rPr>
        <w:t xml:space="preserve">1978</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22 États</w:t>
      </w:r>
      <w:r>
        <w:rPr>
          <w:rFonts w:ascii="Calibri" w:cs="Calibri" w:eastAsia="Calibri" w:hAnsi="Calibri"/>
          <w:color w:val="1A1A1A"/>
          <w:sz w:val="20"/>
          <w:szCs w:val="20"/>
        </w:rPr>
        <w:t xml:space="preserve"> ont reconnu la compétence de la Cour ; les </w:t>
      </w:r>
      <w:r>
        <w:rPr>
          <w:rFonts w:ascii="Calibri" w:cs="Calibri" w:eastAsia="Calibri" w:hAnsi="Calibri"/>
          <w:b/>
          <w:bCs/>
          <w:color w:val="1A1A1A"/>
          <w:sz w:val="20"/>
          <w:szCs w:val="20"/>
        </w:rPr>
        <w:t xml:space="preserve">États-Unis et le Canada ne sont pas parties</w:t>
      </w:r>
      <w:r>
        <w:rPr>
          <w:rFonts w:ascii="Calibri" w:cs="Calibri" w:eastAsia="Calibri" w:hAnsi="Calibri"/>
          <w:color w:val="1A1A1A"/>
          <w:sz w:val="20"/>
          <w:szCs w:val="20"/>
        </w:rPr>
        <w:t xml:space="preserve"> à la Convention. Deux organes : la </w:t>
      </w:r>
      <w:r>
        <w:rPr>
          <w:rFonts w:ascii="Calibri" w:cs="Calibri" w:eastAsia="Calibri" w:hAnsi="Calibri"/>
          <w:b/>
          <w:bCs/>
          <w:color w:val="1A1A1A"/>
          <w:sz w:val="20"/>
          <w:szCs w:val="20"/>
        </w:rPr>
        <w:t xml:space="preserve">Commission</w:t>
      </w:r>
      <w:r>
        <w:rPr>
          <w:rFonts w:ascii="Calibri" w:cs="Calibri" w:eastAsia="Calibri" w:hAnsi="Calibri"/>
          <w:color w:val="1A1A1A"/>
          <w:sz w:val="20"/>
          <w:szCs w:val="20"/>
        </w:rPr>
        <w:t xml:space="preserve"> (dont la création remonte à la Déclaration de 1948) et la </w:t>
      </w:r>
      <w:r>
        <w:rPr>
          <w:rFonts w:ascii="Calibri" w:cs="Calibri" w:eastAsia="Calibri" w:hAnsi="Calibri"/>
          <w:b/>
          <w:bCs/>
          <w:color w:val="1A1A1A"/>
          <w:sz w:val="20"/>
          <w:szCs w:val="20"/>
        </w:rPr>
        <w:t xml:space="preserve">Cour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Commission interaméricaine</w:t>
      </w:r>
      <w:r>
        <w:rPr>
          <w:rFonts w:ascii="Calibri" w:cs="Calibri" w:eastAsia="Calibri" w:hAnsi="Calibri"/>
          <w:color w:val="1A1A1A"/>
          <w:sz w:val="20"/>
          <w:szCs w:val="20"/>
        </w:rPr>
        <w:t xml:space="preserve"> — organe </w:t>
      </w:r>
      <w:r>
        <w:rPr>
          <w:rFonts w:ascii="Calibri" w:cs="Calibri" w:eastAsia="Calibri" w:hAnsi="Calibri"/>
          <w:b/>
          <w:bCs/>
          <w:color w:val="1A1A1A"/>
          <w:sz w:val="20"/>
          <w:szCs w:val="20"/>
        </w:rPr>
        <w:t xml:space="preserve">non juridictionnel</w:t>
      </w:r>
      <w:r>
        <w:rPr>
          <w:rFonts w:ascii="Calibri" w:cs="Calibri" w:eastAsia="Calibri" w:hAnsi="Calibri"/>
          <w:color w:val="1A1A1A"/>
          <w:sz w:val="20"/>
          <w:szCs w:val="20"/>
        </w:rPr>
        <w:t xml:space="preserve"> : 7 membres élus par l’Assemblée générale de l’Organisation pour un mandat de </w:t>
      </w:r>
      <w:r>
        <w:rPr>
          <w:rFonts w:ascii="Calibri" w:cs="Calibri" w:eastAsia="Calibri" w:hAnsi="Calibri"/>
          <w:b/>
          <w:bCs/>
          <w:color w:val="1A1A1A"/>
          <w:sz w:val="20"/>
          <w:szCs w:val="20"/>
        </w:rPr>
        <w:t xml:space="preserve">quatre ans renouvelable une fois</w:t>
      </w:r>
      <w:r>
        <w:rPr>
          <w:rFonts w:ascii="Calibri" w:cs="Calibri" w:eastAsia="Calibri" w:hAnsi="Calibri"/>
          <w:color w:val="1A1A1A"/>
          <w:sz w:val="20"/>
          <w:szCs w:val="20"/>
        </w:rPr>
        <w:t xml:space="preserve"> ; siège à </w:t>
      </w:r>
      <w:r>
        <w:rPr>
          <w:rFonts w:ascii="Calibri" w:cs="Calibri" w:eastAsia="Calibri" w:hAnsi="Calibri"/>
          <w:b/>
          <w:bCs/>
          <w:color w:val="1A1A1A"/>
          <w:sz w:val="20"/>
          <w:szCs w:val="20"/>
        </w:rPr>
        <w:t xml:space="preserve">Washington</w:t>
      </w:r>
      <w:r>
        <w:rPr>
          <w:rFonts w:ascii="Calibri" w:cs="Calibri" w:eastAsia="Calibri" w:hAnsi="Calibri"/>
          <w:color w:val="1A1A1A"/>
          <w:sz w:val="20"/>
          <w:szCs w:val="20"/>
        </w:rPr>
        <w:t xml:space="preserve"> ; compétence : examen des requêtes des États parties avant transmission à la Cour, examen des plaintes et pétitions soumises par une personne ou un groupe de personnes, règlement à l’amiable, enquête, rapports et recommandations. </w:t>
      </w:r>
      <w:r>
        <w:rPr>
          <w:rFonts w:ascii="Calibri" w:cs="Calibri" w:eastAsia="Calibri" w:hAnsi="Calibri"/>
          <w:b/>
          <w:bCs/>
          <w:color w:val="1A1A1A"/>
          <w:sz w:val="20"/>
          <w:szCs w:val="20"/>
        </w:rPr>
        <w:t xml:space="preserve">Recevabilité</w:t>
      </w:r>
      <w:r>
        <w:rPr>
          <w:rFonts w:ascii="Calibri" w:cs="Calibri" w:eastAsia="Calibri" w:hAnsi="Calibri"/>
          <w:color w:val="1A1A1A"/>
          <w:sz w:val="20"/>
          <w:szCs w:val="20"/>
        </w:rPr>
        <w:t xml:space="preserve"> : épuisement des voies de recours internes (sauf absence de procédure, refus d’accès aux voies de recours ou retard injustifié de la décision), délai de </w:t>
      </w:r>
      <w:r>
        <w:rPr>
          <w:rFonts w:ascii="Calibri" w:cs="Calibri" w:eastAsia="Calibri" w:hAnsi="Calibri"/>
          <w:b/>
          <w:bCs/>
          <w:color w:val="1A1A1A"/>
          <w:sz w:val="20"/>
          <w:szCs w:val="20"/>
        </w:rPr>
        <w:t xml:space="preserve">six mois</w:t>
      </w:r>
      <w:r>
        <w:rPr>
          <w:rFonts w:ascii="Calibri" w:cs="Calibri" w:eastAsia="Calibri" w:hAnsi="Calibri"/>
          <w:color w:val="1A1A1A"/>
          <w:sz w:val="20"/>
          <w:szCs w:val="20"/>
        </w:rPr>
        <w:t xml:space="preserve"> après connaissance de la décision définitive, et affaire non examinée antérieurement.</w:t>
      </w:r>
    </w:p>
    <w:p>
      <w:pPr>
        <w:pStyle w:val="ListParagraph"/>
        <w:numPr>
          <w:ilvl w:val="0"/>
          <w:numId w:val="2"/>
        </w:numPr>
        <w:spacing w:after="70" w:line="264"/>
        <w:jc w:val="both"/>
      </w:pPr>
      <w:r>
        <w:rPr>
          <w:rFonts w:ascii="Calibri" w:cs="Calibri" w:eastAsia="Calibri" w:hAnsi="Calibri"/>
          <w:b/>
          <w:bCs/>
          <w:color w:val="1A1A1A"/>
          <w:sz w:val="20"/>
          <w:szCs w:val="20"/>
        </w:rPr>
        <w:t xml:space="preserve">La Cour interaméricaine</w:t>
      </w:r>
      <w:r>
        <w:rPr>
          <w:rFonts w:ascii="Calibri" w:cs="Calibri" w:eastAsia="Calibri" w:hAnsi="Calibri"/>
          <w:color w:val="1A1A1A"/>
          <w:sz w:val="20"/>
          <w:szCs w:val="20"/>
        </w:rPr>
        <w:t xml:space="preserve"> — organe </w:t>
      </w:r>
      <w:r>
        <w:rPr>
          <w:rFonts w:ascii="Calibri" w:cs="Calibri" w:eastAsia="Calibri" w:hAnsi="Calibri"/>
          <w:b/>
          <w:bCs/>
          <w:color w:val="1A1A1A"/>
          <w:sz w:val="20"/>
          <w:szCs w:val="20"/>
        </w:rPr>
        <w:t xml:space="preserve">juridictionnel</w:t>
      </w:r>
      <w:r>
        <w:rPr>
          <w:rFonts w:ascii="Calibri" w:cs="Calibri" w:eastAsia="Calibri" w:hAnsi="Calibri"/>
          <w:color w:val="1A1A1A"/>
          <w:sz w:val="20"/>
          <w:szCs w:val="20"/>
        </w:rPr>
        <w:t xml:space="preserve"> : 7 juges élus par l’Assemblée générale de l’Organisation pour un mandat de </w:t>
      </w:r>
      <w:r>
        <w:rPr>
          <w:rFonts w:ascii="Calibri" w:cs="Calibri" w:eastAsia="Calibri" w:hAnsi="Calibri"/>
          <w:b/>
          <w:bCs/>
          <w:color w:val="1A1A1A"/>
          <w:sz w:val="20"/>
          <w:szCs w:val="20"/>
        </w:rPr>
        <w:t xml:space="preserve">six ans renouvelable une fois</w:t>
      </w:r>
      <w:r>
        <w:rPr>
          <w:rFonts w:ascii="Calibri" w:cs="Calibri" w:eastAsia="Calibri" w:hAnsi="Calibri"/>
          <w:color w:val="1A1A1A"/>
          <w:sz w:val="20"/>
          <w:szCs w:val="20"/>
        </w:rPr>
        <w:t xml:space="preserve"> ; siège à </w:t>
      </w:r>
      <w:r>
        <w:rPr>
          <w:rFonts w:ascii="Calibri" w:cs="Calibri" w:eastAsia="Calibri" w:hAnsi="Calibri"/>
          <w:b/>
          <w:bCs/>
          <w:color w:val="1A1A1A"/>
          <w:sz w:val="20"/>
          <w:szCs w:val="20"/>
        </w:rPr>
        <w:t xml:space="preserve">San José</w:t>
      </w:r>
      <w:r>
        <w:rPr>
          <w:rFonts w:ascii="Calibri" w:cs="Calibri" w:eastAsia="Calibri" w:hAnsi="Calibri"/>
          <w:color w:val="1A1A1A"/>
          <w:sz w:val="20"/>
          <w:szCs w:val="20"/>
        </w:rPr>
        <w:t xml:space="preserve"> (Costa Rica). </w:t>
      </w:r>
      <w:r>
        <w:rPr>
          <w:rFonts w:ascii="Calibri" w:cs="Calibri" w:eastAsia="Calibri" w:hAnsi="Calibri"/>
          <w:b/>
          <w:bCs/>
          <w:color w:val="1A1A1A"/>
          <w:sz w:val="20"/>
          <w:szCs w:val="20"/>
        </w:rPr>
        <w:t xml:space="preserve">Compétence consultative</w:t>
      </w:r>
      <w:r>
        <w:rPr>
          <w:rFonts w:ascii="Calibri" w:cs="Calibri" w:eastAsia="Calibri" w:hAnsi="Calibri"/>
          <w:color w:val="1A1A1A"/>
          <w:sz w:val="20"/>
          <w:szCs w:val="20"/>
        </w:rPr>
        <w:t xml:space="preserve"> : avis sur l’interprétation de la Convention américaine ou des traités relatifs aux droits humains en Amérique, à la demande d’un organe de l’Organisation ou d’un État membre. </w:t>
      </w:r>
      <w:r>
        <w:rPr>
          <w:rFonts w:ascii="Calibri" w:cs="Calibri" w:eastAsia="Calibri" w:hAnsi="Calibri"/>
          <w:b/>
          <w:bCs/>
          <w:color w:val="1A1A1A"/>
          <w:sz w:val="20"/>
          <w:szCs w:val="20"/>
        </w:rPr>
        <w:t xml:space="preserve">Compétence contentieuse</w:t>
      </w:r>
      <w:r>
        <w:rPr>
          <w:rFonts w:ascii="Calibri" w:cs="Calibri" w:eastAsia="Calibri" w:hAnsi="Calibri"/>
          <w:color w:val="1A1A1A"/>
          <w:sz w:val="20"/>
          <w:szCs w:val="20"/>
        </w:rPr>
        <w:t xml:space="preserve"> : saisine par un État membre ou par la Commission — </w:t>
      </w:r>
      <w:r>
        <w:rPr>
          <w:rFonts w:ascii="Calibri" w:cs="Calibri" w:eastAsia="Calibri" w:hAnsi="Calibri"/>
          <w:b/>
          <w:bCs/>
          <w:color w:val="1A1A1A"/>
          <w:sz w:val="20"/>
          <w:szCs w:val="20"/>
        </w:rPr>
        <w:t xml:space="preserve">pas de recours individuel direct</w:t>
      </w:r>
      <w:r>
        <w:rPr>
          <w:rFonts w:ascii="Calibri" w:cs="Calibri" w:eastAsia="Calibri" w:hAnsi="Calibri"/>
          <w:color w:val="1A1A1A"/>
          <w:sz w:val="20"/>
          <w:szCs w:val="20"/>
        </w:rPr>
        <w:t xml:space="preserve"> — pour statuer sur la violation d’un droit ou d’une liberté et prononcer des mesures provisoires. La procédure contentieuse intervient en cas d’échec de la procédure devant la Commission et de non-respect de ses recommandations par un État.</w:t>
      </w:r>
    </w:p>
    <w:p>
      <w:pPr>
        <w:pStyle w:val="ListParagraph"/>
        <w:numPr>
          <w:ilvl w:val="0"/>
          <w:numId w:val="2"/>
        </w:numPr>
        <w:spacing w:after="70" w:line="264"/>
        <w:jc w:val="both"/>
      </w:pPr>
      <w:r>
        <w:rPr>
          <w:rFonts w:ascii="Calibri" w:cs="Calibri" w:eastAsia="Calibri" w:hAnsi="Calibri"/>
          <w:b/>
          <w:bCs/>
          <w:color w:val="1A1A1A"/>
          <w:sz w:val="20"/>
          <w:szCs w:val="20"/>
        </w:rPr>
        <w:t xml:space="preserve">Rapports de la Commission (2023)</w:t>
      </w:r>
      <w:r>
        <w:rPr>
          <w:rFonts w:ascii="Calibri" w:cs="Calibri" w:eastAsia="Calibri" w:hAnsi="Calibri"/>
          <w:color w:val="1A1A1A"/>
          <w:sz w:val="20"/>
          <w:szCs w:val="20"/>
        </w:rPr>
        <w:t xml:space="preserve"> : femmes privées de liberté dans les Amériques ; criminalité organisée et droits des enfants, des adolescents et des jeunes ; situation des défenseurs de l’environnement en Amérique centrale et du Nord ; personnes réfugiées et migrantes arrivées du Venezuela.</w:t>
      </w:r>
    </w:p>
    <w:p>
      <w:pPr>
        <w:pStyle w:val="ListParagraph"/>
        <w:numPr>
          <w:ilvl w:val="0"/>
          <w:numId w:val="2"/>
        </w:numPr>
        <w:spacing w:after="70" w:line="264"/>
        <w:jc w:val="both"/>
      </w:pPr>
      <w:r>
        <w:rPr>
          <w:rFonts w:ascii="Calibri" w:cs="Calibri" w:eastAsia="Calibri" w:hAnsi="Calibri"/>
          <w:b/>
          <w:bCs/>
          <w:color w:val="1A1A1A"/>
          <w:sz w:val="20"/>
          <w:szCs w:val="20"/>
        </w:rPr>
        <w:t xml:space="preserve">Conventions interaméricaines spécifiques</w:t>
      </w:r>
      <w:r>
        <w:rPr>
          <w:rFonts w:ascii="Calibri" w:cs="Calibri" w:eastAsia="Calibri" w:hAnsi="Calibri"/>
          <w:color w:val="1A1A1A"/>
          <w:sz w:val="20"/>
          <w:szCs w:val="20"/>
        </w:rPr>
        <w:t xml:space="preserve"> : prévention et répression de la torture ; Protocole additionnel relatif aux droits économiques, sociaux et culturels ; Protocole sur l’abolition de la peine de mort ; prévention, sanction et élimination de la violence contre la femme ; disparition forcée des personnes ; élimination de toutes les formes de discrimination contre les personnes handicapées ; lutte contre toutes les formes de discrimination.</w:t>
      </w:r>
    </w:p>
    <w:p>
      <w:pPr>
        <w:pStyle w:val="Heading2"/>
        <w:spacing w:after="120" w:before="280"/>
      </w:pPr>
      <w:r>
        <w:rPr>
          <w:rFonts w:ascii="Calibri" w:cs="Calibri" w:eastAsia="Calibri" w:hAnsi="Calibri"/>
          <w:b/>
          <w:bCs/>
          <w:color w:val="1A1A1A"/>
          <w:sz w:val="24"/>
          <w:szCs w:val="24"/>
        </w:rPr>
        <w:t xml:space="preserve">2. La Cour africaine des droits de l’homme et des peuples</w:t>
      </w:r>
    </w:p>
    <w:p>
      <w:pPr>
        <w:pStyle w:val="ListParagraph"/>
        <w:numPr>
          <w:ilvl w:val="0"/>
          <w:numId w:val="2"/>
        </w:numPr>
        <w:spacing w:after="70" w:line="264"/>
        <w:jc w:val="both"/>
      </w:pPr>
      <w:r>
        <w:rPr>
          <w:rFonts w:ascii="Calibri" w:cs="Calibri" w:eastAsia="Calibri" w:hAnsi="Calibri"/>
          <w:b/>
          <w:bCs/>
          <w:color w:val="1A1A1A"/>
          <w:sz w:val="20"/>
          <w:szCs w:val="20"/>
        </w:rPr>
        <w:t xml:space="preserve">Genèse</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Charte africaine des droits de l’homme et des peuples de 1981</w:t>
      </w:r>
      <w:r>
        <w:rPr>
          <w:rFonts w:ascii="Calibri" w:cs="Calibri" w:eastAsia="Calibri" w:hAnsi="Calibri"/>
          <w:color w:val="1A1A1A"/>
          <w:sz w:val="20"/>
          <w:szCs w:val="20"/>
        </w:rPr>
        <w:t xml:space="preserve"> ne prévoyait pas de juridiction. Une </w:t>
      </w:r>
      <w:r>
        <w:rPr>
          <w:rFonts w:ascii="Calibri" w:cs="Calibri" w:eastAsia="Calibri" w:hAnsi="Calibri"/>
          <w:b/>
          <w:bCs/>
          <w:color w:val="1A1A1A"/>
          <w:sz w:val="20"/>
          <w:szCs w:val="20"/>
        </w:rPr>
        <w:t xml:space="preserve">Commission africaine</w:t>
      </w:r>
      <w:r>
        <w:rPr>
          <w:rFonts w:ascii="Calibri" w:cs="Calibri" w:eastAsia="Calibri" w:hAnsi="Calibri"/>
          <w:color w:val="1A1A1A"/>
          <w:sz w:val="20"/>
          <w:szCs w:val="20"/>
        </w:rPr>
        <w:t xml:space="preserve"> fut créée en </w:t>
      </w:r>
      <w:r>
        <w:rPr>
          <w:rFonts w:ascii="Calibri" w:cs="Calibri" w:eastAsia="Calibri" w:hAnsi="Calibri"/>
          <w:b/>
          <w:bCs/>
          <w:color w:val="1A1A1A"/>
          <w:sz w:val="20"/>
          <w:szCs w:val="20"/>
        </w:rPr>
        <w:t xml:space="preserve">1987</w:t>
      </w:r>
      <w:r>
        <w:rPr>
          <w:rFonts w:ascii="Calibri" w:cs="Calibri" w:eastAsia="Calibri" w:hAnsi="Calibri"/>
          <w:color w:val="1A1A1A"/>
          <w:sz w:val="20"/>
          <w:szCs w:val="20"/>
        </w:rPr>
        <w:t xml:space="preserve">, qui, en vertu de l’</w:t>
      </w:r>
      <w:r>
        <w:rPr>
          <w:rFonts w:ascii="Calibri" w:cs="Calibri" w:eastAsia="Calibri" w:hAnsi="Calibri"/>
          <w:color w:val="1E88E5"/>
          <w:sz w:val="20"/>
          <w:szCs w:val="20"/>
        </w:rPr>
        <w:t xml:space="preserve">art. 45 de la Charte</w:t>
      </w:r>
      <w:r>
        <w:rPr>
          <w:rFonts w:ascii="Calibri" w:cs="Calibri" w:eastAsia="Calibri" w:hAnsi="Calibri"/>
          <w:color w:val="1A1A1A"/>
          <w:sz w:val="20"/>
          <w:szCs w:val="20"/>
        </w:rPr>
        <w:t xml:space="preserve">, promeut les droits humains et des peuples, les protège et interprète la Charte. Le </w:t>
      </w:r>
      <w:r>
        <w:rPr>
          <w:rFonts w:ascii="Calibri" w:cs="Calibri" w:eastAsia="Calibri" w:hAnsi="Calibri"/>
          <w:color w:val="1E88E5"/>
          <w:sz w:val="20"/>
          <w:szCs w:val="20"/>
        </w:rPr>
        <w:t xml:space="preserve">Protocole de 1998</w:t>
      </w:r>
      <w:r>
        <w:rPr>
          <w:rFonts w:ascii="Calibri" w:cs="Calibri" w:eastAsia="Calibri" w:hAnsi="Calibri"/>
          <w:color w:val="1A1A1A"/>
          <w:sz w:val="20"/>
          <w:szCs w:val="20"/>
        </w:rPr>
        <w:t xml:space="preserve">, adopté par les États parties à l’Organisation de l’Unité africaine à </w:t>
      </w:r>
      <w:r>
        <w:rPr>
          <w:rFonts w:ascii="Calibri" w:cs="Calibri" w:eastAsia="Calibri" w:hAnsi="Calibri"/>
          <w:b/>
          <w:bCs/>
          <w:color w:val="1A1A1A"/>
          <w:sz w:val="20"/>
          <w:szCs w:val="20"/>
        </w:rPr>
        <w:t xml:space="preserve">Ouagadougou</w:t>
      </w:r>
      <w:r>
        <w:rPr>
          <w:rFonts w:ascii="Calibri" w:cs="Calibri" w:eastAsia="Calibri" w:hAnsi="Calibri"/>
          <w:color w:val="1A1A1A"/>
          <w:sz w:val="20"/>
          <w:szCs w:val="20"/>
        </w:rPr>
        <w:t xml:space="preserve">, institue en son article premier la Cour africaine ; il est entré en vigueur en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Siège à </w:t>
      </w:r>
      <w:r>
        <w:rPr>
          <w:rFonts w:ascii="Calibri" w:cs="Calibri" w:eastAsia="Calibri" w:hAnsi="Calibri"/>
          <w:b/>
          <w:bCs/>
          <w:color w:val="1A1A1A"/>
          <w:sz w:val="20"/>
          <w:szCs w:val="20"/>
        </w:rPr>
        <w:t xml:space="preserve">Arusha</w:t>
      </w:r>
      <w:r>
        <w:rPr>
          <w:rFonts w:ascii="Calibri" w:cs="Calibri" w:eastAsia="Calibri" w:hAnsi="Calibri"/>
          <w:color w:val="1A1A1A"/>
          <w:sz w:val="20"/>
          <w:szCs w:val="20"/>
        </w:rPr>
        <w:t xml:space="preserve"> (Tanzanie). Sur les </w:t>
      </w:r>
      <w:r>
        <w:rPr>
          <w:rFonts w:ascii="Calibri" w:cs="Calibri" w:eastAsia="Calibri" w:hAnsi="Calibri"/>
          <w:b/>
          <w:bCs/>
          <w:color w:val="1A1A1A"/>
          <w:sz w:val="20"/>
          <w:szCs w:val="20"/>
        </w:rPr>
        <w:t xml:space="preserve">55 États</w:t>
      </w:r>
      <w:r>
        <w:rPr>
          <w:rFonts w:ascii="Calibri" w:cs="Calibri" w:eastAsia="Calibri" w:hAnsi="Calibri"/>
          <w:color w:val="1A1A1A"/>
          <w:sz w:val="20"/>
          <w:szCs w:val="20"/>
        </w:rPr>
        <w:t xml:space="preserve"> membres de l’Union africaine, </w:t>
      </w:r>
      <w:r>
        <w:rPr>
          <w:rFonts w:ascii="Calibri" w:cs="Calibri" w:eastAsia="Calibri" w:hAnsi="Calibri"/>
          <w:b/>
          <w:bCs/>
          <w:color w:val="1A1A1A"/>
          <w:sz w:val="20"/>
          <w:szCs w:val="20"/>
        </w:rPr>
        <w:t xml:space="preserve">34 ont ratifié le protocole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Composition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onze juges</w:t>
      </w:r>
      <w:r>
        <w:rPr>
          <w:rFonts w:ascii="Calibri" w:cs="Calibri" w:eastAsia="Calibri" w:hAnsi="Calibri"/>
          <w:color w:val="1A1A1A"/>
          <w:sz w:val="20"/>
          <w:szCs w:val="20"/>
        </w:rPr>
        <w:t xml:space="preserve"> élus, ressortissants d’États membres de l’Union africaine, mandat de </w:t>
      </w:r>
      <w:r>
        <w:rPr>
          <w:rFonts w:ascii="Calibri" w:cs="Calibri" w:eastAsia="Calibri" w:hAnsi="Calibri"/>
          <w:b/>
          <w:bCs/>
          <w:color w:val="1A1A1A"/>
          <w:sz w:val="20"/>
          <w:szCs w:val="20"/>
        </w:rPr>
        <w:t xml:space="preserve">six ans renouvelable une fois</w:t>
      </w:r>
      <w:r>
        <w:rPr>
          <w:rFonts w:ascii="Calibri" w:cs="Calibri" w:eastAsia="Calibri" w:hAnsi="Calibri"/>
          <w:color w:val="1A1A1A"/>
          <w:sz w:val="20"/>
          <w:szCs w:val="20"/>
        </w:rPr>
        <w:t xml:space="preserve">. Présidente : la juge </w:t>
      </w:r>
      <w:r>
        <w:rPr>
          <w:rFonts w:ascii="Calibri" w:cs="Calibri" w:eastAsia="Calibri" w:hAnsi="Calibri"/>
          <w:b/>
          <w:bCs/>
          <w:color w:val="1A1A1A"/>
          <w:sz w:val="20"/>
          <w:szCs w:val="20"/>
        </w:rPr>
        <w:t xml:space="preserve">Imani Daud Aboub</w:t>
      </w:r>
      <w:r>
        <w:rPr>
          <w:rFonts w:ascii="Calibri" w:cs="Calibri" w:eastAsia="Calibri" w:hAnsi="Calibri"/>
          <w:color w:val="1A1A1A"/>
          <w:sz w:val="20"/>
          <w:szCs w:val="20"/>
        </w:rPr>
        <w:t xml:space="preserve"> (Tanzanie) ; vice-président : le juge </w:t>
      </w:r>
      <w:r>
        <w:rPr>
          <w:rFonts w:ascii="Calibri" w:cs="Calibri" w:eastAsia="Calibri" w:hAnsi="Calibri"/>
          <w:b/>
          <w:bCs/>
          <w:color w:val="1A1A1A"/>
          <w:sz w:val="20"/>
          <w:szCs w:val="20"/>
        </w:rPr>
        <w:t xml:space="preserve">Sacko Modibo</w:t>
      </w:r>
      <w:r>
        <w:rPr>
          <w:rFonts w:ascii="Calibri" w:cs="Calibri" w:eastAsia="Calibri" w:hAnsi="Calibri"/>
          <w:color w:val="1A1A1A"/>
          <w:sz w:val="20"/>
          <w:szCs w:val="20"/>
        </w:rPr>
        <w:t xml:space="preserve"> (Mali) ; ils composent le Bureau de la Cour, élus pour deux ans, mandat renouvelable une fois.</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Compétences</w:t>
      </w:r>
      <w:r>
        <w:rPr>
          <w:rFonts w:ascii="Calibri" w:cs="Calibri" w:eastAsia="Calibri" w:hAnsi="Calibri"/>
          <w:color w:val="1A1A1A"/>
          <w:sz w:val="20"/>
          <w:szCs w:val="20"/>
        </w:rPr>
        <w:t xml:space="preserve"> — le règlement intérieur, modifié en 2010 puis en </w:t>
      </w:r>
      <w:r>
        <w:rPr>
          <w:rFonts w:ascii="Calibri" w:cs="Calibri" w:eastAsia="Calibri" w:hAnsi="Calibri"/>
          <w:b/>
          <w:bCs/>
          <w:color w:val="1A1A1A"/>
          <w:sz w:val="20"/>
          <w:szCs w:val="20"/>
        </w:rPr>
        <w:t xml:space="preserve">2020</w:t>
      </w:r>
      <w:r>
        <w:rPr>
          <w:rFonts w:ascii="Calibri" w:cs="Calibri" w:eastAsia="Calibri" w:hAnsi="Calibri"/>
          <w:color w:val="1A1A1A"/>
          <w:sz w:val="20"/>
          <w:szCs w:val="20"/>
        </w:rPr>
        <w:t xml:space="preserve">, prévoit un double volet à la </w:t>
      </w:r>
      <w:r>
        <w:rPr>
          <w:rFonts w:ascii="Calibri" w:cs="Calibri" w:eastAsia="Calibri" w:hAnsi="Calibri"/>
          <w:color w:val="1E88E5"/>
          <w:sz w:val="20"/>
          <w:szCs w:val="20"/>
        </w:rPr>
        <w:t xml:space="preserve">règle 29</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Contentieuse</w:t>
      </w:r>
      <w:r>
        <w:rPr>
          <w:rFonts w:ascii="Calibri" w:cs="Calibri" w:eastAsia="Calibri" w:hAnsi="Calibri"/>
          <w:color w:val="1A1A1A"/>
          <w:sz w:val="20"/>
          <w:szCs w:val="20"/>
        </w:rPr>
        <w:t xml:space="preserve"> : « connaître de toutes les affaires et de tous les différends dont elle est saisie concernant l’interprétation et l’application de la Charte, du Protocole et de tout autre instrument pertinent relatif aux droits de l’homme et ratifié par les États concernés » ; « tenter de régler à l’amiable les affaires qui lui sont soumises » ; « interpréter une décision qu’elle a rendue » ; « réviser sa décision ». </w:t>
      </w:r>
      <w:r>
        <w:rPr>
          <w:rFonts w:ascii="Calibri" w:cs="Calibri" w:eastAsia="Calibri" w:hAnsi="Calibri"/>
          <w:b/>
          <w:bCs/>
          <w:color w:val="1A1A1A"/>
          <w:sz w:val="20"/>
          <w:szCs w:val="20"/>
        </w:rPr>
        <w:t xml:space="preserve">Consultative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29</w:t>
      </w:r>
      <w:r>
        <w:rPr>
          <w:rFonts w:ascii="Calibri" w:cs="Calibri" w:eastAsia="Calibri" w:hAnsi="Calibri"/>
          <w:color w:val="1A1A1A"/>
          <w:sz w:val="20"/>
          <w:szCs w:val="20"/>
        </w:rPr>
        <w:t xml:space="preserve">) : avis sur des questions juridiques tenant à la Charte ou à d’autres textes relatifs aux droits de l’homme, à la demande d’un État membre, de l’Union africaine ou de ses organes.</w:t>
      </w:r>
    </w:p>
    <w:p>
      <w:pPr>
        <w:pStyle w:val="ListParagraph"/>
        <w:numPr>
          <w:ilvl w:val="0"/>
          <w:numId w:val="2"/>
        </w:numPr>
        <w:spacing w:after="70" w:line="264"/>
        <w:jc w:val="both"/>
      </w:pPr>
      <w:r>
        <w:rPr>
          <w:rFonts w:ascii="Calibri" w:cs="Calibri" w:eastAsia="Calibri" w:hAnsi="Calibri"/>
          <w:b/>
          <w:bCs/>
          <w:color w:val="1A1A1A"/>
          <w:sz w:val="20"/>
          <w:szCs w:val="20"/>
        </w:rPr>
        <w:t xml:space="preserve">Saisine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39 du règlement</w:t>
      </w:r>
      <w:r>
        <w:rPr>
          <w:rFonts w:ascii="Calibri" w:cs="Calibri" w:eastAsia="Calibri" w:hAnsi="Calibri"/>
          <w:color w:val="1A1A1A"/>
          <w:sz w:val="20"/>
          <w:szCs w:val="20"/>
        </w:rPr>
        <w:t xml:space="preserve">) : la Commission ; l’État partie à la Commission ; l’État partie contre lequel une plainte a été introduite devant la Commission ; l’État partie dont le ressortissant est victime d’une violation ; les organisations intergouvernementales africaines ; un </w:t>
      </w:r>
      <w:r>
        <w:rPr>
          <w:rFonts w:ascii="Calibri" w:cs="Calibri" w:eastAsia="Calibri" w:hAnsi="Calibri"/>
          <w:b/>
          <w:bCs/>
          <w:color w:val="1A1A1A"/>
          <w:sz w:val="20"/>
          <w:szCs w:val="20"/>
        </w:rPr>
        <w:t xml:space="preserve">individu ou une organisation non gouvernementale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59</w:t>
      </w:r>
      <w:r>
        <w:rPr>
          <w:rFonts w:ascii="Calibri" w:cs="Calibri" w:eastAsia="Calibri" w:hAnsi="Calibri"/>
          <w:color w:val="1A1A1A"/>
          <w:sz w:val="20"/>
          <w:szCs w:val="20"/>
        </w:rPr>
        <w:t xml:space="preserve"> : mesures provisoires en cas d’« </w:t>
      </w:r>
      <w:r>
        <w:rPr>
          <w:rFonts w:ascii="Calibri" w:cs="Calibri" w:eastAsia="Calibri" w:hAnsi="Calibri"/>
          <w:i/>
          <w:iCs/>
          <w:color w:val="1A1A1A"/>
          <w:sz w:val="20"/>
          <w:szCs w:val="20"/>
        </w:rPr>
        <w:t xml:space="preserve">extrême gravité ou d’urgence et lorsqu’il s’avère nécessaire d’éviter des dommages irréparables à des personnes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72</w:t>
      </w:r>
      <w:r>
        <w:rPr>
          <w:rFonts w:ascii="Calibri" w:cs="Calibri" w:eastAsia="Calibri" w:hAnsi="Calibri"/>
          <w:color w:val="1A1A1A"/>
          <w:sz w:val="20"/>
          <w:szCs w:val="20"/>
        </w:rPr>
        <w:t xml:space="preserve"> : caractère </w:t>
      </w:r>
      <w:r>
        <w:rPr>
          <w:rFonts w:ascii="Calibri" w:cs="Calibri" w:eastAsia="Calibri" w:hAnsi="Calibri"/>
          <w:b/>
          <w:bCs/>
          <w:color w:val="1A1A1A"/>
          <w:sz w:val="20"/>
          <w:szCs w:val="20"/>
        </w:rPr>
        <w:t xml:space="preserve">obligatoire et exécutoire</w:t>
      </w:r>
      <w:r>
        <w:rPr>
          <w:rFonts w:ascii="Calibri" w:cs="Calibri" w:eastAsia="Calibri" w:hAnsi="Calibri"/>
          <w:color w:val="1A1A1A"/>
          <w:sz w:val="20"/>
          <w:szCs w:val="20"/>
        </w:rPr>
        <w:t xml:space="preserve"> des décisions pour les parties. </w:t>
      </w:r>
      <w:r>
        <w:rPr>
          <w:rFonts w:ascii="Calibri" w:cs="Calibri" w:eastAsia="Calibri" w:hAnsi="Calibri"/>
          <w:b/>
          <w:bCs/>
          <w:color w:val="1A1A1A"/>
          <w:sz w:val="20"/>
          <w:szCs w:val="20"/>
        </w:rPr>
        <w:t xml:space="preserve">Limite majeure</w:t>
      </w:r>
      <w:r>
        <w:rPr>
          <w:rFonts w:ascii="Calibri" w:cs="Calibri" w:eastAsia="Calibri" w:hAnsi="Calibri"/>
          <w:color w:val="1A1A1A"/>
          <w:sz w:val="20"/>
          <w:szCs w:val="20"/>
        </w:rPr>
        <w:t xml:space="preserve"> : sur les 34 États ayant ratifié le protocole, </w:t>
      </w:r>
      <w:r>
        <w:rPr>
          <w:rFonts w:ascii="Calibri" w:cs="Calibri" w:eastAsia="Calibri" w:hAnsi="Calibri"/>
          <w:b/>
          <w:bCs/>
          <w:color w:val="1A1A1A"/>
          <w:sz w:val="20"/>
          <w:szCs w:val="20"/>
        </w:rPr>
        <w:t xml:space="preserve">seuls quelques États</w:t>
      </w:r>
      <w:r>
        <w:rPr>
          <w:rFonts w:ascii="Calibri" w:cs="Calibri" w:eastAsia="Calibri" w:hAnsi="Calibri"/>
          <w:color w:val="1A1A1A"/>
          <w:sz w:val="20"/>
          <w:szCs w:val="20"/>
        </w:rPr>
        <w:t xml:space="preserve"> ont reconnu la compétence de la Cour pour les requêtes émanant des individus et des ONG.</w:t>
      </w:r>
    </w:p>
    <w:p>
      <w:pPr>
        <w:pStyle w:val="ListParagraph"/>
        <w:numPr>
          <w:ilvl w:val="0"/>
          <w:numId w:val="2"/>
        </w:numPr>
        <w:spacing w:after="70" w:line="264"/>
        <w:jc w:val="both"/>
      </w:pPr>
      <w:r>
        <w:rPr>
          <w:rFonts w:ascii="Calibri" w:cs="Calibri" w:eastAsia="Calibri" w:hAnsi="Calibri"/>
          <w:b/>
          <w:bCs/>
          <w:color w:val="1A1A1A"/>
          <w:sz w:val="20"/>
          <w:szCs w:val="20"/>
        </w:rPr>
        <w:t xml:space="preserve">Activité</w:t>
      </w:r>
      <w:r>
        <w:rPr>
          <w:rFonts w:ascii="Calibri" w:cs="Calibri" w:eastAsia="Calibri" w:hAnsi="Calibri"/>
          <w:color w:val="1A1A1A"/>
          <w:sz w:val="20"/>
          <w:szCs w:val="20"/>
        </w:rPr>
        <w:t xml:space="preserve"> : selon le rapport d’activité de 2024, depuis qu’elle est opérationnelle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la Cour a reçu </w:t>
      </w:r>
      <w:r>
        <w:rPr>
          <w:rFonts w:ascii="Calibri" w:cs="Calibri" w:eastAsia="Calibri" w:hAnsi="Calibri"/>
          <w:b/>
          <w:bCs/>
          <w:color w:val="1A1A1A"/>
          <w:sz w:val="20"/>
          <w:szCs w:val="20"/>
        </w:rPr>
        <w:t xml:space="preserve">366 requêtes</w:t>
      </w:r>
      <w:r>
        <w:rPr>
          <w:rFonts w:ascii="Calibri" w:cs="Calibri" w:eastAsia="Calibri" w:hAnsi="Calibri"/>
          <w:color w:val="1A1A1A"/>
          <w:sz w:val="20"/>
          <w:szCs w:val="20"/>
        </w:rPr>
        <w:t xml:space="preserve"> contentieuses et </w:t>
      </w:r>
      <w:r>
        <w:rPr>
          <w:rFonts w:ascii="Calibri" w:cs="Calibri" w:eastAsia="Calibri" w:hAnsi="Calibri"/>
          <w:b/>
          <w:bCs/>
          <w:color w:val="1A1A1A"/>
          <w:sz w:val="20"/>
          <w:szCs w:val="20"/>
        </w:rPr>
        <w:t xml:space="preserve">16 demandes d’avis consultatifs</w:t>
      </w:r>
      <w:r>
        <w:rPr>
          <w:rFonts w:ascii="Calibri" w:cs="Calibri" w:eastAsia="Calibri" w:hAnsi="Calibri"/>
          <w:color w:val="1A1A1A"/>
          <w:sz w:val="20"/>
          <w:szCs w:val="20"/>
        </w:rPr>
        <w:t xml:space="preserve"> ; elle a statué sur 253 requêtes et 16 demandes d’avis ; plus de </w:t>
      </w:r>
      <w:r>
        <w:rPr>
          <w:rFonts w:ascii="Calibri" w:cs="Calibri" w:eastAsia="Calibri" w:hAnsi="Calibri"/>
          <w:b/>
          <w:bCs/>
          <w:color w:val="1A1A1A"/>
          <w:sz w:val="20"/>
          <w:szCs w:val="20"/>
        </w:rPr>
        <w:t xml:space="preserve">110 requêtes</w:t>
      </w:r>
      <w:r>
        <w:rPr>
          <w:rFonts w:ascii="Calibri" w:cs="Calibri" w:eastAsia="Calibri" w:hAnsi="Calibri"/>
          <w:color w:val="1A1A1A"/>
          <w:sz w:val="20"/>
          <w:szCs w:val="20"/>
        </w:rPr>
        <w:t xml:space="preserve"> sont pendantes.</w:t>
      </w:r>
    </w:p>
    <w:p>
      <w:pPr>
        <w:pStyle w:val="ListParagraph"/>
        <w:numPr>
          <w:ilvl w:val="0"/>
          <w:numId w:val="2"/>
        </w:numPr>
        <w:spacing w:after="70" w:line="264"/>
        <w:jc w:val="both"/>
      </w:pPr>
      <w:r>
        <w:rPr>
          <w:rFonts w:ascii="Calibri" w:cs="Calibri" w:eastAsia="Calibri" w:hAnsi="Calibri"/>
          <w:b/>
          <w:bCs/>
          <w:color w:val="1A1A1A"/>
          <w:sz w:val="20"/>
          <w:szCs w:val="20"/>
        </w:rPr>
        <w:t xml:space="preserve">Avis rendus</w:t>
      </w:r>
      <w:r>
        <w:rPr>
          <w:rFonts w:ascii="Calibri" w:cs="Calibri" w:eastAsia="Calibri" w:hAnsi="Calibri"/>
          <w:color w:val="1A1A1A"/>
          <w:sz w:val="20"/>
          <w:szCs w:val="20"/>
        </w:rPr>
        <w:t xml:space="preserve"> : 28 septembre 2017 (obligations des États en vertu du protocole à la Charte relatif aux droits des femmes en Afrique) ; 4 décembre 2020 (compatibilité des lois sur le </w:t>
      </w:r>
      <w:r>
        <w:rPr>
          <w:rFonts w:ascii="Calibri" w:cs="Calibri" w:eastAsia="Calibri" w:hAnsi="Calibri"/>
          <w:b/>
          <w:bCs/>
          <w:color w:val="1A1A1A"/>
          <w:sz w:val="20"/>
          <w:szCs w:val="20"/>
        </w:rPr>
        <w:t xml:space="preserve">vagabondage</w:t>
      </w:r>
      <w:r>
        <w:rPr>
          <w:rFonts w:ascii="Calibri" w:cs="Calibri" w:eastAsia="Calibri" w:hAnsi="Calibri"/>
          <w:color w:val="1A1A1A"/>
          <w:sz w:val="20"/>
          <w:szCs w:val="20"/>
        </w:rPr>
        <w:t xml:space="preserve"> avec la Charte et les autres instruments applicables, à la demande de l’Union panafricaine des avocats) ; 16 juillet 2021 (droit de participer à la direction des affaires publiques dans un contexte d’élection tenue lors d’une urgence de santé publique ou d’une pandémie). En </w:t>
      </w: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une demande d’avis a été introduite par l’Union panafricaine des avocats sur la </w:t>
      </w:r>
      <w:r>
        <w:rPr>
          <w:rFonts w:ascii="Calibri" w:cs="Calibri" w:eastAsia="Calibri" w:hAnsi="Calibri"/>
          <w:b/>
          <w:bCs/>
          <w:color w:val="1A1A1A"/>
          <w:sz w:val="20"/>
          <w:szCs w:val="20"/>
        </w:rPr>
        <w:t xml:space="preserve">compatibilité de la peine de mort</w:t>
      </w:r>
      <w:r>
        <w:rPr>
          <w:rFonts w:ascii="Calibri" w:cs="Calibri" w:eastAsia="Calibri" w:hAnsi="Calibri"/>
          <w:color w:val="1A1A1A"/>
          <w:sz w:val="20"/>
          <w:szCs w:val="20"/>
        </w:rPr>
        <w:t xml:space="preserve"> avec la Charte africaine.</w:t>
      </w:r>
    </w:p>
    <w:p>
      <w:pPr>
        <w:pStyle w:val="ListParagraph"/>
        <w:numPr>
          <w:ilvl w:val="0"/>
          <w:numId w:val="2"/>
        </w:numPr>
        <w:spacing w:after="70" w:line="264"/>
        <w:jc w:val="both"/>
      </w:pPr>
      <w:r>
        <w:rPr>
          <w:rFonts w:ascii="Calibri" w:cs="Calibri" w:eastAsia="Calibri" w:hAnsi="Calibri"/>
          <w:b/>
          <w:bCs/>
          <w:color w:val="1A1A1A"/>
          <w:sz w:val="20"/>
          <w:szCs w:val="20"/>
        </w:rPr>
        <w:t xml:space="preserve">Complémentarité avec la Commission</w:t>
      </w:r>
      <w:r>
        <w:rPr>
          <w:rFonts w:ascii="Calibri" w:cs="Calibri" w:eastAsia="Calibri" w:hAnsi="Calibri"/>
          <w:color w:val="1A1A1A"/>
          <w:sz w:val="20"/>
          <w:szCs w:val="20"/>
        </w:rPr>
        <w:t xml:space="preserve"> : le chapitre II du règlement intérieur est consacré à la « Complémentarité entre la Cour et la Commission » ; il détaille les modalités de saisine de la Cour par la Commission et précise que la Cour </w:t>
      </w:r>
      <w:r>
        <w:rPr>
          <w:rFonts w:ascii="Calibri" w:cs="Calibri" w:eastAsia="Calibri" w:hAnsi="Calibri"/>
          <w:b/>
          <w:bCs/>
          <w:color w:val="1A1A1A"/>
          <w:sz w:val="20"/>
          <w:szCs w:val="20"/>
        </w:rPr>
        <w:t xml:space="preserve">ne peut pas traiter une requête ou une demande d’avis si l’affaire est pendante devant la Commission</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 Cour arabe des droits de l’homme</w:t>
      </w:r>
    </w:p>
    <w:p>
      <w:pPr>
        <w:pStyle w:val="ListParagraph"/>
        <w:numPr>
          <w:ilvl w:val="0"/>
          <w:numId w:val="2"/>
        </w:numPr>
        <w:spacing w:after="70" w:line="264"/>
        <w:jc w:val="both"/>
      </w:pPr>
      <w:r>
        <w:rPr>
          <w:rFonts w:ascii="Calibri" w:cs="Calibri" w:eastAsia="Calibri" w:hAnsi="Calibri"/>
          <w:b/>
          <w:bCs/>
          <w:color w:val="1A1A1A"/>
          <w:sz w:val="20"/>
          <w:szCs w:val="20"/>
        </w:rPr>
        <w:t xml:space="preserve">Genèse</w:t>
      </w:r>
      <w:r>
        <w:rPr>
          <w:rFonts w:ascii="Calibri" w:cs="Calibri" w:eastAsia="Calibri" w:hAnsi="Calibri"/>
          <w:color w:val="1A1A1A"/>
          <w:sz w:val="20"/>
          <w:szCs w:val="20"/>
        </w:rPr>
        <w:t xml:space="preserve"> : sous l’égide de la Ligue arabe, la </w:t>
      </w:r>
      <w:r>
        <w:rPr>
          <w:rFonts w:ascii="Calibri" w:cs="Calibri" w:eastAsia="Calibri" w:hAnsi="Calibri"/>
          <w:color w:val="1E88E5"/>
          <w:sz w:val="20"/>
          <w:szCs w:val="20"/>
        </w:rPr>
        <w:t xml:space="preserve">Charte arabe des droits de l’homme, adoptée à Tunis en 2004</w:t>
      </w:r>
      <w:r>
        <w:rPr>
          <w:rFonts w:ascii="Calibri" w:cs="Calibri" w:eastAsia="Calibri" w:hAnsi="Calibri"/>
          <w:color w:val="1A1A1A"/>
          <w:sz w:val="20"/>
          <w:szCs w:val="20"/>
        </w:rPr>
        <w:t xml:space="preserve">, institue en son </w:t>
      </w:r>
      <w:r>
        <w:rPr>
          <w:rFonts w:ascii="Calibri" w:cs="Calibri" w:eastAsia="Calibri" w:hAnsi="Calibri"/>
          <w:color w:val="1E88E5"/>
          <w:sz w:val="20"/>
          <w:szCs w:val="20"/>
        </w:rPr>
        <w:t xml:space="preserve">art. 45</w:t>
      </w:r>
      <w:r>
        <w:rPr>
          <w:rFonts w:ascii="Calibri" w:cs="Calibri" w:eastAsia="Calibri" w:hAnsi="Calibri"/>
          <w:color w:val="1A1A1A"/>
          <w:sz w:val="20"/>
          <w:szCs w:val="20"/>
        </w:rPr>
        <w:t xml:space="preserve"> un </w:t>
      </w:r>
      <w:r>
        <w:rPr>
          <w:rFonts w:ascii="Calibri" w:cs="Calibri" w:eastAsia="Calibri" w:hAnsi="Calibri"/>
          <w:b/>
          <w:bCs/>
          <w:color w:val="1A1A1A"/>
          <w:sz w:val="20"/>
          <w:szCs w:val="20"/>
        </w:rPr>
        <w:t xml:space="preserve">Comité arabe des droits de l’homme</w:t>
      </w:r>
      <w:r>
        <w:rPr>
          <w:rFonts w:ascii="Calibri" w:cs="Calibri" w:eastAsia="Calibri" w:hAnsi="Calibri"/>
          <w:color w:val="1A1A1A"/>
          <w:sz w:val="20"/>
          <w:szCs w:val="20"/>
        </w:rPr>
        <w:t xml:space="preserve"> composé de sept membres élus par les États parties, pour un mandat de quatre ans. Le Conseil de la Ligue arabe a adopté une </w:t>
      </w:r>
      <w:r>
        <w:rPr>
          <w:rFonts w:ascii="Calibri" w:cs="Calibri" w:eastAsia="Calibri" w:hAnsi="Calibri"/>
          <w:color w:val="1E88E5"/>
          <w:sz w:val="20"/>
          <w:szCs w:val="20"/>
        </w:rPr>
        <w:t xml:space="preserve">résolution en 2014</w:t>
      </w:r>
      <w:r>
        <w:rPr>
          <w:rFonts w:ascii="Calibri" w:cs="Calibri" w:eastAsia="Calibri" w:hAnsi="Calibri"/>
          <w:color w:val="1A1A1A"/>
          <w:sz w:val="20"/>
          <w:szCs w:val="20"/>
        </w:rPr>
        <w:t xml:space="preserve"> créant la </w:t>
      </w:r>
      <w:r>
        <w:rPr>
          <w:rFonts w:ascii="Calibri" w:cs="Calibri" w:eastAsia="Calibri" w:hAnsi="Calibri"/>
          <w:b/>
          <w:bCs/>
          <w:color w:val="1A1A1A"/>
          <w:sz w:val="20"/>
          <w:szCs w:val="20"/>
        </w:rPr>
        <w:t xml:space="preserve">Cour arabe des droits de l’homme</w:t>
      </w:r>
      <w:r>
        <w:rPr>
          <w:rFonts w:ascii="Calibri" w:cs="Calibri" w:eastAsia="Calibri" w:hAnsi="Calibri"/>
          <w:color w:val="1A1A1A"/>
          <w:sz w:val="20"/>
          <w:szCs w:val="20"/>
        </w:rPr>
        <w:t xml:space="preserve">, dont le siège est fixé à </w:t>
      </w:r>
      <w:r>
        <w:rPr>
          <w:rFonts w:ascii="Calibri" w:cs="Calibri" w:eastAsia="Calibri" w:hAnsi="Calibri"/>
          <w:b/>
          <w:bCs/>
          <w:color w:val="1A1A1A"/>
          <w:sz w:val="20"/>
          <w:szCs w:val="20"/>
        </w:rPr>
        <w:t xml:space="preserve">Manama</w:t>
      </w:r>
      <w:r>
        <w:rPr>
          <w:rFonts w:ascii="Calibri" w:cs="Calibri" w:eastAsia="Calibri" w:hAnsi="Calibri"/>
          <w:color w:val="1A1A1A"/>
          <w:sz w:val="20"/>
          <w:szCs w:val="20"/>
        </w:rPr>
        <w:t xml:space="preserve">, au Bahreïn.</w:t>
      </w:r>
    </w:p>
    <w:p>
      <w:pPr>
        <w:pStyle w:val="ListParagraph"/>
        <w:numPr>
          <w:ilvl w:val="0"/>
          <w:numId w:val="2"/>
        </w:numPr>
        <w:spacing w:after="70" w:line="264"/>
        <w:jc w:val="both"/>
      </w:pPr>
      <w:r>
        <w:rPr>
          <w:rFonts w:ascii="Calibri" w:cs="Calibri" w:eastAsia="Calibri" w:hAnsi="Calibri"/>
          <w:b/>
          <w:bCs/>
          <w:color w:val="1A1A1A"/>
          <w:sz w:val="20"/>
          <w:szCs w:val="20"/>
        </w:rPr>
        <w:t xml:space="preserve">Composition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5 du Statut</w:t>
      </w:r>
      <w:r>
        <w:rPr>
          <w:rFonts w:ascii="Calibri" w:cs="Calibri" w:eastAsia="Calibri" w:hAnsi="Calibri"/>
          <w:color w:val="1A1A1A"/>
          <w:sz w:val="20"/>
          <w:szCs w:val="20"/>
        </w:rPr>
        <w:t xml:space="preserve"> — sept juges, nombre pouvant s’élever à onze ;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 élus par l’Assemblée créée par le Statut ; mandat de </w:t>
      </w:r>
      <w:r>
        <w:rPr>
          <w:rFonts w:ascii="Calibri" w:cs="Calibri" w:eastAsia="Calibri" w:hAnsi="Calibri"/>
          <w:b/>
          <w:bCs/>
          <w:color w:val="1A1A1A"/>
          <w:sz w:val="20"/>
          <w:szCs w:val="20"/>
        </w:rPr>
        <w:t xml:space="preserve">quatre ans renouvelable une fois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 président et vice-président élus parmi les membres pour une durée de deux ans, rééligibles une fois.</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16 du Statut</w:t>
      </w:r>
      <w:r>
        <w:rPr>
          <w:rFonts w:ascii="Calibri" w:cs="Calibri" w:eastAsia="Calibri" w:hAnsi="Calibri"/>
          <w:color w:val="1A1A1A"/>
          <w:sz w:val="20"/>
          <w:szCs w:val="20"/>
        </w:rPr>
        <w:t xml:space="preserve">) : « </w:t>
      </w:r>
      <w:r>
        <w:rPr>
          <w:rFonts w:ascii="Calibri" w:cs="Calibri" w:eastAsia="Calibri" w:hAnsi="Calibri"/>
          <w:i/>
          <w:iCs/>
          <w:color w:val="1A1A1A"/>
          <w:sz w:val="20"/>
          <w:szCs w:val="20"/>
        </w:rPr>
        <w:t xml:space="preserve">Dans tous les procès et litiges découlant de l’application et de l’interprétation de la Charte arabe des droits de l’homme ou de toute autre convention arabe dans le domaine des droits de l’homme dont les États litigieux en font partie. La Cour statue sur des litiges soulevés à l’égard de sa compétence à propos des procès, des requêtes ou des affaires qu’elle étudie.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Le recours individuel n’est pas reconnu</w:t>
      </w:r>
      <w:r>
        <w:rPr>
          <w:rFonts w:ascii="Calibri" w:cs="Calibri" w:eastAsia="Calibri" w:hAnsi="Calibri"/>
          <w:color w:val="1A1A1A"/>
          <w:sz w:val="20"/>
          <w:szCs w:val="20"/>
        </w:rPr>
        <w:t xml:space="preserve"> par le Statut ; le recours des organisations non gouvernementales est subordonné à l’</w:t>
      </w:r>
      <w:r>
        <w:rPr>
          <w:rFonts w:ascii="Calibri" w:cs="Calibri" w:eastAsia="Calibri" w:hAnsi="Calibri"/>
          <w:b/>
          <w:bCs/>
          <w:color w:val="1A1A1A"/>
          <w:sz w:val="20"/>
          <w:szCs w:val="20"/>
        </w:rPr>
        <w:t xml:space="preserve">autorisation des États</w:t>
      </w:r>
      <w:r>
        <w:rPr>
          <w:rFonts w:ascii="Calibri" w:cs="Calibri" w:eastAsia="Calibri" w:hAnsi="Calibri"/>
          <w:color w:val="1A1A1A"/>
          <w:sz w:val="20"/>
          <w:szCs w:val="20"/>
        </w:rPr>
        <w:t xml:space="preserve">. La Cour dispose également d’une compétence consultative à la demande d’un organe de la Ligue arabe.</w:t>
      </w:r>
    </w:p>
    <w:p>
      <w:pPr>
        <w:pStyle w:val="ListParagraph"/>
        <w:numPr>
          <w:ilvl w:val="0"/>
          <w:numId w:val="2"/>
        </w:numPr>
        <w:spacing w:after="70" w:line="264"/>
        <w:jc w:val="both"/>
      </w:pPr>
      <w:r>
        <w:rPr>
          <w:rFonts w:ascii="Calibri" w:cs="Calibri" w:eastAsia="Calibri" w:hAnsi="Calibri"/>
          <w:b/>
          <w:bCs/>
          <w:color w:val="1A1A1A"/>
          <w:sz w:val="20"/>
          <w:szCs w:val="20"/>
        </w:rPr>
        <w:t xml:space="preserve">Portée</w:t>
      </w:r>
      <w:r>
        <w:rPr>
          <w:rFonts w:ascii="Calibri" w:cs="Calibri" w:eastAsia="Calibri" w:hAnsi="Calibri"/>
          <w:color w:val="1A1A1A"/>
          <w:sz w:val="20"/>
          <w:szCs w:val="20"/>
        </w:rPr>
        <w:t xml:space="preserve"> : particulièrement limitée, la Cour </w:t>
      </w:r>
      <w:r>
        <w:rPr>
          <w:rFonts w:ascii="Calibri" w:cs="Calibri" w:eastAsia="Calibri" w:hAnsi="Calibri"/>
          <w:b/>
          <w:bCs/>
          <w:color w:val="1A1A1A"/>
          <w:sz w:val="20"/>
          <w:szCs w:val="20"/>
        </w:rPr>
        <w:t xml:space="preserve">n’est pas entrée en vigueur</w:t>
      </w:r>
      <w:r>
        <w:rPr>
          <w:rFonts w:ascii="Calibri" w:cs="Calibri" w:eastAsia="Calibri" w:hAnsi="Calibri"/>
          <w:color w:val="1A1A1A"/>
          <w:sz w:val="20"/>
          <w:szCs w:val="20"/>
        </w:rPr>
        <w:t xml:space="preserve"> et n’a dès lors jamais rendu de décision. Dans une note du Secrétaire général des Nations unies du </w:t>
      </w:r>
      <w:r>
        <w:rPr>
          <w:rFonts w:ascii="Calibri" w:cs="Calibri" w:eastAsia="Calibri" w:hAnsi="Calibri"/>
          <w:b/>
          <w:bCs/>
          <w:color w:val="1A1A1A"/>
          <w:sz w:val="20"/>
          <w:szCs w:val="20"/>
        </w:rPr>
        <w:t xml:space="preserve">27 août 2024</w:t>
      </w:r>
      <w:r>
        <w:rPr>
          <w:rFonts w:ascii="Calibri" w:cs="Calibri" w:eastAsia="Calibri" w:hAnsi="Calibri"/>
          <w:color w:val="1A1A1A"/>
          <w:sz w:val="20"/>
          <w:szCs w:val="20"/>
        </w:rPr>
        <w:t xml:space="preserve">, « Promotion et protection des droits de l’homme et des libertés fondamentales dans la lutte contre le terrorisme », il est indiqué que le projet de Cour arabe des droits de l’homme demeure « </w:t>
      </w:r>
      <w:r>
        <w:rPr>
          <w:rFonts w:ascii="Calibri" w:cs="Calibri" w:eastAsia="Calibri" w:hAnsi="Calibri"/>
          <w:i/>
          <w:iCs/>
          <w:color w:val="1A1A1A"/>
          <w:sz w:val="20"/>
          <w:szCs w:val="20"/>
        </w:rPr>
        <w:t xml:space="preserve">au point mort</w:t>
      </w:r>
      <w:r>
        <w:rPr>
          <w:rFonts w:ascii="Calibri" w:cs="Calibri" w:eastAsia="Calibri" w:hAnsi="Calibri"/>
          <w:color w:val="1A1A1A"/>
          <w:sz w:val="20"/>
          <w:szCs w:val="20"/>
        </w:rPr>
        <w:t xml:space="preserve"> ».</w:t>
      </w:r>
    </w:p>
    <w:p>
      <w:pPr>
        <w:pStyle w:val="Heading2"/>
        <w:spacing w:after="120" w:before="280"/>
      </w:pPr>
      <w:r>
        <w:rPr>
          <w:rFonts w:ascii="Calibri" w:cs="Calibri" w:eastAsia="Calibri" w:hAnsi="Calibri"/>
          <w:b/>
          <w:bCs/>
          <w:color w:val="1A1A1A"/>
          <w:sz w:val="24"/>
          <w:szCs w:val="24"/>
        </w:rPr>
        <w:t xml:space="preserve">4. Tableau comparatif à mémoriser</w:t>
      </w:r>
    </w:p>
    <w:p>
      <w:pPr>
        <w:pStyle w:val="ListParagraph"/>
        <w:numPr>
          <w:ilvl w:val="0"/>
          <w:numId w:val="2"/>
        </w:numPr>
        <w:spacing w:after="70" w:line="264"/>
        <w:jc w:val="both"/>
      </w:pPr>
      <w:r>
        <w:rPr>
          <w:rFonts w:ascii="Calibri" w:cs="Calibri" w:eastAsia="Calibri" w:hAnsi="Calibri"/>
          <w:b/>
          <w:bCs/>
          <w:color w:val="1A1A1A"/>
          <w:sz w:val="20"/>
          <w:szCs w:val="20"/>
        </w:rPr>
        <w:t xml:space="preserve">Socle conventionnel</w:t>
      </w:r>
      <w:r>
        <w:rPr>
          <w:rFonts w:ascii="Calibri" w:cs="Calibri" w:eastAsia="Calibri" w:hAnsi="Calibri"/>
          <w:color w:val="1A1A1A"/>
          <w:sz w:val="20"/>
          <w:szCs w:val="20"/>
        </w:rPr>
        <w:t xml:space="preserve"> : Europe — </w:t>
      </w:r>
      <w:r>
        <w:rPr>
          <w:rFonts w:ascii="Calibri" w:cs="Calibri" w:eastAsia="Calibri" w:hAnsi="Calibri"/>
          <w:color w:val="1E88E5"/>
          <w:sz w:val="20"/>
          <w:szCs w:val="20"/>
        </w:rPr>
        <w:t xml:space="preserve">Convention européenne de 1950</w:t>
      </w:r>
      <w:r>
        <w:rPr>
          <w:rFonts w:ascii="Calibri" w:cs="Calibri" w:eastAsia="Calibri" w:hAnsi="Calibri"/>
          <w:color w:val="1A1A1A"/>
          <w:sz w:val="20"/>
          <w:szCs w:val="20"/>
        </w:rPr>
        <w:t xml:space="preserve"> ; Amériques — </w:t>
      </w:r>
      <w:r>
        <w:rPr>
          <w:rFonts w:ascii="Calibri" w:cs="Calibri" w:eastAsia="Calibri" w:hAnsi="Calibri"/>
          <w:color w:val="1E88E5"/>
          <w:sz w:val="20"/>
          <w:szCs w:val="20"/>
        </w:rPr>
        <w:t xml:space="preserve">Convention américaine de 1969</w:t>
      </w:r>
      <w:r>
        <w:rPr>
          <w:rFonts w:ascii="Calibri" w:cs="Calibri" w:eastAsia="Calibri" w:hAnsi="Calibri"/>
          <w:color w:val="1A1A1A"/>
          <w:sz w:val="20"/>
          <w:szCs w:val="20"/>
        </w:rPr>
        <w:t xml:space="preserve"> ; Afrique — </w:t>
      </w:r>
      <w:r>
        <w:rPr>
          <w:rFonts w:ascii="Calibri" w:cs="Calibri" w:eastAsia="Calibri" w:hAnsi="Calibri"/>
          <w:color w:val="1E88E5"/>
          <w:sz w:val="20"/>
          <w:szCs w:val="20"/>
        </w:rPr>
        <w:t xml:space="preserve">Protocole de 1998 à la Charte africaine</w:t>
      </w:r>
      <w:r>
        <w:rPr>
          <w:rFonts w:ascii="Calibri" w:cs="Calibri" w:eastAsia="Calibri" w:hAnsi="Calibri"/>
          <w:color w:val="1A1A1A"/>
          <w:sz w:val="20"/>
          <w:szCs w:val="20"/>
        </w:rPr>
        <w:t xml:space="preserve"> ; Monde arabe — </w:t>
      </w:r>
      <w:r>
        <w:rPr>
          <w:rFonts w:ascii="Calibri" w:cs="Calibri" w:eastAsia="Calibri" w:hAnsi="Calibri"/>
          <w:color w:val="1E88E5"/>
          <w:sz w:val="20"/>
          <w:szCs w:val="20"/>
        </w:rPr>
        <w:t xml:space="preserve">Statut de la Cour arabe de 2014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Entrée en vigueur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1959</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1979</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pas entrée en vigueur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Nombre d’États reconnaissant la compétence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46</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22</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34</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w:t>
      </w:r>
      <w:r>
        <w:rPr>
          <w:rFonts w:ascii="Calibri" w:cs="Calibri" w:eastAsia="Calibri" w:hAnsi="Calibri"/>
          <w:color w:val="1A1A1A"/>
          <w:sz w:val="20"/>
          <w:szCs w:val="20"/>
        </w:rPr>
        <w:t xml:space="preserve"> (l’Arabie saoudite a ratifié le Statut).</w:t>
      </w:r>
    </w:p>
    <w:p>
      <w:pPr>
        <w:pStyle w:val="ListParagraph"/>
        <w:numPr>
          <w:ilvl w:val="0"/>
          <w:numId w:val="2"/>
        </w:numPr>
        <w:spacing w:after="70" w:line="264"/>
        <w:jc w:val="both"/>
      </w:pPr>
      <w:r>
        <w:rPr>
          <w:rFonts w:ascii="Calibri" w:cs="Calibri" w:eastAsia="Calibri" w:hAnsi="Calibri"/>
          <w:b/>
          <w:bCs/>
          <w:color w:val="1A1A1A"/>
          <w:sz w:val="20"/>
          <w:szCs w:val="20"/>
        </w:rPr>
        <w:t xml:space="preserve">Composition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46 juges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7 juges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11 juges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7 juges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 contentieuse</w:t>
      </w:r>
      <w:r>
        <w:rPr>
          <w:rFonts w:ascii="Calibri" w:cs="Calibri" w:eastAsia="Calibri" w:hAnsi="Calibri"/>
          <w:color w:val="1A1A1A"/>
          <w:sz w:val="20"/>
          <w:szCs w:val="20"/>
        </w:rPr>
        <w:t xml:space="preserve"> : Europe — recours individuel et recours interétatique ; Amériques — États et Commission ; Afrique — États, Commission, et recours individuel reconnu par quelques États ; Monde arabe — États membres, et ONG avec l’autorisation des États membres.</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 consultative</w:t>
      </w:r>
      <w:r>
        <w:rPr>
          <w:rFonts w:ascii="Calibri" w:cs="Calibri" w:eastAsia="Calibri" w:hAnsi="Calibri"/>
          <w:color w:val="1A1A1A"/>
          <w:sz w:val="20"/>
          <w:szCs w:val="20"/>
        </w:rPr>
        <w:t xml:space="preserve"> : Europe — juridictions des États parties ; Amériques — États membres et organes de l’Organisation des États américains ; Afrique — États membres et organes de l’Union africaine ; Monde arabe — Ligue arabe et ses organes.</w:t>
      </w:r>
    </w:p>
    <w:p>
      <w:pPr>
        <w:pStyle w:val="Heading2"/>
        <w:spacing w:after="120" w:before="280"/>
      </w:pPr>
      <w:r>
        <w:rPr>
          <w:rFonts w:ascii="Calibri" w:cs="Calibri" w:eastAsia="Calibri" w:hAnsi="Calibri"/>
          <w:b/>
          <w:bCs/>
          <w:color w:val="1A1A1A"/>
          <w:sz w:val="24"/>
          <w:szCs w:val="24"/>
        </w:rPr>
        <w:t xml:space="preserve">5. Débats doctrinaux &amp;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Le sens de l’universalité</w:t>
      </w:r>
      <w:r>
        <w:rPr>
          <w:rFonts w:ascii="Calibri" w:cs="Calibri" w:eastAsia="Calibri" w:hAnsi="Calibri"/>
          <w:color w:val="1A1A1A"/>
          <w:sz w:val="20"/>
          <w:szCs w:val="20"/>
        </w:rPr>
        <w:t xml:space="preserve"> : « universel » renvoie à ce qui est commun à tous les êtres humains et s’étend à l’échelle mondiale. La Déclaration universelle a été votée par </w:t>
      </w:r>
      <w:r>
        <w:rPr>
          <w:rFonts w:ascii="Calibri" w:cs="Calibri" w:eastAsia="Calibri" w:hAnsi="Calibri"/>
          <w:b/>
          <w:bCs/>
          <w:color w:val="1A1A1A"/>
          <w:sz w:val="20"/>
          <w:szCs w:val="20"/>
        </w:rPr>
        <w:t xml:space="preserve">cinquante pays</w:t>
      </w:r>
      <w:r>
        <w:rPr>
          <w:rFonts w:ascii="Calibri" w:cs="Calibri" w:eastAsia="Calibri" w:hAnsi="Calibri"/>
          <w:color w:val="1A1A1A"/>
          <w:sz w:val="20"/>
          <w:szCs w:val="20"/>
        </w:rPr>
        <w:t xml:space="preserve"> en 1948 ; certains ne l’ont pas votée, comme l’Afrique du Sud (en raison de l’Apartheid) et l’Arabie saoudite (à cause du rejet de l’égalité entre les hommes et les femmes). Elle évoque deux aspects de l’universalisme : les droits humains sont universels </w:t>
      </w:r>
      <w:r>
        <w:rPr>
          <w:rFonts w:ascii="Calibri" w:cs="Calibri" w:eastAsia="Calibri" w:hAnsi="Calibri"/>
          <w:b/>
          <w:bCs/>
          <w:color w:val="1A1A1A"/>
          <w:sz w:val="20"/>
          <w:szCs w:val="20"/>
        </w:rPr>
        <w:t xml:space="preserve">car chaque être humain en est bénéficiaire</w:t>
      </w:r>
      <w:r>
        <w:rPr>
          <w:rFonts w:ascii="Calibri" w:cs="Calibri" w:eastAsia="Calibri" w:hAnsi="Calibri"/>
          <w:color w:val="1A1A1A"/>
          <w:sz w:val="20"/>
          <w:szCs w:val="20"/>
        </w:rPr>
        <w:t xml:space="preserve"> au nom de sa dignité, et </w:t>
      </w:r>
      <w:r>
        <w:rPr>
          <w:rFonts w:ascii="Calibri" w:cs="Calibri" w:eastAsia="Calibri" w:hAnsi="Calibri"/>
          <w:b/>
          <w:bCs/>
          <w:color w:val="1A1A1A"/>
          <w:sz w:val="20"/>
          <w:szCs w:val="20"/>
        </w:rPr>
        <w:t xml:space="preserve">car ils doivent être respectés par l’ensemble de la société internationale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Conférence de Vienne de 1993</w:t>
      </w:r>
      <w:r>
        <w:rPr>
          <w:rFonts w:ascii="Calibri" w:cs="Calibri" w:eastAsia="Calibri" w:hAnsi="Calibri"/>
          <w:color w:val="1A1A1A"/>
          <w:sz w:val="20"/>
          <w:szCs w:val="20"/>
        </w:rPr>
        <w:t xml:space="preserve"> a réaffirmé cet universalisme comme principe directeur, au même titre que l’interdépendance, l’indivisibilité et l’inaliénabilité. Mais elle a aussi affirmé : « </w:t>
      </w:r>
      <w:r>
        <w:rPr>
          <w:rFonts w:ascii="Calibri" w:cs="Calibri" w:eastAsia="Calibri" w:hAnsi="Calibri"/>
          <w:i/>
          <w:iCs/>
          <w:color w:val="1A1A1A"/>
          <w:sz w:val="20"/>
          <w:szCs w:val="20"/>
        </w:rPr>
        <w:t xml:space="preserve">S’il convient de ne pas perdre de vue l’importance des particularismes nationaux et régionaux et la diversité historique, culturelle et religieuse, il est du devoir des États, quel qu’en soit le système politique, économique et culturel, de promouvoir et de protéger tous les droits de l’homme et toutes les libertés fondamentales.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Cette phrase est le meilleur point d’appui d’un plan sur la fragmentation</w:t>
      </w:r>
      <w:r>
        <w:rPr>
          <w:rFonts w:ascii="Calibri" w:cs="Calibri" w:eastAsia="Calibri" w:hAnsi="Calibri"/>
          <w:color w:val="1A1A1A"/>
          <w:sz w:val="20"/>
          <w:szCs w:val="20"/>
        </w:rPr>
        <w:t xml:space="preserve">, car elle contient à la fois l’affirmation et sa limite.</w:t>
      </w:r>
    </w:p>
    <w:p>
      <w:pPr>
        <w:pStyle w:val="ListParagraph"/>
        <w:numPr>
          <w:ilvl w:val="0"/>
          <w:numId w:val="2"/>
        </w:numPr>
        <w:spacing w:after="70" w:line="264"/>
        <w:jc w:val="both"/>
      </w:pPr>
      <w:r>
        <w:rPr>
          <w:rFonts w:ascii="Calibri" w:cs="Calibri" w:eastAsia="Calibri" w:hAnsi="Calibri"/>
          <w:b/>
          <w:bCs/>
          <w:color w:val="1A1A1A"/>
          <w:sz w:val="20"/>
          <w:szCs w:val="20"/>
        </w:rPr>
        <w:t xml:space="preserve">L’efficacité variable</w:t>
      </w:r>
      <w:r>
        <w:rPr>
          <w:rFonts w:ascii="Calibri" w:cs="Calibri" w:eastAsia="Calibri" w:hAnsi="Calibri"/>
          <w:color w:val="1A1A1A"/>
          <w:sz w:val="20"/>
          <w:szCs w:val="20"/>
        </w:rPr>
        <w:t xml:space="preserve"> : communiqué de l’Union africaine relatif à la « Conférence sur la mise en œuvre et l’impact des décisions de la Cour africaine des droits de l’homme et des peuples » du 3 novembre 2021, pour l’année 2020 — exécution intégrale </w:t>
      </w:r>
      <w:r>
        <w:rPr>
          <w:rFonts w:ascii="Calibri" w:cs="Calibri" w:eastAsia="Calibri" w:hAnsi="Calibri"/>
          <w:b/>
          <w:bCs/>
          <w:color w:val="1A1A1A"/>
          <w:sz w:val="20"/>
          <w:szCs w:val="20"/>
        </w:rPr>
        <w:t xml:space="preserve">7 %</w:t>
      </w:r>
      <w:r>
        <w:rPr>
          <w:rFonts w:ascii="Calibri" w:cs="Calibri" w:eastAsia="Calibri" w:hAnsi="Calibri"/>
          <w:color w:val="1A1A1A"/>
          <w:sz w:val="20"/>
          <w:szCs w:val="20"/>
        </w:rPr>
        <w:t xml:space="preserve">, exécution partielle </w:t>
      </w:r>
      <w:r>
        <w:rPr>
          <w:rFonts w:ascii="Calibri" w:cs="Calibri" w:eastAsia="Calibri" w:hAnsi="Calibri"/>
          <w:b/>
          <w:bCs/>
          <w:color w:val="1A1A1A"/>
          <w:sz w:val="20"/>
          <w:szCs w:val="20"/>
        </w:rPr>
        <w:t xml:space="preserve">18 %</w:t>
      </w:r>
      <w:r>
        <w:rPr>
          <w:rFonts w:ascii="Calibri" w:cs="Calibri" w:eastAsia="Calibri" w:hAnsi="Calibri"/>
          <w:color w:val="1A1A1A"/>
          <w:sz w:val="20"/>
          <w:szCs w:val="20"/>
        </w:rPr>
        <w:t xml:space="preserve">, non-exécution totale </w:t>
      </w:r>
      <w:r>
        <w:rPr>
          <w:rFonts w:ascii="Calibri" w:cs="Calibri" w:eastAsia="Calibri" w:hAnsi="Calibri"/>
          <w:b/>
          <w:bCs/>
          <w:color w:val="1A1A1A"/>
          <w:sz w:val="20"/>
          <w:szCs w:val="20"/>
        </w:rPr>
        <w:t xml:space="preserve">75 %</w:t>
      </w:r>
      <w:r>
        <w:rPr>
          <w:rFonts w:ascii="Calibri" w:cs="Calibri" w:eastAsia="Calibri" w:hAnsi="Calibri"/>
          <w:color w:val="1A1A1A"/>
          <w:sz w:val="20"/>
          <w:szCs w:val="20"/>
        </w:rPr>
        <w:t xml:space="preserve">, exécution des mesures provisoires </w:t>
      </w:r>
      <w:r>
        <w:rPr>
          <w:rFonts w:ascii="Calibri" w:cs="Calibri" w:eastAsia="Calibri" w:hAnsi="Calibri"/>
          <w:b/>
          <w:bCs/>
          <w:color w:val="1A1A1A"/>
          <w:sz w:val="20"/>
          <w:szCs w:val="20"/>
        </w:rPr>
        <w:t xml:space="preserve">10 %</w:t>
      </w:r>
      <w:r>
        <w:rPr>
          <w:rFonts w:ascii="Calibri" w:cs="Calibri" w:eastAsia="Calibri" w:hAnsi="Calibri"/>
          <w:color w:val="1A1A1A"/>
          <w:sz w:val="20"/>
          <w:szCs w:val="20"/>
        </w:rPr>
        <w:t xml:space="preserve">. Parmi les défis identifiés : « </w:t>
      </w:r>
      <w:r>
        <w:rPr>
          <w:rFonts w:ascii="Calibri" w:cs="Calibri" w:eastAsia="Calibri" w:hAnsi="Calibri"/>
          <w:i/>
          <w:iCs/>
          <w:color w:val="1A1A1A"/>
          <w:sz w:val="20"/>
          <w:szCs w:val="20"/>
        </w:rPr>
        <w:t xml:space="preserve">la difficulté pour les systèmes nationaux de cerner les décisions de la Cour africaine qui ne tiennent pas compte de principes tels que la subsidiarité, la contextualisation des valeurs universelles</w:t>
      </w:r>
      <w:r>
        <w:rPr>
          <w:rFonts w:ascii="Calibri" w:cs="Calibri" w:eastAsia="Calibri" w:hAnsi="Calibri"/>
          <w:color w:val="1A1A1A"/>
          <w:sz w:val="20"/>
          <w:szCs w:val="20"/>
        </w:rPr>
        <w:t xml:space="preserve"> ».</w:t>
      </w:r>
    </w:p>
    <w:p>
      <w:pPr>
        <w:pStyle w:val="ListParagraph"/>
        <w:numPr>
          <w:ilvl w:val="0"/>
          <w:numId w:val="2"/>
        </w:numPr>
        <w:spacing w:after="70" w:line="264"/>
        <w:jc w:val="both"/>
      </w:pPr>
      <w:r>
        <w:rPr>
          <w:rFonts w:ascii="Calibri" w:cs="Calibri" w:eastAsia="Calibri" w:hAnsi="Calibri"/>
          <w:b/>
          <w:bCs/>
          <w:color w:val="1A1A1A"/>
          <w:sz w:val="20"/>
          <w:szCs w:val="20"/>
        </w:rPr>
        <w:t xml:space="preserve">Le relativisme culturel</w:t>
      </w:r>
      <w:r>
        <w:rPr>
          <w:rFonts w:ascii="Calibri" w:cs="Calibri" w:eastAsia="Calibri" w:hAnsi="Calibri"/>
          <w:color w:val="1A1A1A"/>
          <w:sz w:val="20"/>
          <w:szCs w:val="20"/>
        </w:rPr>
        <w:t xml:space="preserve"> : la Cour européenne, soucieuse de l’universalisme, laisse une large </w:t>
      </w:r>
      <w:r>
        <w:rPr>
          <w:rFonts w:ascii="Calibri" w:cs="Calibri" w:eastAsia="Calibri" w:hAnsi="Calibri"/>
          <w:b/>
          <w:bCs/>
          <w:color w:val="1A1A1A"/>
          <w:sz w:val="20"/>
          <w:szCs w:val="20"/>
        </w:rPr>
        <w:t xml:space="preserve">marge d’appréciation</w:t>
      </w:r>
      <w:r>
        <w:rPr>
          <w:rFonts w:ascii="Calibri" w:cs="Calibri" w:eastAsia="Calibri" w:hAnsi="Calibri"/>
          <w:color w:val="1A1A1A"/>
          <w:sz w:val="20"/>
          <w:szCs w:val="20"/>
        </w:rPr>
        <w:t xml:space="preserve"> aux États sur des questions culturelles et religieuses (IVG, mariage entre personnes de même sexe, fin de vie). La </w:t>
      </w:r>
      <w:r>
        <w:rPr>
          <w:rFonts w:ascii="Calibri" w:cs="Calibri" w:eastAsia="Calibri" w:hAnsi="Calibri"/>
          <w:color w:val="1E88E5"/>
          <w:sz w:val="20"/>
          <w:szCs w:val="20"/>
        </w:rPr>
        <w:t xml:space="preserve">Charte arabe</w:t>
      </w:r>
      <w:r>
        <w:rPr>
          <w:rFonts w:ascii="Calibri" w:cs="Calibri" w:eastAsia="Calibri" w:hAnsi="Calibri"/>
          <w:color w:val="1A1A1A"/>
          <w:sz w:val="20"/>
          <w:szCs w:val="20"/>
        </w:rPr>
        <w:t xml:space="preserve"> fait, dès son préambule, plusieurs références à la religion :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prévoit « </w:t>
      </w:r>
      <w:r>
        <w:rPr>
          <w:rFonts w:ascii="Calibri" w:cs="Calibri" w:eastAsia="Calibri" w:hAnsi="Calibri"/>
          <w:i/>
          <w:iCs/>
          <w:color w:val="1A1A1A"/>
          <w:sz w:val="20"/>
          <w:szCs w:val="20"/>
        </w:rPr>
        <w:t xml:space="preserve">la discrimination positive instituée au profit de la femme par la charia islamique et les autres lois divines et par les législations et les instruments internationaux</w:t>
      </w:r>
      <w:r>
        <w:rPr>
          <w:rFonts w:ascii="Calibri" w:cs="Calibri" w:eastAsia="Calibri" w:hAnsi="Calibri"/>
          <w:color w:val="1A1A1A"/>
          <w:sz w:val="20"/>
          <w:szCs w:val="20"/>
        </w:rPr>
        <w:t xml:space="preserve"> » ; l’</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permet de prononcer la peine de mort dans certains cas ; l’</w:t>
      </w:r>
      <w:r>
        <w:rPr>
          <w:rFonts w:ascii="Calibri" w:cs="Calibri" w:eastAsia="Calibri" w:hAnsi="Calibri"/>
          <w:color w:val="1E88E5"/>
          <w:sz w:val="20"/>
          <w:szCs w:val="20"/>
        </w:rPr>
        <w:t xml:space="preserve">art. 7</w:t>
      </w:r>
      <w:r>
        <w:rPr>
          <w:rFonts w:ascii="Calibri" w:cs="Calibri" w:eastAsia="Calibri" w:hAnsi="Calibri"/>
          <w:color w:val="1A1A1A"/>
          <w:sz w:val="20"/>
          <w:szCs w:val="20"/>
        </w:rPr>
        <w:t xml:space="preserve"> prévoit qu’elle peut être prononcée à l’encontre de personnes de moins de dix-huit ans dans certains cas ; l’</w:t>
      </w:r>
      <w:r>
        <w:rPr>
          <w:rFonts w:ascii="Calibri" w:cs="Calibri" w:eastAsia="Calibri" w:hAnsi="Calibri"/>
          <w:color w:val="1E88E5"/>
          <w:sz w:val="20"/>
          <w:szCs w:val="20"/>
        </w:rPr>
        <w:t xml:space="preserve">art. 33</w:t>
      </w:r>
      <w:r>
        <w:rPr>
          <w:rFonts w:ascii="Calibri" w:cs="Calibri" w:eastAsia="Calibri" w:hAnsi="Calibri"/>
          <w:color w:val="1A1A1A"/>
          <w:sz w:val="20"/>
          <w:szCs w:val="20"/>
        </w:rPr>
        <w:t xml:space="preserve"> prévoit que la famille est « </w:t>
      </w:r>
      <w:r>
        <w:rPr>
          <w:rFonts w:ascii="Calibri" w:cs="Calibri" w:eastAsia="Calibri" w:hAnsi="Calibri"/>
          <w:i/>
          <w:iCs/>
          <w:color w:val="1A1A1A"/>
          <w:sz w:val="20"/>
          <w:szCs w:val="20"/>
        </w:rPr>
        <w:t xml:space="preserve">fondée sur le mariage entre l’homme et la femme</w:t>
      </w:r>
      <w:r>
        <w:rPr>
          <w:rFonts w:ascii="Calibri" w:cs="Calibri" w:eastAsia="Calibri" w:hAnsi="Calibri"/>
          <w:color w:val="1A1A1A"/>
          <w:sz w:val="20"/>
          <w:szCs w:val="20"/>
        </w:rPr>
        <w:t xml:space="preserve"> ». Le préambule du Statut de la Cour arabe fait également référence à Dieu. Enfin, la </w:t>
      </w:r>
      <w:r>
        <w:rPr>
          <w:rFonts w:ascii="Calibri" w:cs="Calibri" w:eastAsia="Calibri" w:hAnsi="Calibri"/>
          <w:color w:val="1E88E5"/>
          <w:sz w:val="20"/>
          <w:szCs w:val="20"/>
        </w:rPr>
        <w:t xml:space="preserve">Charte africaine</w:t>
      </w:r>
      <w:r>
        <w:rPr>
          <w:rFonts w:ascii="Calibri" w:cs="Calibri" w:eastAsia="Calibri" w:hAnsi="Calibri"/>
          <w:color w:val="1A1A1A"/>
          <w:sz w:val="20"/>
          <w:szCs w:val="20"/>
        </w:rPr>
        <w:t xml:space="preserve"> prévoit des </w:t>
      </w:r>
      <w:r>
        <w:rPr>
          <w:rFonts w:ascii="Calibri" w:cs="Calibri" w:eastAsia="Calibri" w:hAnsi="Calibri"/>
          <w:b/>
          <w:bCs/>
          <w:color w:val="1A1A1A"/>
          <w:sz w:val="20"/>
          <w:szCs w:val="20"/>
        </w:rPr>
        <w:t xml:space="preserve">devoirs de l’être humain envers sa communauté</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27, 28 et 29</w:t>
      </w:r>
      <w:r>
        <w:rPr>
          <w:rFonts w:ascii="Calibri" w:cs="Calibri" w:eastAsia="Calibri" w:hAnsi="Calibri"/>
          <w:color w:val="1A1A1A"/>
          <w:sz w:val="20"/>
          <w:szCs w:val="20"/>
        </w:rPr>
        <w:t xml:space="preserve">) et fait référence à des traditions.</w:t>
      </w:r>
    </w:p>
    <w:p>
      <w:pPr>
        <w:pStyle w:val="ListParagraph"/>
        <w:numPr>
          <w:ilvl w:val="0"/>
          <w:numId w:val="2"/>
        </w:numPr>
        <w:spacing w:after="70" w:line="264"/>
        <w:jc w:val="both"/>
      </w:pPr>
      <w:r>
        <w:rPr>
          <w:rFonts w:ascii="Calibri" w:cs="Calibri" w:eastAsia="Calibri" w:hAnsi="Calibri"/>
          <w:b/>
          <w:bCs/>
          <w:color w:val="1A1A1A"/>
          <w:sz w:val="20"/>
          <w:szCs w:val="20"/>
        </w:rPr>
        <w:t xml:space="preserve">L’angle mort asiatique</w:t>
      </w:r>
      <w:r>
        <w:rPr>
          <w:rFonts w:ascii="Calibri" w:cs="Calibri" w:eastAsia="Calibri" w:hAnsi="Calibri"/>
          <w:color w:val="1A1A1A"/>
          <w:sz w:val="20"/>
          <w:szCs w:val="20"/>
        </w:rPr>
        <w:t xml:space="preserve"> : il n’existe </w:t>
      </w:r>
      <w:r>
        <w:rPr>
          <w:rFonts w:ascii="Calibri" w:cs="Calibri" w:eastAsia="Calibri" w:hAnsi="Calibri"/>
          <w:b/>
          <w:bCs/>
          <w:color w:val="1A1A1A"/>
          <w:sz w:val="20"/>
          <w:szCs w:val="20"/>
        </w:rPr>
        <w:t xml:space="preserve">aucune juridiction régionale de protection des droits humains en Asie</w:t>
      </w:r>
      <w:r>
        <w:rPr>
          <w:rFonts w:ascii="Calibri" w:cs="Calibri" w:eastAsia="Calibri" w:hAnsi="Calibri"/>
          <w:color w:val="1A1A1A"/>
          <w:sz w:val="20"/>
          <w:szCs w:val="20"/>
        </w:rPr>
        <w:t xml:space="preserve"> — argument décisif contre toute présentation harmonieuse de la régionalisation.</w:t>
      </w:r>
    </w:p>
    <w:p>
      <w:pPr>
        <w:pStyle w:val="ListParagraph"/>
        <w:numPr>
          <w:ilvl w:val="0"/>
          <w:numId w:val="2"/>
        </w:numPr>
        <w:spacing w:after="70" w:line="264"/>
        <w:jc w:val="both"/>
      </w:pPr>
      <w:r>
        <w:rPr>
          <w:rFonts w:ascii="Calibri" w:cs="Calibri" w:eastAsia="Calibri" w:hAnsi="Calibri"/>
          <w:b/>
          <w:bCs/>
          <w:color w:val="1A1A1A"/>
          <w:sz w:val="20"/>
          <w:szCs w:val="20"/>
        </w:rPr>
        <w:t xml:space="preserve">Formule de conclusion</w:t>
      </w:r>
      <w:r>
        <w:rPr>
          <w:rFonts w:ascii="Calibri" w:cs="Calibri" w:eastAsia="Calibri" w:hAnsi="Calibri"/>
          <w:color w:val="1A1A1A"/>
          <w:sz w:val="20"/>
          <w:szCs w:val="20"/>
        </w:rPr>
        <w:t xml:space="preserve"> : malgré les efforts déployés, l’universalisation demeure </w:t>
      </w:r>
      <w:r>
        <w:rPr>
          <w:rFonts w:ascii="Calibri" w:cs="Calibri" w:eastAsia="Calibri" w:hAnsi="Calibri"/>
          <w:b/>
          <w:bCs/>
          <w:color w:val="1A1A1A"/>
          <w:sz w:val="20"/>
          <w:szCs w:val="20"/>
        </w:rPr>
        <w:t xml:space="preserve">fragmentée</w:t>
      </w:r>
      <w:r>
        <w:rPr>
          <w:rFonts w:ascii="Calibri" w:cs="Calibri" w:eastAsia="Calibri" w:hAnsi="Calibri"/>
          <w:color w:val="1A1A1A"/>
          <w:sz w:val="20"/>
          <w:szCs w:val="20"/>
        </w:rPr>
        <w:t xml:space="preserve"> et confrontée à des obstacles structurels d’ordre institutionnel, culturel ou politique ; il persiste une tension entre l’unité des principes universels et la diversité des contextes régionaux.</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Existe-t-il un recours individuel devant toutes les cours régionales ? »</w:t>
      </w:r>
      <w:r>
        <w:rPr>
          <w:rFonts w:ascii="Calibri" w:cs="Calibri" w:eastAsia="Calibri" w:hAnsi="Calibri"/>
          <w:color w:val="1A1A1A"/>
          <w:sz w:val="20"/>
          <w:szCs w:val="20"/>
        </w:rPr>
        <w:t xml:space="preserve"> — Non. Il est de plein droit à Strasbourg ; </w:t>
      </w:r>
      <w:r>
        <w:rPr>
          <w:rFonts w:ascii="Calibri" w:cs="Calibri" w:eastAsia="Calibri" w:hAnsi="Calibri"/>
          <w:b/>
          <w:bCs/>
          <w:color w:val="1A1A1A"/>
          <w:sz w:val="20"/>
          <w:szCs w:val="20"/>
        </w:rPr>
        <w:t xml:space="preserve">inexistant</w:t>
      </w:r>
      <w:r>
        <w:rPr>
          <w:rFonts w:ascii="Calibri" w:cs="Calibri" w:eastAsia="Calibri" w:hAnsi="Calibri"/>
          <w:color w:val="1A1A1A"/>
          <w:sz w:val="20"/>
          <w:szCs w:val="20"/>
        </w:rPr>
        <w:t xml:space="preserve"> devant la Cour interaméricaine (saisine par un État ou la Commission) ; reconnu devant la Cour africaine mais </w:t>
      </w:r>
      <w:r>
        <w:rPr>
          <w:rFonts w:ascii="Calibri" w:cs="Calibri" w:eastAsia="Calibri" w:hAnsi="Calibri"/>
          <w:b/>
          <w:bCs/>
          <w:color w:val="1A1A1A"/>
          <w:sz w:val="20"/>
          <w:szCs w:val="20"/>
        </w:rPr>
        <w:t xml:space="preserve">seulement par quelques États</w:t>
      </w:r>
      <w:r>
        <w:rPr>
          <w:rFonts w:ascii="Calibri" w:cs="Calibri" w:eastAsia="Calibri" w:hAnsi="Calibri"/>
          <w:color w:val="1A1A1A"/>
          <w:sz w:val="20"/>
          <w:szCs w:val="20"/>
        </w:rPr>
        <w:t xml:space="preserve"> parmi les 34 ayant ratifié le protocole ; non reconnu par le Statut de la Cour arabe.</w:t>
      </w:r>
    </w:p>
    <w:p>
      <w:pPr>
        <w:pStyle w:val="ListParagraph"/>
        <w:numPr>
          <w:ilvl w:val="0"/>
          <w:numId w:val="2"/>
        </w:numPr>
        <w:spacing w:after="70" w:line="264"/>
        <w:jc w:val="both"/>
      </w:pPr>
      <w:r>
        <w:rPr>
          <w:rFonts w:ascii="Calibri" w:cs="Calibri" w:eastAsia="Calibri" w:hAnsi="Calibri"/>
          <w:b/>
          <w:bCs/>
          <w:color w:val="1A1A1A"/>
          <w:sz w:val="20"/>
          <w:szCs w:val="20"/>
        </w:rPr>
        <w:t xml:space="preserve">« La Cour internationale de Justice protège-t-elle les droits humains ? »</w:t>
      </w:r>
      <w:r>
        <w:rPr>
          <w:rFonts w:ascii="Calibri" w:cs="Calibri" w:eastAsia="Calibri" w:hAnsi="Calibri"/>
          <w:color w:val="1A1A1A"/>
          <w:sz w:val="20"/>
          <w:szCs w:val="20"/>
        </w:rPr>
        <w:t xml:space="preserve"> — Elle n’a pas vocation à régler les litiges relatifs aux violations des droits humains : au contentieux, elle n’est saisissable que par des </w:t>
      </w:r>
      <w:r>
        <w:rPr>
          <w:rFonts w:ascii="Calibri" w:cs="Calibri" w:eastAsia="Calibri" w:hAnsi="Calibri"/>
          <w:b/>
          <w:bCs/>
          <w:color w:val="1A1A1A"/>
          <w:sz w:val="20"/>
          <w:szCs w:val="20"/>
        </w:rPr>
        <w:t xml:space="preserve">États</w:t>
      </w:r>
      <w:r>
        <w:rPr>
          <w:rFonts w:ascii="Calibri" w:cs="Calibri" w:eastAsia="Calibri" w:hAnsi="Calibri"/>
          <w:color w:val="1A1A1A"/>
          <w:sz w:val="20"/>
          <w:szCs w:val="20"/>
        </w:rPr>
        <w:t xml:space="preserve"> ; au consultatif, elle peut être saisie par des organes ou institutions onusiennes. C’est précisément cette carence qui explique la régionalisation.</w:t>
      </w:r>
    </w:p>
    <w:p>
      <w:pPr>
        <w:pStyle w:val="ListParagraph"/>
        <w:numPr>
          <w:ilvl w:val="0"/>
          <w:numId w:val="2"/>
        </w:numPr>
        <w:spacing w:after="70" w:line="264"/>
        <w:jc w:val="both"/>
      </w:pPr>
      <w:r>
        <w:rPr>
          <w:rFonts w:ascii="Calibri" w:cs="Calibri" w:eastAsia="Calibri" w:hAnsi="Calibri"/>
          <w:b/>
          <w:bCs/>
          <w:color w:val="1A1A1A"/>
          <w:sz w:val="20"/>
          <w:szCs w:val="20"/>
        </w:rPr>
        <w:t xml:space="preserve">« La régionalisation sert-elle ou dessert-elle l’universalité ? »</w:t>
      </w:r>
      <w:r>
        <w:rPr>
          <w:rFonts w:ascii="Calibri" w:cs="Calibri" w:eastAsia="Calibri" w:hAnsi="Calibri"/>
          <w:color w:val="1A1A1A"/>
          <w:sz w:val="20"/>
          <w:szCs w:val="20"/>
        </w:rPr>
        <w:t xml:space="preserve"> — Réponse en deux temps : elle la </w:t>
      </w:r>
      <w:r>
        <w:rPr>
          <w:rFonts w:ascii="Calibri" w:cs="Calibri" w:eastAsia="Calibri" w:hAnsi="Calibri"/>
          <w:b/>
          <w:bCs/>
          <w:color w:val="1A1A1A"/>
          <w:sz w:val="20"/>
          <w:szCs w:val="20"/>
        </w:rPr>
        <w:t xml:space="preserve">concrétise</w:t>
      </w:r>
      <w:r>
        <w:rPr>
          <w:rFonts w:ascii="Calibri" w:cs="Calibri" w:eastAsia="Calibri" w:hAnsi="Calibri"/>
          <w:color w:val="1A1A1A"/>
          <w:sz w:val="20"/>
          <w:szCs w:val="20"/>
        </w:rPr>
        <w:t xml:space="preserve"> faute de juridiction mondiale, mais elle l’</w:t>
      </w:r>
      <w:r>
        <w:rPr>
          <w:rFonts w:ascii="Calibri" w:cs="Calibri" w:eastAsia="Calibri" w:hAnsi="Calibri"/>
          <w:b/>
          <w:bCs/>
          <w:color w:val="1A1A1A"/>
          <w:sz w:val="20"/>
          <w:szCs w:val="20"/>
        </w:rPr>
        <w:t xml:space="preserve">érode</w:t>
      </w:r>
      <w:r>
        <w:rPr>
          <w:rFonts w:ascii="Calibri" w:cs="Calibri" w:eastAsia="Calibri" w:hAnsi="Calibri"/>
          <w:color w:val="1A1A1A"/>
          <w:sz w:val="20"/>
          <w:szCs w:val="20"/>
        </w:rPr>
        <w:t xml:space="preserve"> en admettant des standards différenciés — marge d’appréciation européenne, charia dans la Charte arabe, devoirs communautaires dans la Charte africaine. Citer la formule de Vienne.</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Les juridictions régionales et l’universalisation des droits humains » (sujet de dissertation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La Cour interaméricaine des droits de l’homme » ; « La Cour africaine des droits de l’homme et des peuples ».</w:t>
      </w:r>
    </w:p>
    <w:p>
      <w:pPr>
        <w:pStyle w:val="ListParagraph"/>
        <w:numPr>
          <w:ilvl w:val="0"/>
          <w:numId w:val="2"/>
        </w:numPr>
        <w:spacing w:after="70" w:line="264"/>
        <w:jc w:val="both"/>
      </w:pPr>
      <w:r>
        <w:rPr>
          <w:rFonts w:ascii="Calibri" w:cs="Calibri" w:eastAsia="Calibri" w:hAnsi="Calibri"/>
          <w:color w:val="1A1A1A"/>
          <w:sz w:val="20"/>
          <w:szCs w:val="20"/>
        </w:rPr>
        <w:t xml:space="preserve">« Le relativisme culturel à l’épreuve des juridictions régionales » ; « L’exécution des décisions des cours régionales ».</w:t>
      </w:r>
    </w:p>
    <w:p>
      <w:pPr>
        <w:pStyle w:val="ListParagraph"/>
        <w:numPr>
          <w:ilvl w:val="0"/>
          <w:numId w:val="2"/>
        </w:numPr>
        <w:spacing w:after="70" w:line="264"/>
        <w:jc w:val="both"/>
      </w:pPr>
      <w:r>
        <w:rPr>
          <w:rFonts w:ascii="Calibri" w:cs="Calibri" w:eastAsia="Calibri" w:hAnsi="Calibri"/>
          <w:color w:val="1A1A1A"/>
          <w:sz w:val="20"/>
          <w:szCs w:val="20"/>
        </w:rPr>
        <w:t xml:space="preserve">« L’Asie et les droits humains » ; « Faut-il une cour mondiale des droits de l’homme ? ».</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d’États sont parties à la Convention américaine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22 États</w:t>
      </w:r>
      <w:r>
        <w:rPr>
          <w:rFonts w:ascii="Calibri" w:cs="Calibri" w:eastAsia="Calibri" w:hAnsi="Calibri"/>
          <w:color w:val="1A1A1A"/>
          <w:sz w:val="20"/>
          <w:szCs w:val="20"/>
        </w:rPr>
        <w:t xml:space="preserve"> ont reconnu la compétence de la Cour, sur 35 membres de l’Organisation des États américains ; les </w:t>
      </w:r>
      <w:r>
        <w:rPr>
          <w:rFonts w:ascii="Calibri" w:cs="Calibri" w:eastAsia="Calibri" w:hAnsi="Calibri"/>
          <w:b/>
          <w:bCs/>
          <w:color w:val="1A1A1A"/>
          <w:sz w:val="20"/>
          <w:szCs w:val="20"/>
        </w:rPr>
        <w:t xml:space="preserve">États-Unis et le Canada</w:t>
      </w:r>
      <w:r>
        <w:rPr>
          <w:rFonts w:ascii="Calibri" w:cs="Calibri" w:eastAsia="Calibri" w:hAnsi="Calibri"/>
          <w:color w:val="1A1A1A"/>
          <w:sz w:val="20"/>
          <w:szCs w:val="20"/>
        </w:rPr>
        <w:t xml:space="preserve"> n’en sont pas parties.</w:t>
      </w:r>
    </w:p>
    <w:p>
      <w:pPr>
        <w:pStyle w:val="ListParagraph"/>
        <w:numPr>
          <w:ilvl w:val="0"/>
          <w:numId w:val="2"/>
        </w:numPr>
        <w:spacing w:after="70" w:line="264"/>
        <w:jc w:val="both"/>
      </w:pPr>
      <w:r>
        <w:rPr>
          <w:rFonts w:ascii="Calibri" w:cs="Calibri" w:eastAsia="Calibri" w:hAnsi="Calibri"/>
          <w:b/>
          <w:bCs/>
          <w:color w:val="1A1A1A"/>
          <w:sz w:val="20"/>
          <w:szCs w:val="20"/>
        </w:rPr>
        <w:t xml:space="preserve">Q. Où siègent les quatre cours ?</w:t>
      </w:r>
      <w:r>
        <w:rPr>
          <w:rFonts w:ascii="Calibri" w:cs="Calibri" w:eastAsia="Calibri" w:hAnsi="Calibri"/>
          <w:color w:val="1A1A1A"/>
          <w:sz w:val="20"/>
          <w:szCs w:val="20"/>
        </w:rPr>
        <w:t xml:space="preserve"> — Strasbourg / San José (Costa Rica) / Arusha (Tanzanie) / Manama (Bahreïn). Les commissions siègent ailleurs : Washington pour la Commission interaméricaine.</w:t>
      </w:r>
    </w:p>
    <w:p>
      <w:pPr>
        <w:pStyle w:val="ListParagraph"/>
        <w:numPr>
          <w:ilvl w:val="0"/>
          <w:numId w:val="2"/>
        </w:numPr>
        <w:spacing w:after="70" w:line="264"/>
        <w:jc w:val="both"/>
      </w:pPr>
      <w:r>
        <w:rPr>
          <w:rFonts w:ascii="Calibri" w:cs="Calibri" w:eastAsia="Calibri" w:hAnsi="Calibri"/>
          <w:b/>
          <w:bCs/>
          <w:color w:val="1A1A1A"/>
          <w:sz w:val="20"/>
          <w:szCs w:val="20"/>
        </w:rPr>
        <w:t xml:space="preserve">Q. La Cour africaine peut-elle statuer si l’affaire est pendante devant la Commission ?</w:t>
      </w:r>
      <w:r>
        <w:rPr>
          <w:rFonts w:ascii="Calibri" w:cs="Calibri" w:eastAsia="Calibri" w:hAnsi="Calibri"/>
          <w:color w:val="1A1A1A"/>
          <w:sz w:val="20"/>
          <w:szCs w:val="20"/>
        </w:rPr>
        <w:t xml:space="preserve"> — Non : le chapitre II du règlement intérieur, consacré à la complémentarité, le lui interdit expressément.</w:t>
      </w:r>
    </w:p>
    <w:p>
      <w:pPr>
        <w:pStyle w:val="ListParagraph"/>
        <w:numPr>
          <w:ilvl w:val="0"/>
          <w:numId w:val="2"/>
        </w:numPr>
        <w:spacing w:after="70" w:line="264"/>
        <w:jc w:val="both"/>
      </w:pPr>
      <w:r>
        <w:rPr>
          <w:rFonts w:ascii="Calibri" w:cs="Calibri" w:eastAsia="Calibri" w:hAnsi="Calibri"/>
          <w:b/>
          <w:bCs/>
          <w:color w:val="1A1A1A"/>
          <w:sz w:val="20"/>
          <w:szCs w:val="20"/>
        </w:rPr>
        <w:t xml:space="preserve">Q. La Cour arabe a-t-elle rendu des décisions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Aucune</w:t>
      </w:r>
      <w:r>
        <w:rPr>
          <w:rFonts w:ascii="Calibri" w:cs="Calibri" w:eastAsia="Calibri" w:hAnsi="Calibri"/>
          <w:color w:val="1A1A1A"/>
          <w:sz w:val="20"/>
          <w:szCs w:val="20"/>
        </w:rPr>
        <w:t xml:space="preserve"> : le Statut de 2014 n’est pas entré en vigueur, un seul État l’ayant ratifié. Le projet est décrit comme « au point mort » par une note du Secrétaire général de l’ONU du 27 août 2024.</w:t>
      </w:r>
    </w:p>
    <w:p>
      <w:pPr>
        <w:pStyle w:val="ListParagraph"/>
        <w:numPr>
          <w:ilvl w:val="0"/>
          <w:numId w:val="2"/>
        </w:numPr>
        <w:spacing w:after="70" w:line="264"/>
        <w:jc w:val="both"/>
      </w:pPr>
      <w:r>
        <w:rPr>
          <w:rFonts w:ascii="Calibri" w:cs="Calibri" w:eastAsia="Calibri" w:hAnsi="Calibri"/>
          <w:b/>
          <w:bCs/>
          <w:color w:val="1A1A1A"/>
          <w:sz w:val="20"/>
          <w:szCs w:val="20"/>
        </w:rPr>
        <w:t xml:space="preserve">Q. Depuis quand la Cour africaine est-elle opérationnelle ?</w:t>
      </w:r>
      <w:r>
        <w:rPr>
          <w:rFonts w:ascii="Calibri" w:cs="Calibri" w:eastAsia="Calibri" w:hAnsi="Calibri"/>
          <w:color w:val="1A1A1A"/>
          <w:sz w:val="20"/>
          <w:szCs w:val="20"/>
        </w:rPr>
        <w:t xml:space="preserve"> — Depuis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alors que le protocole est entré en vigueur en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 deux dates distinctes, souvent confondues.</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juridiction régionale manque à l’appel ?</w:t>
      </w:r>
      <w:r>
        <w:rPr>
          <w:rFonts w:ascii="Calibri" w:cs="Calibri" w:eastAsia="Calibri" w:hAnsi="Calibri"/>
          <w:color w:val="1A1A1A"/>
          <w:sz w:val="20"/>
          <w:szCs w:val="20"/>
        </w:rPr>
        <w:t xml:space="preserve"> — L’</w:t>
      </w:r>
      <w:r>
        <w:rPr>
          <w:rFonts w:ascii="Calibri" w:cs="Calibri" w:eastAsia="Calibri" w:hAnsi="Calibri"/>
          <w:b/>
          <w:bCs/>
          <w:color w:val="1A1A1A"/>
          <w:sz w:val="20"/>
          <w:szCs w:val="20"/>
        </w:rPr>
        <w:t xml:space="preserve">Asie</w:t>
      </w:r>
      <w:r>
        <w:rPr>
          <w:rFonts w:ascii="Calibri" w:cs="Calibri" w:eastAsia="Calibri" w:hAnsi="Calibri"/>
          <w:color w:val="1A1A1A"/>
          <w:sz w:val="20"/>
          <w:szCs w:val="20"/>
        </w:rPr>
        <w:t xml:space="preserve"> : aucune juridiction régionale de protection des droits humains n’y existe. C’est le premier argument à opposer à toute affirmation d’universalité effective.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25 — LA PROTECTION POLITIQUE ET ADMINISTRATIVE INTERNATIONALE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Il n’existe </w:t>
      </w:r>
      <w:r>
        <w:rPr>
          <w:rFonts w:ascii="Calibri" w:cs="Calibri" w:eastAsia="Calibri" w:hAnsi="Calibri"/>
          <w:b/>
          <w:bCs/>
          <w:color w:val="1A1A1A"/>
          <w:sz w:val="20"/>
          <w:szCs w:val="20"/>
        </w:rPr>
        <w:t xml:space="preserve">aucune juridiction internationale rattachée à l’Organisation des Nations unies</w:t>
      </w:r>
      <w:r>
        <w:rPr>
          <w:rFonts w:ascii="Calibri" w:cs="Calibri" w:eastAsia="Calibri" w:hAnsi="Calibri"/>
          <w:color w:val="1A1A1A"/>
          <w:sz w:val="20"/>
          <w:szCs w:val="20"/>
        </w:rPr>
        <w:t xml:space="preserve"> chargée de veiller au respect des instruments relatifs aux droits humains. Toute la protection onusienne repose donc sur des organes </w:t>
      </w:r>
      <w:r>
        <w:rPr>
          <w:rFonts w:ascii="Calibri" w:cs="Calibri" w:eastAsia="Calibri" w:hAnsi="Calibri"/>
          <w:b/>
          <w:bCs/>
          <w:color w:val="1A1A1A"/>
          <w:sz w:val="20"/>
          <w:szCs w:val="20"/>
        </w:rPr>
        <w:t xml:space="preserve">politiques et administratifs</w:t>
      </w:r>
      <w:r>
        <w:rPr>
          <w:rFonts w:ascii="Calibri" w:cs="Calibri" w:eastAsia="Calibri" w:hAnsi="Calibri"/>
          <w:color w:val="1A1A1A"/>
          <w:sz w:val="20"/>
          <w:szCs w:val="20"/>
        </w:rPr>
        <w:t xml:space="preserve"> dépourvus de pouvoir contraignant — et l’année 2025 a vu </w:t>
      </w:r>
      <w:r>
        <w:rPr>
          <w:rFonts w:ascii="Calibri" w:cs="Calibri" w:eastAsia="Calibri" w:hAnsi="Calibri"/>
          <w:b/>
          <w:bCs/>
          <w:color w:val="1A1A1A"/>
          <w:sz w:val="20"/>
          <w:szCs w:val="20"/>
        </w:rPr>
        <w:t xml:space="preserve">trois États</w:t>
      </w:r>
      <w:r>
        <w:rPr>
          <w:rFonts w:ascii="Calibri" w:cs="Calibri" w:eastAsia="Calibri" w:hAnsi="Calibri"/>
          <w:color w:val="1A1A1A"/>
          <w:sz w:val="20"/>
          <w:szCs w:val="20"/>
        </w:rPr>
        <w:t xml:space="preserve"> quitter le Conseil des droits de l’homme.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le XXIe siècle est marqué par la </w:t>
      </w:r>
      <w:r>
        <w:rPr>
          <w:rFonts w:ascii="Calibri" w:cs="Calibri" w:eastAsia="Calibri" w:hAnsi="Calibri"/>
          <w:b/>
          <w:bCs/>
          <w:color w:val="1A1A1A"/>
          <w:sz w:val="20"/>
          <w:szCs w:val="20"/>
        </w:rPr>
        <w:t xml:space="preserve">multiplication</w:t>
      </w:r>
      <w:r>
        <w:rPr>
          <w:rFonts w:ascii="Calibri" w:cs="Calibri" w:eastAsia="Calibri" w:hAnsi="Calibri"/>
          <w:color w:val="1A1A1A"/>
          <w:sz w:val="20"/>
          <w:szCs w:val="20"/>
        </w:rPr>
        <w:t xml:space="preserve"> de ces organes, dont la plupart demeurent méconnus ; la variabilité de l’étendue de leur compétence et de leur activité interroge leur capacité à concourir effectivement à la protection des droits humains.</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Des organes non juridictionnels à </w:t>
      </w:r>
      <w:r>
        <w:rPr>
          <w:rFonts w:ascii="Calibri" w:cs="Calibri" w:eastAsia="Calibri" w:hAnsi="Calibri"/>
          <w:b/>
          <w:bCs/>
          <w:color w:val="1A1A1A"/>
          <w:sz w:val="20"/>
          <w:szCs w:val="20"/>
        </w:rPr>
        <w:t xml:space="preserve">trois échelles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Nations unies</w:t>
      </w:r>
      <w:r>
        <w:rPr>
          <w:rFonts w:ascii="Calibri" w:cs="Calibri" w:eastAsia="Calibri" w:hAnsi="Calibri"/>
          <w:color w:val="1A1A1A"/>
          <w:sz w:val="20"/>
          <w:szCs w:val="20"/>
        </w:rPr>
        <w:t xml:space="preserve"> (Conseil des droits de l’homme, Haut-Commissariat aux droits de l’homme) ; </w:t>
      </w:r>
      <w:r>
        <w:rPr>
          <w:rFonts w:ascii="Calibri" w:cs="Calibri" w:eastAsia="Calibri" w:hAnsi="Calibri"/>
          <w:b/>
          <w:bCs/>
          <w:color w:val="1A1A1A"/>
          <w:sz w:val="20"/>
          <w:szCs w:val="20"/>
        </w:rPr>
        <w:t xml:space="preserve">Conseil de l’Europe</w:t>
      </w:r>
      <w:r>
        <w:rPr>
          <w:rFonts w:ascii="Calibri" w:cs="Calibri" w:eastAsia="Calibri" w:hAnsi="Calibri"/>
          <w:color w:val="1A1A1A"/>
          <w:sz w:val="20"/>
          <w:szCs w:val="20"/>
        </w:rPr>
        <w:t xml:space="preserve"> (Commissaire aux droits de l’homme, Commission de Venise) ; </w:t>
      </w:r>
      <w:r>
        <w:rPr>
          <w:rFonts w:ascii="Calibri" w:cs="Calibri" w:eastAsia="Calibri" w:hAnsi="Calibri"/>
          <w:b/>
          <w:bCs/>
          <w:color w:val="1A1A1A"/>
          <w:sz w:val="20"/>
          <w:szCs w:val="20"/>
        </w:rPr>
        <w:t xml:space="preserve">Union européenne</w:t>
      </w:r>
      <w:r>
        <w:rPr>
          <w:rFonts w:ascii="Calibri" w:cs="Calibri" w:eastAsia="Calibri" w:hAnsi="Calibri"/>
          <w:color w:val="1A1A1A"/>
          <w:sz w:val="20"/>
          <w:szCs w:val="20"/>
        </w:rPr>
        <w:t xml:space="preserve"> (Médiateur européen, Agence des droits fondamentaux, Contrôleur européen de la protection des données).</w:t>
      </w:r>
    </w:p>
    <w:p>
      <w:pPr>
        <w:pStyle w:val="ListParagraph"/>
        <w:numPr>
          <w:ilvl w:val="0"/>
          <w:numId w:val="2"/>
        </w:numPr>
        <w:spacing w:after="70" w:line="264"/>
        <w:jc w:val="both"/>
      </w:pPr>
      <w:r>
        <w:rPr>
          <w:rFonts w:ascii="Calibri" w:cs="Calibri" w:eastAsia="Calibri" w:hAnsi="Calibri"/>
          <w:b/>
          <w:bCs/>
          <w:color w:val="1A1A1A"/>
          <w:sz w:val="20"/>
          <w:szCs w:val="20"/>
        </w:rPr>
        <w:t xml:space="preserve">Le paradoxe de la fiche</w:t>
      </w:r>
      <w:r>
        <w:rPr>
          <w:rFonts w:ascii="Calibri" w:cs="Calibri" w:eastAsia="Calibri" w:hAnsi="Calibri"/>
          <w:color w:val="1A1A1A"/>
          <w:sz w:val="20"/>
          <w:szCs w:val="20"/>
        </w:rPr>
        <w:t xml:space="preserve"> : leurs actes sont dépourvus de valeur contraignante — donc de sanction — mais leur </w:t>
      </w:r>
      <w:r>
        <w:rPr>
          <w:rFonts w:ascii="Calibri" w:cs="Calibri" w:eastAsia="Calibri" w:hAnsi="Calibri"/>
          <w:b/>
          <w:bCs/>
          <w:color w:val="1A1A1A"/>
          <w:sz w:val="20"/>
          <w:szCs w:val="20"/>
        </w:rPr>
        <w:t xml:space="preserve">indépendance</w:t>
      </w:r>
      <w:r>
        <w:rPr>
          <w:rFonts w:ascii="Calibri" w:cs="Calibri" w:eastAsia="Calibri" w:hAnsi="Calibri"/>
          <w:color w:val="1A1A1A"/>
          <w:sz w:val="20"/>
          <w:szCs w:val="20"/>
        </w:rPr>
        <w:t xml:space="preserve">, la </w:t>
      </w:r>
      <w:r>
        <w:rPr>
          <w:rFonts w:ascii="Calibri" w:cs="Calibri" w:eastAsia="Calibri" w:hAnsi="Calibri"/>
          <w:b/>
          <w:bCs/>
          <w:color w:val="1A1A1A"/>
          <w:sz w:val="20"/>
          <w:szCs w:val="20"/>
        </w:rPr>
        <w:t xml:space="preserve">publicité</w:t>
      </w:r>
      <w:r>
        <w:rPr>
          <w:rFonts w:ascii="Calibri" w:cs="Calibri" w:eastAsia="Calibri" w:hAnsi="Calibri"/>
          <w:color w:val="1A1A1A"/>
          <w:sz w:val="20"/>
          <w:szCs w:val="20"/>
        </w:rPr>
        <w:t xml:space="preserve"> qu’ils donnent aux violations et leur capacité à </w:t>
      </w:r>
      <w:r>
        <w:rPr>
          <w:rFonts w:ascii="Calibri" w:cs="Calibri" w:eastAsia="Calibri" w:hAnsi="Calibri"/>
          <w:b/>
          <w:bCs/>
          <w:color w:val="1A1A1A"/>
          <w:sz w:val="20"/>
          <w:szCs w:val="20"/>
        </w:rPr>
        <w:t xml:space="preserve">relayer leur action devant les juridictions</w:t>
      </w:r>
      <w:r>
        <w:rPr>
          <w:rFonts w:ascii="Calibri" w:cs="Calibri" w:eastAsia="Calibri" w:hAnsi="Calibri"/>
          <w:color w:val="1A1A1A"/>
          <w:sz w:val="20"/>
          <w:szCs w:val="20"/>
        </w:rPr>
        <w:t xml:space="preserve"> (tierce intervention, </w:t>
      </w:r>
      <w:r>
        <w:rPr>
          <w:rFonts w:ascii="Calibri" w:cs="Calibri" w:eastAsia="Calibri" w:hAnsi="Calibri"/>
          <w:i/>
          <w:iCs/>
          <w:color w:val="1A1A1A"/>
          <w:sz w:val="20"/>
          <w:szCs w:val="20"/>
        </w:rPr>
        <w:t xml:space="preserve">amicus curiae</w:t>
      </w:r>
      <w:r>
        <w:rPr>
          <w:rFonts w:ascii="Calibri" w:cs="Calibri" w:eastAsia="Calibri" w:hAnsi="Calibri"/>
          <w:color w:val="1A1A1A"/>
          <w:sz w:val="20"/>
          <w:szCs w:val="20"/>
        </w:rPr>
        <w:t xml:space="preserve">) leur confèrent une efficacité réelle quoique variable.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AGNU, résolution 60/251 du 15 mars 2006</w:t>
      </w:r>
      <w:r>
        <w:rPr>
          <w:rFonts w:ascii="Calibri" w:cs="Calibri" w:eastAsia="Calibri" w:hAnsi="Calibri"/>
          <w:color w:val="1A1A1A"/>
          <w:sz w:val="20"/>
          <w:szCs w:val="20"/>
        </w:rPr>
        <w:t xml:space="preserve"> : création du </w:t>
      </w:r>
      <w:r>
        <w:rPr>
          <w:rFonts w:ascii="Calibri" w:cs="Calibri" w:eastAsia="Calibri" w:hAnsi="Calibri"/>
          <w:b/>
          <w:bCs/>
          <w:color w:val="1A1A1A"/>
          <w:sz w:val="20"/>
          <w:szCs w:val="20"/>
        </w:rPr>
        <w:t xml:space="preserve">Conseil des droits de l’homme</w:t>
      </w:r>
      <w:r>
        <w:rPr>
          <w:rFonts w:ascii="Calibri" w:cs="Calibri" w:eastAsia="Calibri" w:hAnsi="Calibri"/>
          <w:color w:val="1A1A1A"/>
          <w:sz w:val="20"/>
          <w:szCs w:val="20"/>
        </w:rPr>
        <w:t xml:space="preserve">, siégeant à Genève, 47 membres élus pour trois ans, renouvelés par tiers chaque année — héritier de la Commission des droits de l’homme de 1946.</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AGNU, résolution 48/141 du 20 décembre 1993</w:t>
      </w:r>
      <w:r>
        <w:rPr>
          <w:rFonts w:ascii="Calibri" w:cs="Calibri" w:eastAsia="Calibri" w:hAnsi="Calibri"/>
          <w:color w:val="1A1A1A"/>
          <w:sz w:val="20"/>
          <w:szCs w:val="20"/>
        </w:rPr>
        <w:t xml:space="preserve"> : institution du </w:t>
      </w:r>
      <w:r>
        <w:rPr>
          <w:rFonts w:ascii="Calibri" w:cs="Calibri" w:eastAsia="Calibri" w:hAnsi="Calibri"/>
          <w:b/>
          <w:bCs/>
          <w:color w:val="1A1A1A"/>
          <w:sz w:val="20"/>
          <w:szCs w:val="20"/>
        </w:rPr>
        <w:t xml:space="preserve">Haut-Commissaire</w:t>
      </w:r>
      <w:r>
        <w:rPr>
          <w:rFonts w:ascii="Calibri" w:cs="Calibri" w:eastAsia="Calibri" w:hAnsi="Calibri"/>
          <w:color w:val="1A1A1A"/>
          <w:sz w:val="20"/>
          <w:szCs w:val="20"/>
        </w:rPr>
        <w:t xml:space="preserve"> chargé de promouvoir et de protéger tous les droits de l’homme ; mandat de quatre ans renouvelable une fois.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Comité des ministres, résolution (99)50 du 7 mai 1999</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Commissaire aux droits de l’homme</w:t>
      </w:r>
      <w:r>
        <w:rPr>
          <w:rFonts w:ascii="Calibri" w:cs="Calibri" w:eastAsia="Calibri" w:hAnsi="Calibri"/>
          <w:color w:val="1A1A1A"/>
          <w:sz w:val="20"/>
          <w:szCs w:val="20"/>
        </w:rPr>
        <w:t xml:space="preserve"> du Conseil de l’Europe, élu par l’Assemblée parlementaire, mandat de </w:t>
      </w:r>
      <w:r>
        <w:rPr>
          <w:rFonts w:ascii="Calibri" w:cs="Calibri" w:eastAsia="Calibri" w:hAnsi="Calibri"/>
          <w:b/>
          <w:bCs/>
          <w:color w:val="1A1A1A"/>
          <w:sz w:val="20"/>
          <w:szCs w:val="20"/>
        </w:rPr>
        <w:t xml:space="preserve">six ans non renouvelable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36 CEDH</w:t>
      </w:r>
      <w:r>
        <w:rPr>
          <w:rFonts w:ascii="Calibri" w:cs="Calibri" w:eastAsia="Calibri" w:hAnsi="Calibri"/>
          <w:color w:val="1A1A1A"/>
          <w:sz w:val="20"/>
          <w:szCs w:val="20"/>
        </w:rPr>
        <w:t xml:space="preserve"> : il peut présenter des observations écrites et prendre part aux audiences devant la Cour.</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Comité des ministres, résolution (90)6 relative à un Accord partiel portant création de la Commission européenne pour la démocratie par le droit</w:t>
      </w:r>
      <w:r>
        <w:rPr>
          <w:rFonts w:ascii="Calibri" w:cs="Calibri" w:eastAsia="Calibri" w:hAnsi="Calibri"/>
          <w:color w:val="1A1A1A"/>
          <w:sz w:val="20"/>
          <w:szCs w:val="20"/>
        </w:rPr>
        <w:t xml:space="preserve"> : la </w:t>
      </w:r>
      <w:r>
        <w:rPr>
          <w:rFonts w:ascii="Calibri" w:cs="Calibri" w:eastAsia="Calibri" w:hAnsi="Calibri"/>
          <w:b/>
          <w:bCs/>
          <w:color w:val="1A1A1A"/>
          <w:sz w:val="20"/>
          <w:szCs w:val="20"/>
        </w:rPr>
        <w:t xml:space="preserve">Commission de Venise</w:t>
      </w:r>
      <w:r>
        <w:rPr>
          <w:rFonts w:ascii="Calibri" w:cs="Calibri" w:eastAsia="Calibri" w:hAnsi="Calibri"/>
          <w:color w:val="1A1A1A"/>
          <w:sz w:val="20"/>
          <w:szCs w:val="20"/>
        </w:rPr>
        <w:t xml:space="preserve">, organe consultatif du Conseil de l’Europe.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Conseil, règlement n° 168/2007 du 15 février 2007</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Agence des droits fondamentaux de l’Union européenne</w:t>
      </w:r>
      <w:r>
        <w:rPr>
          <w:rFonts w:ascii="Calibri" w:cs="Calibri" w:eastAsia="Calibri" w:hAnsi="Calibri"/>
          <w:color w:val="1A1A1A"/>
          <w:sz w:val="20"/>
          <w:szCs w:val="20"/>
        </w:rPr>
        <w:t xml:space="preserve">, siégeant à Vienne, succédant à l’Observatoire européen des phénomènes racistes et xénophobes ; ses avis et rapports sont dépourvus de valeur juridiquement contraignante.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protection politique et administrative internationale contribue-t-elle à la protection des droits humains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contribution tangible</w:t>
      </w:r>
      <w:r>
        <w:rPr>
          <w:rFonts w:ascii="Calibri" w:cs="Calibri" w:eastAsia="Calibri" w:hAnsi="Calibri"/>
          <w:color w:val="1A1A1A"/>
          <w:sz w:val="20"/>
          <w:szCs w:val="20"/>
        </w:rPr>
        <w:t xml:space="preserve"> (A. La volonté de renforcer la protection en dehors des prétoires : diversité des organes, indépendance au sein des organisations internationales, diffusion d’une culture des droits humains et publicité des violations ; B. Des modalités efficaces de soutien : suggestions du Médiateur européen généralement suivies, observations du Commissaire devant la Cour (</w:t>
      </w:r>
      <w:r>
        <w:rPr>
          <w:rFonts w:ascii="Calibri" w:cs="Calibri" w:eastAsia="Calibri" w:hAnsi="Calibri"/>
          <w:color w:val="1E88E5"/>
          <w:sz w:val="20"/>
          <w:szCs w:val="20"/>
        </w:rPr>
        <w:t xml:space="preserve">art. 36 CEDH</w:t>
      </w:r>
      <w:r>
        <w:rPr>
          <w:rFonts w:ascii="Calibri" w:cs="Calibri" w:eastAsia="Calibri" w:hAnsi="Calibri"/>
          <w:color w:val="1A1A1A"/>
          <w:sz w:val="20"/>
          <w:szCs w:val="20"/>
        </w:rPr>
        <w:t xml:space="preserve">), mémoires </w:t>
      </w:r>
      <w:r>
        <w:rPr>
          <w:rFonts w:ascii="Calibri" w:cs="Calibri" w:eastAsia="Calibri" w:hAnsi="Calibri"/>
          <w:i/>
          <w:iCs/>
          <w:color w:val="1A1A1A"/>
          <w:sz w:val="20"/>
          <w:szCs w:val="20"/>
        </w:rPr>
        <w:t xml:space="preserve">amicus curiae</w:t>
      </w:r>
      <w:r>
        <w:rPr>
          <w:rFonts w:ascii="Calibri" w:cs="Calibri" w:eastAsia="Calibri" w:hAnsi="Calibri"/>
          <w:color w:val="1A1A1A"/>
          <w:sz w:val="20"/>
          <w:szCs w:val="20"/>
        </w:rPr>
        <w:t xml:space="preserve"> de la Commission de Venise, pouvoirs étendus du Contrôleur européen) / </w:t>
      </w:r>
      <w:r>
        <w:rPr>
          <w:rFonts w:ascii="Calibri" w:cs="Calibri" w:eastAsia="Calibri" w:hAnsi="Calibri"/>
          <w:b/>
          <w:bCs/>
          <w:color w:val="1A1A1A"/>
          <w:sz w:val="20"/>
          <w:szCs w:val="20"/>
        </w:rPr>
        <w:t xml:space="preserve">II. Une contribution existante mais affaiblie</w:t>
      </w:r>
      <w:r>
        <w:rPr>
          <w:rFonts w:ascii="Calibri" w:cs="Calibri" w:eastAsia="Calibri" w:hAnsi="Calibri"/>
          <w:color w:val="1A1A1A"/>
          <w:sz w:val="20"/>
          <w:szCs w:val="20"/>
        </w:rPr>
        <w:t xml:space="preserve"> (A. La valeur juridique variable des actes : absence de pouvoir contraignant et de sanction, méconnaissance par les citoyens ; B. L’affaiblissement consécutif aux critiques du droit international des droits humains : ingérence alléguée dans la souveraineté, perception d’une idéologie occidentale et coloniale, hostilité étatique, retraits de 2025).</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Protéger sans juger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Les instruments de la protection non juridictionnelle</w:t>
      </w:r>
      <w:r>
        <w:rPr>
          <w:rFonts w:ascii="Calibri" w:cs="Calibri" w:eastAsia="Calibri" w:hAnsi="Calibri"/>
          <w:color w:val="1A1A1A"/>
          <w:sz w:val="20"/>
          <w:szCs w:val="20"/>
        </w:rPr>
        <w:t xml:space="preserve"> (A. Visites, rapports, avis, enquêtes ; B. Les passerelles vers le prétoire : tierce intervention, </w:t>
      </w:r>
      <w:r>
        <w:rPr>
          <w:rFonts w:ascii="Calibri" w:cs="Calibri" w:eastAsia="Calibri" w:hAnsi="Calibri"/>
          <w:i/>
          <w:iCs/>
          <w:color w:val="1A1A1A"/>
          <w:sz w:val="20"/>
          <w:szCs w:val="20"/>
        </w:rPr>
        <w:t xml:space="preserve">amicus curiae</w:t>
      </w:r>
      <w:r>
        <w:rPr>
          <w:rFonts w:ascii="Calibri" w:cs="Calibri" w:eastAsia="Calibri" w:hAnsi="Calibri"/>
          <w:color w:val="1A1A1A"/>
          <w:sz w:val="20"/>
          <w:szCs w:val="20"/>
        </w:rPr>
        <w:t xml:space="preserve">, saisine de la Cour de justice) / </w:t>
      </w:r>
      <w:r>
        <w:rPr>
          <w:rFonts w:ascii="Calibri" w:cs="Calibri" w:eastAsia="Calibri" w:hAnsi="Calibri"/>
          <w:b/>
          <w:bCs/>
          <w:color w:val="1A1A1A"/>
          <w:sz w:val="20"/>
          <w:szCs w:val="20"/>
        </w:rPr>
        <w:t xml:space="preserve">II. Leurs conditions d’efficacité</w:t>
      </w:r>
      <w:r>
        <w:rPr>
          <w:rFonts w:ascii="Calibri" w:cs="Calibri" w:eastAsia="Calibri" w:hAnsi="Calibri"/>
          <w:color w:val="1A1A1A"/>
          <w:sz w:val="20"/>
          <w:szCs w:val="20"/>
        </w:rPr>
        <w:t xml:space="preserve"> (A. L’indépendance et la publicité ; B. Le relais juridictionnel et la volonté politique des États).</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Comité des droits de l’homme ≠ Conseil des droits de l’homme</w:t>
      </w:r>
      <w:r>
        <w:rPr>
          <w:rFonts w:ascii="Calibri" w:cs="Calibri" w:eastAsia="Calibri" w:hAnsi="Calibri"/>
          <w:color w:val="1A1A1A"/>
          <w:sz w:val="20"/>
          <w:szCs w:val="20"/>
        </w:rPr>
        <w:t xml:space="preserve"> : organe de traité composé d’experts d’un côté, organe intergouvernemental composé d’États et chargé de l’examen périodique universel de l’autre.</w:t>
      </w:r>
    </w:p>
    <w:p>
      <w:pPr>
        <w:pStyle w:val="ListParagraph"/>
        <w:numPr>
          <w:ilvl w:val="0"/>
          <w:numId w:val="2"/>
        </w:numPr>
        <w:spacing w:after="70" w:line="264"/>
        <w:jc w:val="both"/>
      </w:pPr>
      <w:r>
        <w:rPr>
          <w:rFonts w:ascii="Calibri" w:cs="Calibri" w:eastAsia="Calibri" w:hAnsi="Calibri"/>
          <w:b/>
          <w:bCs/>
          <w:color w:val="1A1A1A"/>
          <w:sz w:val="20"/>
          <w:szCs w:val="20"/>
        </w:rPr>
        <w:t xml:space="preserve">Le Commissaire aux droits de l’homme ne peut pas être saisi par requête individuelle</w:t>
      </w:r>
      <w:r>
        <w:rPr>
          <w:rFonts w:ascii="Calibri" w:cs="Calibri" w:eastAsia="Calibri" w:hAnsi="Calibri"/>
          <w:color w:val="1A1A1A"/>
          <w:sz w:val="20"/>
          <w:szCs w:val="20"/>
        </w:rPr>
        <w:t xml:space="preserve"> ; il peut en revanche présenter des observations écrites et prendre part aux audiences devant la Cour européenne (</w:t>
      </w:r>
      <w:r>
        <w:rPr>
          <w:rFonts w:ascii="Calibri" w:cs="Calibri" w:eastAsia="Calibri" w:hAnsi="Calibri"/>
          <w:color w:val="1E88E5"/>
          <w:sz w:val="20"/>
          <w:szCs w:val="20"/>
        </w:rPr>
        <w:t xml:space="preserve">art. 36 CEDH</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Contrôleur européen de la protection des données n’est pas élu</w:t>
      </w:r>
      <w:r>
        <w:rPr>
          <w:rFonts w:ascii="Calibri" w:cs="Calibri" w:eastAsia="Calibri" w:hAnsi="Calibri"/>
          <w:color w:val="1A1A1A"/>
          <w:sz w:val="20"/>
          <w:szCs w:val="20"/>
        </w:rPr>
        <w:t xml:space="preserve"> : il est </w:t>
      </w:r>
      <w:r>
        <w:rPr>
          <w:rFonts w:ascii="Calibri" w:cs="Calibri" w:eastAsia="Calibri" w:hAnsi="Calibri"/>
          <w:b/>
          <w:bCs/>
          <w:color w:val="1A1A1A"/>
          <w:sz w:val="20"/>
          <w:szCs w:val="20"/>
        </w:rPr>
        <w:t xml:space="preserve">nommé conjointement</w:t>
      </w:r>
      <w:r>
        <w:rPr>
          <w:rFonts w:ascii="Calibri" w:cs="Calibri" w:eastAsia="Calibri" w:hAnsi="Calibri"/>
          <w:color w:val="1A1A1A"/>
          <w:sz w:val="20"/>
          <w:szCs w:val="20"/>
        </w:rPr>
        <w:t xml:space="preserve"> par le Parlement européen et le Conseil. À ne pas confondre avec le </w:t>
      </w:r>
      <w:r>
        <w:rPr>
          <w:rFonts w:ascii="Calibri" w:cs="Calibri" w:eastAsia="Calibri" w:hAnsi="Calibri"/>
          <w:b/>
          <w:bCs/>
          <w:color w:val="1A1A1A"/>
          <w:sz w:val="20"/>
          <w:szCs w:val="20"/>
        </w:rPr>
        <w:t xml:space="preserve">Comité européen de la protection des données</w:t>
      </w:r>
      <w:r>
        <w:rPr>
          <w:rFonts w:ascii="Calibri" w:cs="Calibri" w:eastAsia="Calibri" w:hAnsi="Calibri"/>
          <w:color w:val="1A1A1A"/>
          <w:sz w:val="20"/>
          <w:szCs w:val="20"/>
        </w:rPr>
        <w:t xml:space="preserve">, institué en 2018.</w:t>
      </w:r>
    </w:p>
    <w:p>
      <w:r>
        <w:br w:type="page"/>
      </w:r>
    </w:p>
    <w:p>
      <w:pPr>
        <w:pStyle w:val="Heading2"/>
        <w:spacing w:after="120" w:before="280"/>
      </w:pPr>
      <w:r>
        <w:rPr>
          <w:rFonts w:ascii="Calibri" w:cs="Calibri" w:eastAsia="Calibri" w:hAnsi="Calibri"/>
          <w:b/>
          <w:bCs/>
          <w:color w:val="1A1A1A"/>
          <w:sz w:val="24"/>
          <w:szCs w:val="24"/>
        </w:rPr>
        <w:t xml:space="preserve">1. Les organes des Nations unies</w:t>
      </w:r>
    </w:p>
    <w:p>
      <w:pPr>
        <w:pStyle w:val="ListParagraph"/>
        <w:numPr>
          <w:ilvl w:val="0"/>
          <w:numId w:val="2"/>
        </w:numPr>
        <w:spacing w:after="70" w:line="264"/>
        <w:jc w:val="both"/>
      </w:pPr>
      <w:r>
        <w:rPr>
          <w:rFonts w:ascii="Calibri" w:cs="Calibri" w:eastAsia="Calibri" w:hAnsi="Calibri"/>
          <w:color w:val="1E88E5"/>
          <w:sz w:val="20"/>
          <w:szCs w:val="20"/>
        </w:rPr>
        <w:t xml:space="preserve">Charte des Nations unies, art. 1er</w:t>
      </w:r>
      <w:r>
        <w:rPr>
          <w:rFonts w:ascii="Calibri" w:cs="Calibri" w:eastAsia="Calibri" w:hAnsi="Calibri"/>
          <w:color w:val="1A1A1A"/>
          <w:sz w:val="20"/>
          <w:szCs w:val="20"/>
        </w:rPr>
        <w:t xml:space="preserve"> : les buts des Nations unies, irrigués par le maintien de la paix et de la sécurité internationales, se réalisent notamment par le développement et l’encouragement des droits humains et libertés fondamentales. Mais </w:t>
      </w:r>
      <w:r>
        <w:rPr>
          <w:rFonts w:ascii="Calibri" w:cs="Calibri" w:eastAsia="Calibri" w:hAnsi="Calibri"/>
          <w:b/>
          <w:bCs/>
          <w:color w:val="1A1A1A"/>
          <w:sz w:val="20"/>
          <w:szCs w:val="20"/>
        </w:rPr>
        <w:t xml:space="preserve">aucune juridiction internationale rattachée à l’Organisation</w:t>
      </w:r>
      <w:r>
        <w:rPr>
          <w:rFonts w:ascii="Calibri" w:cs="Calibri" w:eastAsia="Calibri" w:hAnsi="Calibri"/>
          <w:color w:val="1A1A1A"/>
          <w:sz w:val="20"/>
          <w:szCs w:val="20"/>
        </w:rPr>
        <w:t xml:space="preserve"> n’est chargée de veiller au respect des instruments relatifs aux droits humains : les Nations unies ont donc développé un système de protection </w:t>
      </w:r>
      <w:r>
        <w:rPr>
          <w:rFonts w:ascii="Calibri" w:cs="Calibri" w:eastAsia="Calibri" w:hAnsi="Calibri"/>
          <w:b/>
          <w:bCs/>
          <w:color w:val="1A1A1A"/>
          <w:sz w:val="20"/>
          <w:szCs w:val="20"/>
        </w:rPr>
        <w:t xml:space="preserve">politique et administrative</w:t>
      </w:r>
      <w:r>
        <w:rPr>
          <w:rFonts w:ascii="Calibri" w:cs="Calibri" w:eastAsia="Calibri" w:hAnsi="Calibri"/>
          <w:color w:val="1A1A1A"/>
          <w:sz w:val="20"/>
          <w:szCs w:val="20"/>
        </w:rPr>
        <w:t xml:space="preserve">, en dehors des comités conventionnels.</w:t>
      </w:r>
    </w:p>
    <w:p>
      <w:pPr>
        <w:pStyle w:val="Heading3"/>
        <w:spacing w:after="90" w:before="200"/>
      </w:pPr>
      <w:r>
        <w:rPr>
          <w:rFonts w:ascii="Calibri" w:cs="Calibri" w:eastAsia="Calibri" w:hAnsi="Calibri"/>
          <w:b/>
          <w:bCs/>
          <w:i/>
          <w:iCs/>
          <w:color w:val="5A5A5A"/>
          <w:sz w:val="21"/>
          <w:szCs w:val="21"/>
        </w:rPr>
        <w:t xml:space="preserve">1.1. Le Conseil des droits de l’homme</w:t>
      </w:r>
    </w:p>
    <w:p>
      <w:pPr>
        <w:pStyle w:val="ListParagraph"/>
        <w:numPr>
          <w:ilvl w:val="0"/>
          <w:numId w:val="2"/>
        </w:numPr>
        <w:spacing w:after="70" w:line="264"/>
        <w:jc w:val="both"/>
      </w:pPr>
      <w:r>
        <w:rPr>
          <w:rFonts w:ascii="Calibri" w:cs="Calibri" w:eastAsia="Calibri" w:hAnsi="Calibri"/>
          <w:b/>
          <w:bCs/>
          <w:color w:val="1A1A1A"/>
          <w:sz w:val="20"/>
          <w:szCs w:val="20"/>
        </w:rPr>
        <w:t xml:space="preserve">Nature et création</w:t>
      </w:r>
      <w:r>
        <w:rPr>
          <w:rFonts w:ascii="Calibri" w:cs="Calibri" w:eastAsia="Calibri" w:hAnsi="Calibri"/>
          <w:color w:val="1A1A1A"/>
          <w:sz w:val="20"/>
          <w:szCs w:val="20"/>
        </w:rPr>
        <w:t xml:space="preserve"> : organe </w:t>
      </w:r>
      <w:r>
        <w:rPr>
          <w:rFonts w:ascii="Calibri" w:cs="Calibri" w:eastAsia="Calibri" w:hAnsi="Calibri"/>
          <w:b/>
          <w:bCs/>
          <w:color w:val="1A1A1A"/>
          <w:sz w:val="20"/>
          <w:szCs w:val="20"/>
        </w:rPr>
        <w:t xml:space="preserve">intergouvernemental</w:t>
      </w:r>
      <w:r>
        <w:rPr>
          <w:rFonts w:ascii="Calibri" w:cs="Calibri" w:eastAsia="Calibri" w:hAnsi="Calibri"/>
          <w:color w:val="1A1A1A"/>
          <w:sz w:val="20"/>
          <w:szCs w:val="20"/>
        </w:rPr>
        <w:t xml:space="preserve">, héritier de la Commission des droits de l’homme créée par une résolution en 1946, chargé de la promotion et de la protection des droits humains. Créé en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par la </w:t>
      </w:r>
      <w:r>
        <w:rPr>
          <w:rFonts w:ascii="Calibri" w:cs="Calibri" w:eastAsia="Calibri" w:hAnsi="Calibri"/>
          <w:color w:val="1E88E5"/>
          <w:sz w:val="20"/>
          <w:szCs w:val="20"/>
        </w:rPr>
        <w:t xml:space="preserve">résolution 60/251 de l’Assemblée générale du 15 mars 2006</w:t>
      </w:r>
      <w:r>
        <w:rPr>
          <w:rFonts w:ascii="Calibri" w:cs="Calibri" w:eastAsia="Calibri" w:hAnsi="Calibri"/>
          <w:color w:val="1A1A1A"/>
          <w:sz w:val="20"/>
          <w:szCs w:val="20"/>
        </w:rPr>
        <w:t xml:space="preserve">, il siège à </w:t>
      </w:r>
      <w:r>
        <w:rPr>
          <w:rFonts w:ascii="Calibri" w:cs="Calibri" w:eastAsia="Calibri" w:hAnsi="Calibri"/>
          <w:b/>
          <w:bCs/>
          <w:color w:val="1A1A1A"/>
          <w:sz w:val="20"/>
          <w:szCs w:val="20"/>
        </w:rPr>
        <w:t xml:space="preserve">Genève</w:t>
      </w:r>
      <w:r>
        <w:rPr>
          <w:rFonts w:ascii="Calibri" w:cs="Calibri" w:eastAsia="Calibri" w:hAnsi="Calibri"/>
          <w:color w:val="1A1A1A"/>
          <w:sz w:val="20"/>
          <w:szCs w:val="20"/>
        </w:rPr>
        <w:t xml:space="preserve">. Son prédécesseur avait fait l’objet de vives critiques tant en raison de sa composition que de l’orientation politique de ses prises de position.</w:t>
      </w:r>
    </w:p>
    <w:p>
      <w:pPr>
        <w:pStyle w:val="ListParagraph"/>
        <w:numPr>
          <w:ilvl w:val="0"/>
          <w:numId w:val="2"/>
        </w:numPr>
        <w:spacing w:after="70" w:line="264"/>
        <w:jc w:val="both"/>
      </w:pPr>
      <w:r>
        <w:rPr>
          <w:rFonts w:ascii="Calibri" w:cs="Calibri" w:eastAsia="Calibri" w:hAnsi="Calibri"/>
          <w:b/>
          <w:bCs/>
          <w:color w:val="1A1A1A"/>
          <w:sz w:val="20"/>
          <w:szCs w:val="20"/>
        </w:rPr>
        <w:t xml:space="preserve">Composition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47 membres</w:t>
      </w:r>
      <w:r>
        <w:rPr>
          <w:rFonts w:ascii="Calibri" w:cs="Calibri" w:eastAsia="Calibri" w:hAnsi="Calibri"/>
          <w:color w:val="1A1A1A"/>
          <w:sz w:val="20"/>
          <w:szCs w:val="20"/>
        </w:rPr>
        <w:t xml:space="preserve"> élus par l’Assemblée générale pour un mandat de </w:t>
      </w:r>
      <w:r>
        <w:rPr>
          <w:rFonts w:ascii="Calibri" w:cs="Calibri" w:eastAsia="Calibri" w:hAnsi="Calibri"/>
          <w:b/>
          <w:bCs/>
          <w:color w:val="1A1A1A"/>
          <w:sz w:val="20"/>
          <w:szCs w:val="20"/>
        </w:rPr>
        <w:t xml:space="preserve">trois ans</w:t>
      </w:r>
      <w:r>
        <w:rPr>
          <w:rFonts w:ascii="Calibri" w:cs="Calibri" w:eastAsia="Calibri" w:hAnsi="Calibri"/>
          <w:color w:val="1A1A1A"/>
          <w:sz w:val="20"/>
          <w:szCs w:val="20"/>
        </w:rPr>
        <w:t xml:space="preserve">, en tenant compte de la représentativité des zones géographiques ; le </w:t>
      </w:r>
      <w:r>
        <w:rPr>
          <w:rFonts w:ascii="Calibri" w:cs="Calibri" w:eastAsia="Calibri" w:hAnsi="Calibri"/>
          <w:b/>
          <w:bCs/>
          <w:color w:val="1A1A1A"/>
          <w:sz w:val="20"/>
          <w:szCs w:val="20"/>
        </w:rPr>
        <w:t xml:space="preserve">tiers des sièges</w:t>
      </w:r>
      <w:r>
        <w:rPr>
          <w:rFonts w:ascii="Calibri" w:cs="Calibri" w:eastAsia="Calibri" w:hAnsi="Calibri"/>
          <w:color w:val="1A1A1A"/>
          <w:sz w:val="20"/>
          <w:szCs w:val="20"/>
        </w:rPr>
        <w:t xml:space="preserve"> est renouvelé chaque année. Président actuel : le diplomate </w:t>
      </w:r>
      <w:r>
        <w:rPr>
          <w:rFonts w:ascii="Calibri" w:cs="Calibri" w:eastAsia="Calibri" w:hAnsi="Calibri"/>
          <w:b/>
          <w:bCs/>
          <w:color w:val="1A1A1A"/>
          <w:sz w:val="20"/>
          <w:szCs w:val="20"/>
        </w:rPr>
        <w:t xml:space="preserve">Omar Zniber</w:t>
      </w:r>
      <w:r>
        <w:rPr>
          <w:rFonts w:ascii="Calibri" w:cs="Calibri" w:eastAsia="Calibri" w:hAnsi="Calibri"/>
          <w:color w:val="1A1A1A"/>
          <w:sz w:val="20"/>
          <w:szCs w:val="20"/>
        </w:rPr>
        <w:t xml:space="preserve"> (Maroc), depuis 2024.</w:t>
      </w:r>
    </w:p>
    <w:p>
      <w:pPr>
        <w:pStyle w:val="ListParagraph"/>
        <w:numPr>
          <w:ilvl w:val="0"/>
          <w:numId w:val="2"/>
        </w:numPr>
        <w:spacing w:after="70" w:line="264"/>
        <w:jc w:val="both"/>
      </w:pPr>
      <w:r>
        <w:rPr>
          <w:rFonts w:ascii="Calibri" w:cs="Calibri" w:eastAsia="Calibri" w:hAnsi="Calibri"/>
          <w:b/>
          <w:bCs/>
          <w:color w:val="1A1A1A"/>
          <w:sz w:val="20"/>
          <w:szCs w:val="20"/>
        </w:rPr>
        <w:t xml:space="preserve">Missions</w:t>
      </w:r>
      <w:r>
        <w:rPr>
          <w:rFonts w:ascii="Calibri" w:cs="Calibri" w:eastAsia="Calibri" w:hAnsi="Calibri"/>
          <w:color w:val="1A1A1A"/>
          <w:sz w:val="20"/>
          <w:szCs w:val="20"/>
        </w:rPr>
        <w:t xml:space="preserve"> : promotion et défense des droits humains ; examen des violations et recommandations à l’Assemblée générale ; conduite de l’</w:t>
      </w:r>
      <w:r>
        <w:rPr>
          <w:rFonts w:ascii="Calibri" w:cs="Calibri" w:eastAsia="Calibri" w:hAnsi="Calibri"/>
          <w:b/>
          <w:bCs/>
          <w:color w:val="1A1A1A"/>
          <w:sz w:val="20"/>
          <w:szCs w:val="20"/>
        </w:rPr>
        <w:t xml:space="preserve">examen périodique universel</w:t>
      </w:r>
      <w:r>
        <w:rPr>
          <w:rFonts w:ascii="Calibri" w:cs="Calibri" w:eastAsia="Calibri" w:hAnsi="Calibri"/>
          <w:color w:val="1A1A1A"/>
          <w:sz w:val="20"/>
          <w:szCs w:val="20"/>
        </w:rPr>
        <w:t xml:space="preserve"> afin de dresser un bilan des droits humains à travers le monde ; </w:t>
      </w:r>
      <w:r>
        <w:rPr>
          <w:rFonts w:ascii="Calibri" w:cs="Calibri" w:eastAsia="Calibri" w:hAnsi="Calibri"/>
          <w:b/>
          <w:bCs/>
          <w:color w:val="1A1A1A"/>
          <w:sz w:val="20"/>
          <w:szCs w:val="20"/>
        </w:rPr>
        <w:t xml:space="preserve">procédures spéciales</w:t>
      </w:r>
      <w:r>
        <w:rPr>
          <w:rFonts w:ascii="Calibri" w:cs="Calibri" w:eastAsia="Calibri" w:hAnsi="Calibri"/>
          <w:color w:val="1A1A1A"/>
          <w:sz w:val="20"/>
          <w:szCs w:val="20"/>
        </w:rPr>
        <w:t xml:space="preserve"> — des experts indépendants dressent un rapport sur la situation des droits humains dans un pays ou sur un thème spécifique ; </w:t>
      </w:r>
      <w:r>
        <w:rPr>
          <w:rFonts w:ascii="Calibri" w:cs="Calibri" w:eastAsia="Calibri" w:hAnsi="Calibri"/>
          <w:b/>
          <w:bCs/>
          <w:color w:val="1A1A1A"/>
          <w:sz w:val="20"/>
          <w:szCs w:val="20"/>
        </w:rPr>
        <w:t xml:space="preserve">procédure de requête</w:t>
      </w:r>
      <w:r>
        <w:rPr>
          <w:rFonts w:ascii="Calibri" w:cs="Calibri" w:eastAsia="Calibri" w:hAnsi="Calibri"/>
          <w:color w:val="1A1A1A"/>
          <w:sz w:val="20"/>
          <w:szCs w:val="20"/>
        </w:rPr>
        <w:t xml:space="preserve"> instaurée en 2007 afin de permettre le signalement de graves violations (</w:t>
      </w:r>
      <w:r>
        <w:rPr>
          <w:rFonts w:ascii="Calibri" w:cs="Calibri" w:eastAsia="Calibri" w:hAnsi="Calibri"/>
          <w:color w:val="1E88E5"/>
          <w:sz w:val="20"/>
          <w:szCs w:val="20"/>
        </w:rPr>
        <w:t xml:space="preserve">Conseil des droits de l’homme, résolution 5/1 du 18 juin 2007</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Les divers actes émis n’ont pas de valeur contraignante</w:t>
      </w:r>
      <w:r>
        <w:rPr>
          <w:rFonts w:ascii="Calibri" w:cs="Calibri" w:eastAsia="Calibri" w:hAnsi="Calibri"/>
          <w:color w:val="1A1A1A"/>
          <w:sz w:val="20"/>
          <w:szCs w:val="20"/>
        </w:rPr>
        <w:t xml:space="preserve"> pour les États.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3 avril 2025</w:t>
      </w:r>
      <w:r>
        <w:rPr>
          <w:rFonts w:ascii="Calibri" w:cs="Calibri" w:eastAsia="Calibri" w:hAnsi="Calibri"/>
          <w:color w:val="1A1A1A"/>
          <w:sz w:val="20"/>
          <w:szCs w:val="20"/>
        </w:rPr>
        <w:t xml:space="preserve">, le Conseil a adopté une résolution créant un </w:t>
      </w:r>
      <w:r>
        <w:rPr>
          <w:rFonts w:ascii="Calibri" w:cs="Calibri" w:eastAsia="Calibri" w:hAnsi="Calibri"/>
          <w:b/>
          <w:bCs/>
          <w:color w:val="1A1A1A"/>
          <w:sz w:val="20"/>
          <w:szCs w:val="20"/>
        </w:rPr>
        <w:t xml:space="preserve">groupe de travail intergouvernemental</w:t>
      </w:r>
      <w:r>
        <w:rPr>
          <w:rFonts w:ascii="Calibri" w:cs="Calibri" w:eastAsia="Calibri" w:hAnsi="Calibri"/>
          <w:color w:val="1A1A1A"/>
          <w:sz w:val="20"/>
          <w:szCs w:val="20"/>
        </w:rPr>
        <w:t xml:space="preserve"> chargé d’élaborer une convention contraignante relative aux droits humains des </w:t>
      </w:r>
      <w:r>
        <w:rPr>
          <w:rFonts w:ascii="Calibri" w:cs="Calibri" w:eastAsia="Calibri" w:hAnsi="Calibri"/>
          <w:b/>
          <w:bCs/>
          <w:color w:val="1A1A1A"/>
          <w:sz w:val="20"/>
          <w:szCs w:val="20"/>
        </w:rPr>
        <w:t xml:space="preserve">personnes âgées</w:t>
      </w:r>
      <w:r>
        <w:rPr>
          <w:rFonts w:ascii="Calibri" w:cs="Calibri" w:eastAsia="Calibri" w:hAnsi="Calibri"/>
          <w:color w:val="1A1A1A"/>
          <w:sz w:val="20"/>
          <w:szCs w:val="20"/>
        </w:rPr>
        <w:t xml:space="preserve">. Et l’année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a été marquée par le </w:t>
      </w:r>
      <w:r>
        <w:rPr>
          <w:rFonts w:ascii="Calibri" w:cs="Calibri" w:eastAsia="Calibri" w:hAnsi="Calibri"/>
          <w:b/>
          <w:bCs/>
          <w:color w:val="1A1A1A"/>
          <w:sz w:val="20"/>
          <w:szCs w:val="20"/>
        </w:rPr>
        <w:t xml:space="preserve">retrait</w:t>
      </w:r>
      <w:r>
        <w:rPr>
          <w:rFonts w:ascii="Calibri" w:cs="Calibri" w:eastAsia="Calibri" w:hAnsi="Calibri"/>
          <w:color w:val="1A1A1A"/>
          <w:sz w:val="20"/>
          <w:szCs w:val="20"/>
        </w:rPr>
        <w:t xml:space="preserve"> de plusieurs États : les </w:t>
      </w:r>
      <w:r>
        <w:rPr>
          <w:rFonts w:ascii="Calibri" w:cs="Calibri" w:eastAsia="Calibri" w:hAnsi="Calibri"/>
          <w:b/>
          <w:bCs/>
          <w:color w:val="1A1A1A"/>
          <w:sz w:val="20"/>
          <w:szCs w:val="20"/>
        </w:rPr>
        <w:t xml:space="preserve">États-Unis, Israël et le Nicaragua</w:t>
      </w:r>
      <w:r>
        <w:rPr>
          <w:rFonts w:ascii="Calibri" w:cs="Calibri" w:eastAsia="Calibri" w:hAnsi="Calibri"/>
          <w:color w:val="1A1A1A"/>
          <w:sz w:val="20"/>
          <w:szCs w:val="20"/>
        </w:rPr>
        <w:t xml:space="preserve"> ; pour les États-Unis et le Nicaragua, il s’agit d’un </w:t>
      </w:r>
      <w:r>
        <w:rPr>
          <w:rFonts w:ascii="Calibri" w:cs="Calibri" w:eastAsia="Calibri" w:hAnsi="Calibri"/>
          <w:b/>
          <w:bCs/>
          <w:color w:val="1A1A1A"/>
          <w:sz w:val="20"/>
          <w:szCs w:val="20"/>
        </w:rPr>
        <w:t xml:space="preserve">second retrait</w:t>
      </w:r>
      <w:r>
        <w:rPr>
          <w:rFonts w:ascii="Calibri" w:cs="Calibri" w:eastAsia="Calibri" w:hAnsi="Calibri"/>
          <w:color w:val="1A1A1A"/>
          <w:sz w:val="20"/>
          <w:szCs w:val="20"/>
        </w:rPr>
        <w:t xml:space="preserve"> (respectivement en 2018 et 2022).</w:t>
      </w:r>
    </w:p>
    <w:p>
      <w:pPr>
        <w:pStyle w:val="Heading3"/>
        <w:spacing w:after="90" w:before="200"/>
      </w:pPr>
      <w:r>
        <w:rPr>
          <w:rFonts w:ascii="Calibri" w:cs="Calibri" w:eastAsia="Calibri" w:hAnsi="Calibri"/>
          <w:b/>
          <w:bCs/>
          <w:i/>
          <w:iCs/>
          <w:color w:val="5A5A5A"/>
          <w:sz w:val="21"/>
          <w:szCs w:val="21"/>
        </w:rPr>
        <w:t xml:space="preserve">1.2. Le Haut-Commissariat aux droits de l’homme</w:t>
      </w:r>
    </w:p>
    <w:p>
      <w:pPr>
        <w:pStyle w:val="ListParagraph"/>
        <w:numPr>
          <w:ilvl w:val="0"/>
          <w:numId w:val="2"/>
        </w:numPr>
        <w:spacing w:after="70" w:line="264"/>
        <w:jc w:val="both"/>
      </w:pPr>
      <w:r>
        <w:rPr>
          <w:rFonts w:ascii="Calibri" w:cs="Calibri" w:eastAsia="Calibri" w:hAnsi="Calibri"/>
          <w:color w:val="1A1A1A"/>
          <w:sz w:val="20"/>
          <w:szCs w:val="20"/>
        </w:rPr>
        <w:t xml:space="preserve">Créé par la </w:t>
      </w:r>
      <w:r>
        <w:rPr>
          <w:rFonts w:ascii="Calibri" w:cs="Calibri" w:eastAsia="Calibri" w:hAnsi="Calibri"/>
          <w:color w:val="1E88E5"/>
          <w:sz w:val="20"/>
          <w:szCs w:val="20"/>
        </w:rPr>
        <w:t xml:space="preserve">résolution 48/141 de l’Assemblée générale du 20 décembre 1993</w:t>
      </w:r>
      <w:r>
        <w:rPr>
          <w:rFonts w:ascii="Calibri" w:cs="Calibri" w:eastAsia="Calibri" w:hAnsi="Calibri"/>
          <w:color w:val="1A1A1A"/>
          <w:sz w:val="20"/>
          <w:szCs w:val="20"/>
        </w:rPr>
        <w:t xml:space="preserve">. Le Haut-Commissaire est </w:t>
      </w:r>
      <w:r>
        <w:rPr>
          <w:rFonts w:ascii="Calibri" w:cs="Calibri" w:eastAsia="Calibri" w:hAnsi="Calibri"/>
          <w:b/>
          <w:bCs/>
          <w:color w:val="1A1A1A"/>
          <w:sz w:val="20"/>
          <w:szCs w:val="20"/>
        </w:rPr>
        <w:t xml:space="preserve">nommé par le Secrétaire général</w:t>
      </w:r>
      <w:r>
        <w:rPr>
          <w:rFonts w:ascii="Calibri" w:cs="Calibri" w:eastAsia="Calibri" w:hAnsi="Calibri"/>
          <w:color w:val="1A1A1A"/>
          <w:sz w:val="20"/>
          <w:szCs w:val="20"/>
        </w:rPr>
        <w:t xml:space="preserve"> des Nations unies ; mandat de </w:t>
      </w:r>
      <w:r>
        <w:rPr>
          <w:rFonts w:ascii="Calibri" w:cs="Calibri" w:eastAsia="Calibri" w:hAnsi="Calibri"/>
          <w:b/>
          <w:bCs/>
          <w:color w:val="1A1A1A"/>
          <w:sz w:val="20"/>
          <w:szCs w:val="20"/>
        </w:rPr>
        <w:t xml:space="preserve">quatre ans renouvelable une fois</w:t>
      </w:r>
      <w:r>
        <w:rPr>
          <w:rFonts w:ascii="Calibri" w:cs="Calibri" w:eastAsia="Calibri" w:hAnsi="Calibri"/>
          <w:color w:val="1A1A1A"/>
          <w:sz w:val="20"/>
          <w:szCs w:val="20"/>
        </w:rPr>
        <w:t xml:space="preserve">. Depuis 2022, le Haut-Commissaire est </w:t>
      </w:r>
      <w:r>
        <w:rPr>
          <w:rFonts w:ascii="Calibri" w:cs="Calibri" w:eastAsia="Calibri" w:hAnsi="Calibri"/>
          <w:b/>
          <w:bCs/>
          <w:color w:val="1A1A1A"/>
          <w:sz w:val="20"/>
          <w:szCs w:val="20"/>
        </w:rPr>
        <w:t xml:space="preserve">Volker Türk</w:t>
      </w:r>
      <w:r>
        <w:rPr>
          <w:rFonts w:ascii="Calibri" w:cs="Calibri" w:eastAsia="Calibri" w:hAnsi="Calibri"/>
          <w:color w:val="1A1A1A"/>
          <w:sz w:val="20"/>
          <w:szCs w:val="20"/>
        </w:rPr>
        <w:t xml:space="preserve"> (Autriche). Il est chargé de la coordination de la promotion des droits humains au sein des Nations unies ; bien que ses actions n’aient </w:t>
      </w:r>
      <w:r>
        <w:rPr>
          <w:rFonts w:ascii="Calibri" w:cs="Calibri" w:eastAsia="Calibri" w:hAnsi="Calibri"/>
          <w:b/>
          <w:bCs/>
          <w:color w:val="1A1A1A"/>
          <w:sz w:val="20"/>
          <w:szCs w:val="20"/>
        </w:rPr>
        <w:t xml:space="preserve">pas de force juridiquement contraignante</w:t>
      </w:r>
      <w:r>
        <w:rPr>
          <w:rFonts w:ascii="Calibri" w:cs="Calibri" w:eastAsia="Calibri" w:hAnsi="Calibri"/>
          <w:color w:val="1A1A1A"/>
          <w:sz w:val="20"/>
          <w:szCs w:val="20"/>
        </w:rPr>
        <w:t xml:space="preserve">, il exerce une </w:t>
      </w:r>
      <w:r>
        <w:rPr>
          <w:rFonts w:ascii="Calibri" w:cs="Calibri" w:eastAsia="Calibri" w:hAnsi="Calibri"/>
          <w:b/>
          <w:bCs/>
          <w:color w:val="1A1A1A"/>
          <w:sz w:val="20"/>
          <w:szCs w:val="20"/>
        </w:rPr>
        <w:t xml:space="preserve">influence politique importante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Les organes du Conseil de l’Europe</w:t>
      </w:r>
    </w:p>
    <w:p>
      <w:pPr>
        <w:pStyle w:val="Heading3"/>
        <w:spacing w:after="90" w:before="200"/>
      </w:pPr>
      <w:r>
        <w:rPr>
          <w:rFonts w:ascii="Calibri" w:cs="Calibri" w:eastAsia="Calibri" w:hAnsi="Calibri"/>
          <w:b/>
          <w:bCs/>
          <w:i/>
          <w:iCs/>
          <w:color w:val="5A5A5A"/>
          <w:sz w:val="21"/>
          <w:szCs w:val="21"/>
        </w:rPr>
        <w:t xml:space="preserve">2.1. Le Commissaire aux droits de l’homme</w:t>
      </w:r>
    </w:p>
    <w:p>
      <w:pPr>
        <w:pStyle w:val="ListParagraph"/>
        <w:numPr>
          <w:ilvl w:val="0"/>
          <w:numId w:val="2"/>
        </w:numPr>
        <w:spacing w:after="70" w:line="264"/>
        <w:jc w:val="both"/>
      </w:pPr>
      <w:r>
        <w:rPr>
          <w:rFonts w:ascii="Calibri" w:cs="Calibri" w:eastAsia="Calibri" w:hAnsi="Calibri"/>
          <w:b/>
          <w:bCs/>
          <w:color w:val="1A1A1A"/>
          <w:sz w:val="20"/>
          <w:szCs w:val="20"/>
        </w:rPr>
        <w:t xml:space="preserve">Création et statut</w:t>
      </w:r>
      <w:r>
        <w:rPr>
          <w:rFonts w:ascii="Calibri" w:cs="Calibri" w:eastAsia="Calibri" w:hAnsi="Calibri"/>
          <w:color w:val="1A1A1A"/>
          <w:sz w:val="20"/>
          <w:szCs w:val="20"/>
        </w:rPr>
        <w:t xml:space="preserve"> : institué par une résolution du Comité des ministres de 1999 (</w:t>
      </w:r>
      <w:r>
        <w:rPr>
          <w:rFonts w:ascii="Calibri" w:cs="Calibri" w:eastAsia="Calibri" w:hAnsi="Calibri"/>
          <w:color w:val="1E88E5"/>
          <w:sz w:val="20"/>
          <w:szCs w:val="20"/>
        </w:rPr>
        <w:t xml:space="preserve">CM, Rés. (99)50 du 7 mai 1999</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9</w:t>
      </w:r>
      <w:r>
        <w:rPr>
          <w:rFonts w:ascii="Calibri" w:cs="Calibri" w:eastAsia="Calibri" w:hAnsi="Calibri"/>
          <w:color w:val="1A1A1A"/>
          <w:sz w:val="20"/>
          <w:szCs w:val="20"/>
        </w:rPr>
        <w:t xml:space="preserve"> — élu par l’Assemblée parlementaire du Conseil de l’Europe ; </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 mandat de </w:t>
      </w:r>
      <w:r>
        <w:rPr>
          <w:rFonts w:ascii="Calibri" w:cs="Calibri" w:eastAsia="Calibri" w:hAnsi="Calibri"/>
          <w:b/>
          <w:bCs/>
          <w:color w:val="1A1A1A"/>
          <w:sz w:val="20"/>
          <w:szCs w:val="20"/>
        </w:rPr>
        <w:t xml:space="preserve">six ans, non renouvelable</w:t>
      </w:r>
      <w:r>
        <w:rPr>
          <w:rFonts w:ascii="Calibri" w:cs="Calibri" w:eastAsia="Calibri" w:hAnsi="Calibri"/>
          <w:color w:val="1A1A1A"/>
          <w:sz w:val="20"/>
          <w:szCs w:val="20"/>
        </w:rPr>
        <w:t xml:space="preserve">. Commissaire actuel : l’avocat </w:t>
      </w:r>
      <w:r>
        <w:rPr>
          <w:rFonts w:ascii="Calibri" w:cs="Calibri" w:eastAsia="Calibri" w:hAnsi="Calibri"/>
          <w:b/>
          <w:bCs/>
          <w:color w:val="1A1A1A"/>
          <w:sz w:val="20"/>
          <w:szCs w:val="20"/>
        </w:rPr>
        <w:t xml:space="preserve">Michael O’Flaherty</w:t>
      </w:r>
      <w:r>
        <w:rPr>
          <w:rFonts w:ascii="Calibri" w:cs="Calibri" w:eastAsia="Calibri" w:hAnsi="Calibri"/>
          <w:color w:val="1A1A1A"/>
          <w:sz w:val="20"/>
          <w:szCs w:val="20"/>
        </w:rPr>
        <w:t xml:space="preserve"> (Irlande), depuis 2024.</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 promotion des droits humains auprès des États membres, conseils et informations apportés dans ce domaine ; visites au sein des États, travaux thématiques, activités de sensibilisation ;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 recommandations, avis et rapports. </w:t>
      </w:r>
      <w:r>
        <w:rPr>
          <w:rFonts w:ascii="Calibri" w:cs="Calibri" w:eastAsia="Calibri" w:hAnsi="Calibri"/>
          <w:b/>
          <w:bCs/>
          <w:color w:val="1A1A1A"/>
          <w:sz w:val="20"/>
          <w:szCs w:val="20"/>
        </w:rPr>
        <w:t xml:space="preserve">Il ne peut pas être saisi par requête individuelle.</w:t>
      </w:r>
      <w:r>
        <w:rPr>
          <w:rFonts w:ascii="Calibri" w:cs="Calibri" w:eastAsia="Calibri" w:hAnsi="Calibri"/>
          <w:color w:val="1A1A1A"/>
          <w:sz w:val="20"/>
          <w:szCs w:val="20"/>
        </w:rPr>
        <w:t xml:space="preserve"> En revanche, l’</w:t>
      </w:r>
      <w:r>
        <w:rPr>
          <w:rFonts w:ascii="Calibri" w:cs="Calibri" w:eastAsia="Calibri" w:hAnsi="Calibri"/>
          <w:color w:val="1E88E5"/>
          <w:sz w:val="20"/>
          <w:szCs w:val="20"/>
        </w:rPr>
        <w:t xml:space="preserve">art. 36 de la Convention européenne</w:t>
      </w:r>
      <w:r>
        <w:rPr>
          <w:rFonts w:ascii="Calibri" w:cs="Calibri" w:eastAsia="Calibri" w:hAnsi="Calibri"/>
          <w:color w:val="1A1A1A"/>
          <w:sz w:val="20"/>
          <w:szCs w:val="20"/>
        </w:rPr>
        <w:t xml:space="preserve"> lui permet de </w:t>
      </w:r>
      <w:r>
        <w:rPr>
          <w:rFonts w:ascii="Calibri" w:cs="Calibri" w:eastAsia="Calibri" w:hAnsi="Calibri"/>
          <w:b/>
          <w:bCs/>
          <w:color w:val="1A1A1A"/>
          <w:sz w:val="20"/>
          <w:szCs w:val="20"/>
        </w:rPr>
        <w:t xml:space="preserve">présenter des observations écrites et de prendre part aux audiences</w:t>
      </w:r>
      <w:r>
        <w:rPr>
          <w:rFonts w:ascii="Calibri" w:cs="Calibri" w:eastAsia="Calibri" w:hAnsi="Calibri"/>
          <w:color w:val="1A1A1A"/>
          <w:sz w:val="20"/>
          <w:szCs w:val="20"/>
        </w:rPr>
        <w:t xml:space="preserve"> devant la Cour — c’est la passerelle décisive entre protection administrative et protection juridictionnelle.</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en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le Commissaire a alerté sur le </w:t>
      </w:r>
      <w:r>
        <w:rPr>
          <w:rFonts w:ascii="Calibri" w:cs="Calibri" w:eastAsia="Calibri" w:hAnsi="Calibri"/>
          <w:b/>
          <w:bCs/>
          <w:color w:val="1A1A1A"/>
          <w:sz w:val="20"/>
          <w:szCs w:val="20"/>
        </w:rPr>
        <w:t xml:space="preserve">recul des droits humains</w:t>
      </w:r>
      <w:r>
        <w:rPr>
          <w:rFonts w:ascii="Calibri" w:cs="Calibri" w:eastAsia="Calibri" w:hAnsi="Calibri"/>
          <w:color w:val="1A1A1A"/>
          <w:sz w:val="20"/>
          <w:szCs w:val="20"/>
        </w:rPr>
        <w:t xml:space="preserve"> en appelant les États membres à les reprendre en considération. Son rapport d’activité de </w:t>
      </w: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portait notamment sur les droits humains des </w:t>
      </w:r>
      <w:r>
        <w:rPr>
          <w:rFonts w:ascii="Calibri" w:cs="Calibri" w:eastAsia="Calibri" w:hAnsi="Calibri"/>
          <w:b/>
          <w:bCs/>
          <w:color w:val="1A1A1A"/>
          <w:sz w:val="20"/>
          <w:szCs w:val="20"/>
        </w:rPr>
        <w:t xml:space="preserve">Roms et gens du voyage</w:t>
      </w:r>
      <w:r>
        <w:rPr>
          <w:rFonts w:ascii="Calibri" w:cs="Calibri" w:eastAsia="Calibri" w:hAnsi="Calibri"/>
          <w:color w:val="1A1A1A"/>
          <w:sz w:val="20"/>
          <w:szCs w:val="20"/>
        </w:rPr>
        <w:t xml:space="preserve">, des </w:t>
      </w:r>
      <w:r>
        <w:rPr>
          <w:rFonts w:ascii="Calibri" w:cs="Calibri" w:eastAsia="Calibri" w:hAnsi="Calibri"/>
          <w:b/>
          <w:bCs/>
          <w:color w:val="1A1A1A"/>
          <w:sz w:val="20"/>
          <w:szCs w:val="20"/>
        </w:rPr>
        <w:t xml:space="preserve">réfugiés, demandeurs d’asile et migrants</w:t>
      </w:r>
      <w:r>
        <w:rPr>
          <w:rFonts w:ascii="Calibri" w:cs="Calibri" w:eastAsia="Calibri" w:hAnsi="Calibri"/>
          <w:color w:val="1A1A1A"/>
          <w:sz w:val="20"/>
          <w:szCs w:val="20"/>
        </w:rPr>
        <w:t xml:space="preserve">, sur l’</w:t>
      </w:r>
      <w:r>
        <w:rPr>
          <w:rFonts w:ascii="Calibri" w:cs="Calibri" w:eastAsia="Calibri" w:hAnsi="Calibri"/>
          <w:b/>
          <w:bCs/>
          <w:color w:val="1A1A1A"/>
          <w:sz w:val="20"/>
          <w:szCs w:val="20"/>
        </w:rPr>
        <w:t xml:space="preserve">intelligence artificielle</w:t>
      </w:r>
      <w:r>
        <w:rPr>
          <w:rFonts w:ascii="Calibri" w:cs="Calibri" w:eastAsia="Calibri" w:hAnsi="Calibri"/>
          <w:color w:val="1A1A1A"/>
          <w:sz w:val="20"/>
          <w:szCs w:val="20"/>
        </w:rPr>
        <w:t xml:space="preserve"> et sur les droits humains des </w:t>
      </w:r>
      <w:r>
        <w:rPr>
          <w:rFonts w:ascii="Calibri" w:cs="Calibri" w:eastAsia="Calibri" w:hAnsi="Calibri"/>
          <w:b/>
          <w:bCs/>
          <w:color w:val="1A1A1A"/>
          <w:sz w:val="20"/>
          <w:szCs w:val="20"/>
        </w:rPr>
        <w:t xml:space="preserve">personnes LGBTI</w:t>
      </w:r>
      <w:r>
        <w:rPr>
          <w:rFonts w:ascii="Calibri" w:cs="Calibri" w:eastAsia="Calibri" w:hAnsi="Calibri"/>
          <w:color w:val="1A1A1A"/>
          <w:sz w:val="20"/>
          <w:szCs w:val="20"/>
        </w:rPr>
        <w:t xml:space="preserve">. Il y a exposé des violations systématiques aux frontières et une </w:t>
      </w:r>
      <w:r>
        <w:rPr>
          <w:rFonts w:ascii="Calibri" w:cs="Calibri" w:eastAsia="Calibri" w:hAnsi="Calibri"/>
          <w:b/>
          <w:bCs/>
          <w:color w:val="1A1A1A"/>
          <w:sz w:val="20"/>
          <w:szCs w:val="20"/>
        </w:rPr>
        <w:t xml:space="preserve">instrumentalisation de la matière migratoire</w:t>
      </w:r>
      <w:r>
        <w:rPr>
          <w:rFonts w:ascii="Calibri" w:cs="Calibri" w:eastAsia="Calibri" w:hAnsi="Calibri"/>
          <w:color w:val="1A1A1A"/>
          <w:sz w:val="20"/>
          <w:szCs w:val="20"/>
        </w:rPr>
        <w:t xml:space="preserve">, la nécessité d’une surveillance humaine efficace de l’intelligence artificielle, et les violations multiformes dont sont victimes les personnes transgenres. Par ses déclarations, il a appelé au renforcement des droits humains en </w:t>
      </w:r>
      <w:r>
        <w:rPr>
          <w:rFonts w:ascii="Calibri" w:cs="Calibri" w:eastAsia="Calibri" w:hAnsi="Calibri"/>
          <w:b/>
          <w:bCs/>
          <w:color w:val="1A1A1A"/>
          <w:sz w:val="20"/>
          <w:szCs w:val="20"/>
        </w:rPr>
        <w:t xml:space="preserve">Géorgie</w:t>
      </w:r>
      <w:r>
        <w:rPr>
          <w:rFonts w:ascii="Calibri" w:cs="Calibri" w:eastAsia="Calibri" w:hAnsi="Calibri"/>
          <w:color w:val="1A1A1A"/>
          <w:sz w:val="20"/>
          <w:szCs w:val="20"/>
        </w:rPr>
        <w:t xml:space="preserve"> (manifestants, journalistes, personnes LGBTI) et a demandé à la </w:t>
      </w:r>
      <w:r>
        <w:rPr>
          <w:rFonts w:ascii="Calibri" w:cs="Calibri" w:eastAsia="Calibri" w:hAnsi="Calibri"/>
          <w:b/>
          <w:bCs/>
          <w:color w:val="1A1A1A"/>
          <w:sz w:val="20"/>
          <w:szCs w:val="20"/>
        </w:rPr>
        <w:t xml:space="preserve">Hongrie</w:t>
      </w:r>
      <w:r>
        <w:rPr>
          <w:rFonts w:ascii="Calibri" w:cs="Calibri" w:eastAsia="Calibri" w:hAnsi="Calibri"/>
          <w:color w:val="1A1A1A"/>
          <w:sz w:val="20"/>
          <w:szCs w:val="20"/>
        </w:rPr>
        <w:t xml:space="preserve"> de ne pas voter le projet de loi anti-organisations non gouvernementales.</w:t>
      </w:r>
    </w:p>
    <w:p>
      <w:pPr>
        <w:pStyle w:val="Heading3"/>
        <w:spacing w:after="90" w:before="200"/>
      </w:pPr>
      <w:r>
        <w:rPr>
          <w:rFonts w:ascii="Calibri" w:cs="Calibri" w:eastAsia="Calibri" w:hAnsi="Calibri"/>
          <w:b/>
          <w:bCs/>
          <w:i/>
          <w:iCs/>
          <w:color w:val="5A5A5A"/>
          <w:sz w:val="21"/>
          <w:szCs w:val="21"/>
        </w:rPr>
        <w:t xml:space="preserve">2.2. La Commission de Venise</w:t>
      </w:r>
    </w:p>
    <w:p>
      <w:pPr>
        <w:pStyle w:val="ListParagraph"/>
        <w:numPr>
          <w:ilvl w:val="0"/>
          <w:numId w:val="2"/>
        </w:numPr>
        <w:spacing w:after="70" w:line="264"/>
        <w:jc w:val="both"/>
      </w:pPr>
      <w:r>
        <w:rPr>
          <w:rFonts w:ascii="Calibri" w:cs="Calibri" w:eastAsia="Calibri" w:hAnsi="Calibri"/>
          <w:b/>
          <w:bCs/>
          <w:color w:val="1A1A1A"/>
          <w:sz w:val="20"/>
          <w:szCs w:val="20"/>
        </w:rPr>
        <w:t xml:space="preserve">Nature</w:t>
      </w:r>
      <w:r>
        <w:rPr>
          <w:rFonts w:ascii="Calibri" w:cs="Calibri" w:eastAsia="Calibri" w:hAnsi="Calibri"/>
          <w:color w:val="1A1A1A"/>
          <w:sz w:val="20"/>
          <w:szCs w:val="20"/>
        </w:rPr>
        <w:t xml:space="preserve"> : plus souvent appelée Commission de Venise, la </w:t>
      </w:r>
      <w:r>
        <w:rPr>
          <w:rFonts w:ascii="Calibri" w:cs="Calibri" w:eastAsia="Calibri" w:hAnsi="Calibri"/>
          <w:b/>
          <w:bCs/>
          <w:color w:val="1A1A1A"/>
          <w:sz w:val="20"/>
          <w:szCs w:val="20"/>
        </w:rPr>
        <w:t xml:space="preserve">Commission européenne pour la démocratie par le droit</w:t>
      </w:r>
      <w:r>
        <w:rPr>
          <w:rFonts w:ascii="Calibri" w:cs="Calibri" w:eastAsia="Calibri" w:hAnsi="Calibri"/>
          <w:color w:val="1A1A1A"/>
          <w:sz w:val="20"/>
          <w:szCs w:val="20"/>
        </w:rPr>
        <w:t xml:space="preserve"> est un organe </w:t>
      </w:r>
      <w:r>
        <w:rPr>
          <w:rFonts w:ascii="Calibri" w:cs="Calibri" w:eastAsia="Calibri" w:hAnsi="Calibri"/>
          <w:b/>
          <w:bCs/>
          <w:color w:val="1A1A1A"/>
          <w:sz w:val="20"/>
          <w:szCs w:val="20"/>
        </w:rPr>
        <w:t xml:space="preserve">consultatif</w:t>
      </w:r>
      <w:r>
        <w:rPr>
          <w:rFonts w:ascii="Calibri" w:cs="Calibri" w:eastAsia="Calibri" w:hAnsi="Calibri"/>
          <w:color w:val="1A1A1A"/>
          <w:sz w:val="20"/>
          <w:szCs w:val="20"/>
        </w:rPr>
        <w:t xml:space="preserve"> du Conseil de l’Europe dans le domaine de la démocratie, des droits humains et de l’État de droit. Créée en </w:t>
      </w:r>
      <w:r>
        <w:rPr>
          <w:rFonts w:ascii="Calibri" w:cs="Calibri" w:eastAsia="Calibri" w:hAnsi="Calibri"/>
          <w:b/>
          <w:bCs/>
          <w:color w:val="1A1A1A"/>
          <w:sz w:val="20"/>
          <w:szCs w:val="20"/>
        </w:rPr>
        <w:t xml:space="preserve">1990</w:t>
      </w:r>
      <w:r>
        <w:rPr>
          <w:rFonts w:ascii="Calibri" w:cs="Calibri" w:eastAsia="Calibri" w:hAnsi="Calibri"/>
          <w:color w:val="1A1A1A"/>
          <w:sz w:val="20"/>
          <w:szCs w:val="20"/>
        </w:rPr>
        <w:t xml:space="preserve"> par une résolution du Comité des ministres (</w:t>
      </w:r>
      <w:r>
        <w:rPr>
          <w:rFonts w:ascii="Calibri" w:cs="Calibri" w:eastAsia="Calibri" w:hAnsi="Calibri"/>
          <w:color w:val="1E88E5"/>
          <w:sz w:val="20"/>
          <w:szCs w:val="20"/>
        </w:rPr>
        <w:t xml:space="preserve">CM, Rés. (90)6 relative à un Accord partiel portant création de la Commission européenne pour la démocratie par le droit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Composition</w:t>
      </w:r>
      <w:r>
        <w:rPr>
          <w:rFonts w:ascii="Calibri" w:cs="Calibri" w:eastAsia="Calibri" w:hAnsi="Calibri"/>
          <w:color w:val="1A1A1A"/>
          <w:sz w:val="20"/>
          <w:szCs w:val="20"/>
        </w:rPr>
        <w:t xml:space="preserve"> : aux 46 États membres du Conseil de l’Europe s’ajoutent </w:t>
      </w:r>
      <w:r>
        <w:rPr>
          <w:rFonts w:ascii="Calibri" w:cs="Calibri" w:eastAsia="Calibri" w:hAnsi="Calibri"/>
          <w:b/>
          <w:bCs/>
          <w:color w:val="1A1A1A"/>
          <w:sz w:val="20"/>
          <w:szCs w:val="20"/>
        </w:rPr>
        <w:t xml:space="preserve">15 autres États</w:t>
      </w:r>
      <w:r>
        <w:rPr>
          <w:rFonts w:ascii="Calibri" w:cs="Calibri" w:eastAsia="Calibri" w:hAnsi="Calibri"/>
          <w:color w:val="1A1A1A"/>
          <w:sz w:val="20"/>
          <w:szCs w:val="20"/>
        </w:rPr>
        <w:t xml:space="preserve">, parmi lesquels le Canada, le Chili, le Costa Rica, les États-Unis, Israël et le Maroc. Un membre titulaire et un membre suppléant par État, ainsi que des membres de pays observateurs (Argentine, Saint-Siège, Japon, Uruguay). Présidente actuelle : </w:t>
      </w:r>
      <w:r>
        <w:rPr>
          <w:rFonts w:ascii="Calibri" w:cs="Calibri" w:eastAsia="Calibri" w:hAnsi="Calibri"/>
          <w:b/>
          <w:bCs/>
          <w:color w:val="1A1A1A"/>
          <w:sz w:val="20"/>
          <w:szCs w:val="20"/>
        </w:rPr>
        <w:t xml:space="preserve">Claire Bazy Malaurie</w:t>
      </w:r>
      <w:r>
        <w:rPr>
          <w:rFonts w:ascii="Calibri" w:cs="Calibri" w:eastAsia="Calibri" w:hAnsi="Calibri"/>
          <w:color w:val="1A1A1A"/>
          <w:sz w:val="20"/>
          <w:szCs w:val="20"/>
        </w:rPr>
        <w:t xml:space="preserve"> (France), autrefois membre du Conseil constitutionnel.</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Compétences</w:t>
      </w:r>
      <w:r>
        <w:rPr>
          <w:rFonts w:ascii="Calibri" w:cs="Calibri" w:eastAsia="Calibri" w:hAnsi="Calibri"/>
          <w:color w:val="1A1A1A"/>
          <w:sz w:val="20"/>
          <w:szCs w:val="20"/>
        </w:rPr>
        <w:t xml:space="preserve"> : conseils juridiques </w:t>
      </w:r>
      <w:r>
        <w:rPr>
          <w:rFonts w:ascii="Calibri" w:cs="Calibri" w:eastAsia="Calibri" w:hAnsi="Calibri"/>
          <w:b/>
          <w:bCs/>
          <w:color w:val="1A1A1A"/>
          <w:sz w:val="20"/>
          <w:szCs w:val="20"/>
        </w:rPr>
        <w:t xml:space="preserve">à la demande des États</w:t>
      </w:r>
      <w:r>
        <w:rPr>
          <w:rFonts w:ascii="Calibri" w:cs="Calibri" w:eastAsia="Calibri" w:hAnsi="Calibri"/>
          <w:color w:val="1A1A1A"/>
          <w:sz w:val="20"/>
          <w:szCs w:val="20"/>
        </w:rPr>
        <w:t xml:space="preserve"> désireux de faire évoluer leur droit conformément aux principes qui irriguent les textes et l’action du Conseil de l’Europe ; avis et recommandations, ainsi qu’avis sur les suites données ; publication d’</w:t>
      </w:r>
      <w:r>
        <w:rPr>
          <w:rFonts w:ascii="Calibri" w:cs="Calibri" w:eastAsia="Calibri" w:hAnsi="Calibri"/>
          <w:b/>
          <w:bCs/>
          <w:color w:val="1A1A1A"/>
          <w:sz w:val="20"/>
          <w:szCs w:val="20"/>
        </w:rPr>
        <w:t xml:space="preserve">études</w:t>
      </w:r>
      <w:r>
        <w:rPr>
          <w:rFonts w:ascii="Calibri" w:cs="Calibri" w:eastAsia="Calibri" w:hAnsi="Calibri"/>
          <w:color w:val="1A1A1A"/>
          <w:sz w:val="20"/>
          <w:szCs w:val="20"/>
        </w:rPr>
        <w:t xml:space="preserve"> (telle la liste des critères de l’État de droit), de </w:t>
      </w:r>
      <w:r>
        <w:rPr>
          <w:rFonts w:ascii="Calibri" w:cs="Calibri" w:eastAsia="Calibri" w:hAnsi="Calibri"/>
          <w:b/>
          <w:bCs/>
          <w:color w:val="1A1A1A"/>
          <w:sz w:val="20"/>
          <w:szCs w:val="20"/>
        </w:rPr>
        <w:t xml:space="preserve">rapports</w:t>
      </w:r>
      <w:r>
        <w:rPr>
          <w:rFonts w:ascii="Calibri" w:cs="Calibri" w:eastAsia="Calibri" w:hAnsi="Calibri"/>
          <w:color w:val="1A1A1A"/>
          <w:sz w:val="20"/>
          <w:szCs w:val="20"/>
        </w:rPr>
        <w:t xml:space="preserve"> (comme celui relatif aux mesures prises au sein de l’Union européenne lors de la crise sanitaire de la Covid-19) et de </w:t>
      </w:r>
      <w:r>
        <w:rPr>
          <w:rFonts w:ascii="Calibri" w:cs="Calibri" w:eastAsia="Calibri" w:hAnsi="Calibri"/>
          <w:b/>
          <w:bCs/>
          <w:color w:val="1A1A1A"/>
          <w:sz w:val="20"/>
          <w:szCs w:val="20"/>
        </w:rPr>
        <w:t xml:space="preserve">lignes directrices</w:t>
      </w:r>
      <w:r>
        <w:rPr>
          <w:rFonts w:ascii="Calibri" w:cs="Calibri" w:eastAsia="Calibri" w:hAnsi="Calibri"/>
          <w:color w:val="1A1A1A"/>
          <w:sz w:val="20"/>
          <w:szCs w:val="20"/>
        </w:rPr>
        <w:t xml:space="preserve"> (comme celle relative à la réglementation des partis politiques). Elle peut en outre déposer des </w:t>
      </w:r>
      <w:r>
        <w:rPr>
          <w:rFonts w:ascii="Calibri" w:cs="Calibri" w:eastAsia="Calibri" w:hAnsi="Calibri"/>
          <w:b/>
          <w:bCs/>
          <w:color w:val="1A1A1A"/>
          <w:sz w:val="20"/>
          <w:szCs w:val="20"/>
        </w:rPr>
        <w:t xml:space="preserve">mémoires </w:t>
      </w:r>
      <w:r>
        <w:rPr>
          <w:rFonts w:ascii="Calibri" w:cs="Calibri" w:eastAsia="Calibri" w:hAnsi="Calibri"/>
          <w:b/>
          <w:bCs/>
          <w:i/>
          <w:iCs/>
          <w:color w:val="1A1A1A"/>
          <w:sz w:val="20"/>
          <w:szCs w:val="20"/>
        </w:rPr>
        <w:t xml:space="preserve">amicus curiae</w:t>
      </w:r>
      <w:r>
        <w:rPr>
          <w:rFonts w:ascii="Calibri" w:cs="Calibri" w:eastAsia="Calibri" w:hAnsi="Calibri"/>
          <w:color w:val="1A1A1A"/>
          <w:sz w:val="20"/>
          <w:szCs w:val="20"/>
        </w:rPr>
        <w:t xml:space="preserve"> auprès de juridictions à leur demande : en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elle a déposé un mémoire auprès de la </w:t>
      </w:r>
      <w:r>
        <w:rPr>
          <w:rFonts w:ascii="Calibri" w:cs="Calibri" w:eastAsia="Calibri" w:hAnsi="Calibri"/>
          <w:b/>
          <w:bCs/>
          <w:color w:val="1A1A1A"/>
          <w:sz w:val="20"/>
          <w:szCs w:val="20"/>
        </w:rPr>
        <w:t xml:space="preserve">Cour constitutionnelle ukrainienne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Les organes de l’Union européenne</w:t>
      </w:r>
    </w:p>
    <w:p>
      <w:pPr>
        <w:pStyle w:val="Heading3"/>
        <w:spacing w:after="90" w:before="200"/>
      </w:pPr>
      <w:r>
        <w:rPr>
          <w:rFonts w:ascii="Calibri" w:cs="Calibri" w:eastAsia="Calibri" w:hAnsi="Calibri"/>
          <w:b/>
          <w:bCs/>
          <w:i/>
          <w:iCs/>
          <w:color w:val="5A5A5A"/>
          <w:sz w:val="21"/>
          <w:szCs w:val="21"/>
        </w:rPr>
        <w:t xml:space="preserve">3.1. Le Médiateur européen</w:t>
      </w:r>
    </w:p>
    <w:p>
      <w:pPr>
        <w:pStyle w:val="ListParagraph"/>
        <w:numPr>
          <w:ilvl w:val="0"/>
          <w:numId w:val="2"/>
        </w:numPr>
        <w:spacing w:after="70" w:line="264"/>
        <w:jc w:val="both"/>
      </w:pPr>
      <w:r>
        <w:rPr>
          <w:rFonts w:ascii="Calibri" w:cs="Calibri" w:eastAsia="Calibri" w:hAnsi="Calibri"/>
          <w:b/>
          <w:bCs/>
          <w:color w:val="1A1A1A"/>
          <w:sz w:val="20"/>
          <w:szCs w:val="20"/>
        </w:rPr>
        <w:t xml:space="preserve">Analogie utile</w:t>
      </w:r>
      <w:r>
        <w:rPr>
          <w:rFonts w:ascii="Calibri" w:cs="Calibri" w:eastAsia="Calibri" w:hAnsi="Calibri"/>
          <w:color w:val="1A1A1A"/>
          <w:sz w:val="20"/>
          <w:szCs w:val="20"/>
        </w:rPr>
        <w:t xml:space="preserve"> : le Médiateur européen s’apparente en quelque sorte au </w:t>
      </w:r>
      <w:r>
        <w:rPr>
          <w:rFonts w:ascii="Calibri" w:cs="Calibri" w:eastAsia="Calibri" w:hAnsi="Calibri"/>
          <w:b/>
          <w:bCs/>
          <w:color w:val="1A1A1A"/>
          <w:sz w:val="20"/>
          <w:szCs w:val="20"/>
        </w:rPr>
        <w:t xml:space="preserve">Défenseur des droits de l’Union européenne</w:t>
      </w:r>
      <w:r>
        <w:rPr>
          <w:rFonts w:ascii="Calibri" w:cs="Calibri" w:eastAsia="Calibri" w:hAnsi="Calibri"/>
          <w:color w:val="1A1A1A"/>
          <w:sz w:val="20"/>
          <w:szCs w:val="20"/>
        </w:rPr>
        <w:t xml:space="preserve">, dans la mesure où il veille au respect des droits des citoyens et personnes morales européens dans le cadre de leur relation avec l’administration à l’échelle de l’Union. Institué en </w:t>
      </w:r>
      <w:r>
        <w:rPr>
          <w:rFonts w:ascii="Calibri" w:cs="Calibri" w:eastAsia="Calibri" w:hAnsi="Calibri"/>
          <w:b/>
          <w:bCs/>
          <w:color w:val="1A1A1A"/>
          <w:sz w:val="20"/>
          <w:szCs w:val="20"/>
        </w:rPr>
        <w:t xml:space="preserve">1992</w:t>
      </w:r>
      <w:r>
        <w:rPr>
          <w:rFonts w:ascii="Calibri" w:cs="Calibri" w:eastAsia="Calibri" w:hAnsi="Calibri"/>
          <w:color w:val="1A1A1A"/>
          <w:sz w:val="20"/>
          <w:szCs w:val="20"/>
        </w:rPr>
        <w:t xml:space="preserve"> par le traité de Maastricht (</w:t>
      </w:r>
      <w:r>
        <w:rPr>
          <w:rFonts w:ascii="Calibri" w:cs="Calibri" w:eastAsia="Calibri" w:hAnsi="Calibri"/>
          <w:color w:val="1E88E5"/>
          <w:sz w:val="20"/>
          <w:szCs w:val="20"/>
        </w:rPr>
        <w:t xml:space="preserve">art. 228 TFUE</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43 de la Charte des droits fondamentaux</w:t>
      </w:r>
      <w:r>
        <w:rPr>
          <w:rFonts w:ascii="Calibri" w:cs="Calibri" w:eastAsia="Calibri" w:hAnsi="Calibri"/>
          <w:color w:val="1A1A1A"/>
          <w:sz w:val="20"/>
          <w:szCs w:val="20"/>
        </w:rPr>
        <w:t xml:space="preserve"> lui est consacré.</w:t>
      </w:r>
    </w:p>
    <w:p>
      <w:pPr>
        <w:pStyle w:val="ListParagraph"/>
        <w:numPr>
          <w:ilvl w:val="0"/>
          <w:numId w:val="2"/>
        </w:numPr>
        <w:spacing w:after="70" w:line="264"/>
        <w:jc w:val="both"/>
      </w:pPr>
      <w:r>
        <w:rPr>
          <w:rFonts w:ascii="Calibri" w:cs="Calibri" w:eastAsia="Calibri" w:hAnsi="Calibri"/>
          <w:b/>
          <w:bCs/>
          <w:color w:val="1A1A1A"/>
          <w:sz w:val="20"/>
          <w:szCs w:val="20"/>
        </w:rPr>
        <w:t xml:space="preserve">Élection</w:t>
      </w:r>
      <w:r>
        <w:rPr>
          <w:rFonts w:ascii="Calibri" w:cs="Calibri" w:eastAsia="Calibri" w:hAnsi="Calibri"/>
          <w:color w:val="1A1A1A"/>
          <w:sz w:val="20"/>
          <w:szCs w:val="20"/>
        </w:rPr>
        <w:t xml:space="preserve"> : élu par le </w:t>
      </w:r>
      <w:r>
        <w:rPr>
          <w:rFonts w:ascii="Calibri" w:cs="Calibri" w:eastAsia="Calibri" w:hAnsi="Calibri"/>
          <w:b/>
          <w:bCs/>
          <w:color w:val="1A1A1A"/>
          <w:sz w:val="20"/>
          <w:szCs w:val="20"/>
        </w:rPr>
        <w:t xml:space="preserve">Parlement européen</w:t>
      </w:r>
      <w:r>
        <w:rPr>
          <w:rFonts w:ascii="Calibri" w:cs="Calibri" w:eastAsia="Calibri" w:hAnsi="Calibri"/>
          <w:color w:val="1A1A1A"/>
          <w:sz w:val="20"/>
          <w:szCs w:val="20"/>
        </w:rPr>
        <w:t xml:space="preserve"> pour la durée de sa législature, soit </w:t>
      </w:r>
      <w:r>
        <w:rPr>
          <w:rFonts w:ascii="Calibri" w:cs="Calibri" w:eastAsia="Calibri" w:hAnsi="Calibri"/>
          <w:b/>
          <w:bCs/>
          <w:color w:val="1A1A1A"/>
          <w:sz w:val="20"/>
          <w:szCs w:val="20"/>
        </w:rPr>
        <w:t xml:space="preserve">cinq ans</w:t>
      </w:r>
      <w:r>
        <w:rPr>
          <w:rFonts w:ascii="Calibri" w:cs="Calibri" w:eastAsia="Calibri" w:hAnsi="Calibri"/>
          <w:color w:val="1A1A1A"/>
          <w:sz w:val="20"/>
          <w:szCs w:val="20"/>
        </w:rPr>
        <w:t xml:space="preserve">. Médiatrice actuelle : la juriste universitaire </w:t>
      </w:r>
      <w:r>
        <w:rPr>
          <w:rFonts w:ascii="Calibri" w:cs="Calibri" w:eastAsia="Calibri" w:hAnsi="Calibri"/>
          <w:b/>
          <w:bCs/>
          <w:color w:val="1A1A1A"/>
          <w:sz w:val="20"/>
          <w:szCs w:val="20"/>
        </w:rPr>
        <w:t xml:space="preserve">Teresa Anjinho</w:t>
      </w:r>
      <w:r>
        <w:rPr>
          <w:rFonts w:ascii="Calibri" w:cs="Calibri" w:eastAsia="Calibri" w:hAnsi="Calibri"/>
          <w:color w:val="1A1A1A"/>
          <w:sz w:val="20"/>
          <w:szCs w:val="20"/>
        </w:rPr>
        <w:t xml:space="preserve"> (Portugal), depuis le </w:t>
      </w:r>
      <w:r>
        <w:rPr>
          <w:rFonts w:ascii="Calibri" w:cs="Calibri" w:eastAsia="Calibri" w:hAnsi="Calibri"/>
          <w:b/>
          <w:bCs/>
          <w:color w:val="1A1A1A"/>
          <w:sz w:val="20"/>
          <w:szCs w:val="20"/>
        </w:rPr>
        <w:t xml:space="preserve">27 février 2025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deux volets</w:t>
      </w:r>
      <w:r>
        <w:rPr>
          <w:rFonts w:ascii="Calibri" w:cs="Calibri" w:eastAsia="Calibri" w:hAnsi="Calibri"/>
          <w:color w:val="1A1A1A"/>
          <w:sz w:val="20"/>
          <w:szCs w:val="20"/>
        </w:rPr>
        <w:t xml:space="preserve"> — plaintes des citoyens européens et des personnes morales, en vue d’enquêter sur d’éventuels dysfonctionnements des institutions et organes de l’Union ; et enquêtes </w:t>
      </w:r>
      <w:r>
        <w:rPr>
          <w:rFonts w:ascii="Calibri" w:cs="Calibri" w:eastAsia="Calibri" w:hAnsi="Calibri"/>
          <w:b/>
          <w:bCs/>
          <w:color w:val="1A1A1A"/>
          <w:sz w:val="20"/>
          <w:szCs w:val="20"/>
        </w:rPr>
        <w:t xml:space="preserve">de sa propre initiative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Exclusions</w:t>
      </w:r>
      <w:r>
        <w:rPr>
          <w:rFonts w:ascii="Calibri" w:cs="Calibri" w:eastAsia="Calibri" w:hAnsi="Calibri"/>
          <w:color w:val="1A1A1A"/>
          <w:sz w:val="20"/>
          <w:szCs w:val="20"/>
        </w:rPr>
        <w:t xml:space="preserve"> : il n’examine pas les plaintes relatives à la Cour de justice de l’Union européenne, et sa compétence d’enquête ne s’applique pas lorsque les faits en cause font l’objet d’une procédure juridictionnelle. Parmi les cas justifiant une enquête figurent les défaillances dans les bonnes pratiques administratives ainsi que la </w:t>
      </w:r>
      <w:r>
        <w:rPr>
          <w:rFonts w:ascii="Calibri" w:cs="Calibri" w:eastAsia="Calibri" w:hAnsi="Calibri"/>
          <w:b/>
          <w:bCs/>
          <w:color w:val="1A1A1A"/>
          <w:sz w:val="20"/>
          <w:szCs w:val="20"/>
        </w:rPr>
        <w:t xml:space="preserve">méconnaissance des droits humains</w:t>
      </w:r>
      <w:r>
        <w:rPr>
          <w:rFonts w:ascii="Calibri" w:cs="Calibri" w:eastAsia="Calibri" w:hAnsi="Calibri"/>
          <w:color w:val="1A1A1A"/>
          <w:sz w:val="20"/>
          <w:szCs w:val="20"/>
        </w:rPr>
        <w:t xml:space="preserve"> par des organes et institutions de l’Union.</w:t>
      </w:r>
    </w:p>
    <w:p>
      <w:pPr>
        <w:pStyle w:val="ListParagraph"/>
        <w:numPr>
          <w:ilvl w:val="0"/>
          <w:numId w:val="2"/>
        </w:numPr>
        <w:spacing w:after="70" w:line="264"/>
        <w:jc w:val="both"/>
      </w:pPr>
      <w:r>
        <w:rPr>
          <w:rFonts w:ascii="Calibri" w:cs="Calibri" w:eastAsia="Calibri" w:hAnsi="Calibri"/>
          <w:b/>
          <w:bCs/>
          <w:color w:val="1A1A1A"/>
          <w:sz w:val="20"/>
          <w:szCs w:val="20"/>
        </w:rPr>
        <w:t xml:space="preserve">Portée</w:t>
      </w:r>
      <w:r>
        <w:rPr>
          <w:rFonts w:ascii="Calibri" w:cs="Calibri" w:eastAsia="Calibri" w:hAnsi="Calibri"/>
          <w:color w:val="1A1A1A"/>
          <w:sz w:val="20"/>
          <w:szCs w:val="20"/>
        </w:rPr>
        <w:t xml:space="preserve"> : il formule des propositions et suggère des solutions que l’organe peut accepter ou non ; à défaut, il se borne à formuler des suggestions d’amélioration </w:t>
      </w:r>
      <w:r>
        <w:rPr>
          <w:rFonts w:ascii="Calibri" w:cs="Calibri" w:eastAsia="Calibri" w:hAnsi="Calibri"/>
          <w:b/>
          <w:bCs/>
          <w:color w:val="1A1A1A"/>
          <w:sz w:val="20"/>
          <w:szCs w:val="20"/>
        </w:rPr>
        <w:t xml:space="preserve">sans qu’elles soient obligatoires</w:t>
      </w:r>
      <w:r>
        <w:rPr>
          <w:rFonts w:ascii="Calibri" w:cs="Calibri" w:eastAsia="Calibri" w:hAnsi="Calibri"/>
          <w:color w:val="1A1A1A"/>
          <w:sz w:val="20"/>
          <w:szCs w:val="20"/>
        </w:rPr>
        <w:t xml:space="preserve">. Malgré cette absence de caractère obligatoire, </w:t>
      </w:r>
      <w:r>
        <w:rPr>
          <w:rFonts w:ascii="Calibri" w:cs="Calibri" w:eastAsia="Calibri" w:hAnsi="Calibri"/>
          <w:b/>
          <w:bCs/>
          <w:color w:val="1A1A1A"/>
          <w:sz w:val="20"/>
          <w:szCs w:val="20"/>
        </w:rPr>
        <w:t xml:space="preserve">ses propositions sont généralement suivies</w:t>
      </w:r>
      <w:r>
        <w:rPr>
          <w:rFonts w:ascii="Calibri" w:cs="Calibri" w:eastAsia="Calibri" w:hAnsi="Calibri"/>
          <w:color w:val="1A1A1A"/>
          <w:sz w:val="20"/>
          <w:szCs w:val="20"/>
        </w:rPr>
        <w:t xml:space="preserve">. Volume d’activité : environ </w:t>
      </w:r>
      <w:r>
        <w:rPr>
          <w:rFonts w:ascii="Calibri" w:cs="Calibri" w:eastAsia="Calibri" w:hAnsi="Calibri"/>
          <w:b/>
          <w:bCs/>
          <w:color w:val="1A1A1A"/>
          <w:sz w:val="20"/>
          <w:szCs w:val="20"/>
        </w:rPr>
        <w:t xml:space="preserve">350 enquêtes annuelles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en </w:t>
      </w: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enquêtes en matière de droits humains des personnes migrantes — sur la garantie de ces droits par la Commission européenne dans le cadre de l’accord conclu avec la </w:t>
      </w:r>
      <w:r>
        <w:rPr>
          <w:rFonts w:ascii="Calibri" w:cs="Calibri" w:eastAsia="Calibri" w:hAnsi="Calibri"/>
          <w:b/>
          <w:bCs/>
          <w:color w:val="1A1A1A"/>
          <w:sz w:val="20"/>
          <w:szCs w:val="20"/>
        </w:rPr>
        <w:t xml:space="preserve">Tunisie</w:t>
      </w:r>
      <w:r>
        <w:rPr>
          <w:rFonts w:ascii="Calibri" w:cs="Calibri" w:eastAsia="Calibri" w:hAnsi="Calibri"/>
          <w:color w:val="1A1A1A"/>
          <w:sz w:val="20"/>
          <w:szCs w:val="20"/>
        </w:rPr>
        <w:t xml:space="preserve">, et sur l’action de l’</w:t>
      </w:r>
      <w:r>
        <w:rPr>
          <w:rFonts w:ascii="Calibri" w:cs="Calibri" w:eastAsia="Calibri" w:hAnsi="Calibri"/>
          <w:b/>
          <w:bCs/>
          <w:color w:val="1A1A1A"/>
          <w:sz w:val="20"/>
          <w:szCs w:val="20"/>
        </w:rPr>
        <w:t xml:space="preserve">Agence européenne de garde-frontières et de garde-côtes</w:t>
      </w:r>
      <w:r>
        <w:rPr>
          <w:rFonts w:ascii="Calibri" w:cs="Calibri" w:eastAsia="Calibri" w:hAnsi="Calibri"/>
          <w:color w:val="1A1A1A"/>
          <w:sz w:val="20"/>
          <w:szCs w:val="20"/>
        </w:rPr>
        <w:t xml:space="preserve"> s’agissant de ses activités de recherche et de sauvetage, à l’issue de laquelle il a relevé des </w:t>
      </w:r>
      <w:r>
        <w:rPr>
          <w:rFonts w:ascii="Calibri" w:cs="Calibri" w:eastAsia="Calibri" w:hAnsi="Calibri"/>
          <w:b/>
          <w:bCs/>
          <w:color w:val="1A1A1A"/>
          <w:sz w:val="20"/>
          <w:szCs w:val="20"/>
        </w:rPr>
        <w:t xml:space="preserve">défaillances</w:t>
      </w:r>
      <w:r>
        <w:rPr>
          <w:rFonts w:ascii="Calibri" w:cs="Calibri" w:eastAsia="Calibri" w:hAnsi="Calibri"/>
          <w:color w:val="1A1A1A"/>
          <w:sz w:val="20"/>
          <w:szCs w:val="20"/>
        </w:rPr>
        <w:t xml:space="preserve">. En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enquête relative à la transparence des relations entre le Parlement européen et le </w:t>
      </w:r>
      <w:r>
        <w:rPr>
          <w:rFonts w:ascii="Calibri" w:cs="Calibri" w:eastAsia="Calibri" w:hAnsi="Calibri"/>
          <w:b/>
          <w:bCs/>
          <w:color w:val="1A1A1A"/>
          <w:sz w:val="20"/>
          <w:szCs w:val="20"/>
        </w:rPr>
        <w:t xml:space="preserve">lobbying du tabac</w:t>
      </w:r>
      <w:r>
        <w:rPr>
          <w:rFonts w:ascii="Calibri" w:cs="Calibri" w:eastAsia="Calibri" w:hAnsi="Calibri"/>
          <w:color w:val="1A1A1A"/>
          <w:sz w:val="20"/>
          <w:szCs w:val="20"/>
        </w:rPr>
        <w:t xml:space="preserve">, soulignant des lacunes en termes de transparence.</w:t>
      </w:r>
    </w:p>
    <w:p>
      <w:pPr>
        <w:pStyle w:val="Heading3"/>
        <w:spacing w:after="90" w:before="200"/>
      </w:pPr>
      <w:r>
        <w:rPr>
          <w:rFonts w:ascii="Calibri" w:cs="Calibri" w:eastAsia="Calibri" w:hAnsi="Calibri"/>
          <w:b/>
          <w:bCs/>
          <w:i/>
          <w:iCs/>
          <w:color w:val="5A5A5A"/>
          <w:sz w:val="21"/>
          <w:szCs w:val="21"/>
        </w:rPr>
        <w:t xml:space="preserve">3.2. L’Agence des droits fondamentaux</w:t>
      </w:r>
    </w:p>
    <w:p>
      <w:pPr>
        <w:pStyle w:val="ListParagraph"/>
        <w:numPr>
          <w:ilvl w:val="0"/>
          <w:numId w:val="2"/>
        </w:numPr>
        <w:spacing w:after="70" w:line="264"/>
        <w:jc w:val="both"/>
      </w:pPr>
      <w:r>
        <w:rPr>
          <w:rFonts w:ascii="Calibri" w:cs="Calibri" w:eastAsia="Calibri" w:hAnsi="Calibri"/>
          <w:b/>
          <w:bCs/>
          <w:color w:val="1A1A1A"/>
          <w:sz w:val="20"/>
          <w:szCs w:val="20"/>
        </w:rPr>
        <w:t xml:space="preserve">Création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Conseil, règlement n° 168/2007 du 15 février 2007</w:t>
      </w:r>
      <w:r>
        <w:rPr>
          <w:rFonts w:ascii="Calibri" w:cs="Calibri" w:eastAsia="Calibri" w:hAnsi="Calibri"/>
          <w:color w:val="1A1A1A"/>
          <w:sz w:val="20"/>
          <w:szCs w:val="20"/>
        </w:rPr>
        <w:t xml:space="preserve">. Elle succède à l’</w:t>
      </w:r>
      <w:r>
        <w:rPr>
          <w:rFonts w:ascii="Calibri" w:cs="Calibri" w:eastAsia="Calibri" w:hAnsi="Calibri"/>
          <w:b/>
          <w:bCs/>
          <w:color w:val="1A1A1A"/>
          <w:sz w:val="20"/>
          <w:szCs w:val="20"/>
        </w:rPr>
        <w:t xml:space="preserve">Observatoire européen des phénomènes racistes et xénophobes</w:t>
      </w:r>
      <w:r>
        <w:rPr>
          <w:rFonts w:ascii="Calibri" w:cs="Calibri" w:eastAsia="Calibri" w:hAnsi="Calibri"/>
          <w:color w:val="1A1A1A"/>
          <w:sz w:val="20"/>
          <w:szCs w:val="20"/>
        </w:rPr>
        <w:t xml:space="preserve">. Siège à </w:t>
      </w:r>
      <w:r>
        <w:rPr>
          <w:rFonts w:ascii="Calibri" w:cs="Calibri" w:eastAsia="Calibri" w:hAnsi="Calibri"/>
          <w:b/>
          <w:bCs/>
          <w:color w:val="1A1A1A"/>
          <w:sz w:val="20"/>
          <w:szCs w:val="20"/>
        </w:rPr>
        <w:t xml:space="preserve">Vienne</w:t>
      </w:r>
      <w:r>
        <w:rPr>
          <w:rFonts w:ascii="Calibri" w:cs="Calibri" w:eastAsia="Calibri" w:hAnsi="Calibri"/>
          <w:color w:val="1A1A1A"/>
          <w:sz w:val="20"/>
          <w:szCs w:val="20"/>
        </w:rPr>
        <w:t xml:space="preserve"> ; dirigée par </w:t>
      </w:r>
      <w:r>
        <w:rPr>
          <w:rFonts w:ascii="Calibri" w:cs="Calibri" w:eastAsia="Calibri" w:hAnsi="Calibri"/>
          <w:b/>
          <w:bCs/>
          <w:color w:val="1A1A1A"/>
          <w:sz w:val="20"/>
          <w:szCs w:val="20"/>
        </w:rPr>
        <w:t xml:space="preserve">Sirpa Rautio</w:t>
      </w:r>
      <w:r>
        <w:rPr>
          <w:rFonts w:ascii="Calibri" w:cs="Calibri" w:eastAsia="Calibri" w:hAnsi="Calibri"/>
          <w:color w:val="1A1A1A"/>
          <w:sz w:val="20"/>
          <w:szCs w:val="20"/>
        </w:rPr>
        <w:t xml:space="preserve"> (Finlande) depuis 2024 ; composée d’une centaine de personnes.</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Compétences</w:t>
      </w:r>
      <w:r>
        <w:rPr>
          <w:rFonts w:ascii="Calibri" w:cs="Calibri" w:eastAsia="Calibri" w:hAnsi="Calibri"/>
          <w:color w:val="1A1A1A"/>
          <w:sz w:val="20"/>
          <w:szCs w:val="20"/>
        </w:rPr>
        <w:t xml:space="preserve"> : conseiller, d’une part, les </w:t>
      </w:r>
      <w:r>
        <w:rPr>
          <w:rFonts w:ascii="Calibri" w:cs="Calibri" w:eastAsia="Calibri" w:hAnsi="Calibri"/>
          <w:b/>
          <w:bCs/>
          <w:color w:val="1A1A1A"/>
          <w:sz w:val="20"/>
          <w:szCs w:val="20"/>
        </w:rPr>
        <w:t xml:space="preserve">organes de l’Union</w:t>
      </w:r>
      <w:r>
        <w:rPr>
          <w:rFonts w:ascii="Calibri" w:cs="Calibri" w:eastAsia="Calibri" w:hAnsi="Calibri"/>
          <w:color w:val="1A1A1A"/>
          <w:sz w:val="20"/>
          <w:szCs w:val="20"/>
        </w:rPr>
        <w:t xml:space="preserve"> et, d’autre part, les </w:t>
      </w:r>
      <w:r>
        <w:rPr>
          <w:rFonts w:ascii="Calibri" w:cs="Calibri" w:eastAsia="Calibri" w:hAnsi="Calibri"/>
          <w:b/>
          <w:bCs/>
          <w:color w:val="1A1A1A"/>
          <w:sz w:val="20"/>
          <w:szCs w:val="20"/>
        </w:rPr>
        <w:t xml:space="preserve">États membres</w:t>
      </w:r>
      <w:r>
        <w:rPr>
          <w:rFonts w:ascii="Calibri" w:cs="Calibri" w:eastAsia="Calibri" w:hAnsi="Calibri"/>
          <w:color w:val="1A1A1A"/>
          <w:sz w:val="20"/>
          <w:szCs w:val="20"/>
        </w:rPr>
        <w:t xml:space="preserve"> dans le domaine des droits humains, afin de veiller au respect de la Charte des droits fondamentaux. En </w:t>
      </w: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l’Agence a rendu un rapport rendant compte de la croissance des </w:t>
      </w:r>
      <w:r>
        <w:rPr>
          <w:rFonts w:ascii="Calibri" w:cs="Calibri" w:eastAsia="Calibri" w:hAnsi="Calibri"/>
          <w:b/>
          <w:bCs/>
          <w:color w:val="1A1A1A"/>
          <w:sz w:val="20"/>
          <w:szCs w:val="20"/>
        </w:rPr>
        <w:t xml:space="preserve">discriminations et du harcèlement</w:t>
      </w:r>
      <w:r>
        <w:rPr>
          <w:rFonts w:ascii="Calibri" w:cs="Calibri" w:eastAsia="Calibri" w:hAnsi="Calibri"/>
          <w:color w:val="1A1A1A"/>
          <w:sz w:val="20"/>
          <w:szCs w:val="20"/>
        </w:rPr>
        <w:t xml:space="preserve"> — aussi bien dans les relations horizontales que verticales — à l’égard des personnes de confession musulmane depuis une enquête de 2016 ; elle a examiné le règlement général sur la protection des données et enquêté sur les </w:t>
      </w:r>
      <w:r>
        <w:rPr>
          <w:rFonts w:ascii="Calibri" w:cs="Calibri" w:eastAsia="Calibri" w:hAnsi="Calibri"/>
          <w:b/>
          <w:bCs/>
          <w:color w:val="1A1A1A"/>
          <w:sz w:val="20"/>
          <w:szCs w:val="20"/>
        </w:rPr>
        <w:t xml:space="preserve">violences multiples fondées sur le sexe</w:t>
      </w:r>
      <w:r>
        <w:rPr>
          <w:rFonts w:ascii="Calibri" w:cs="Calibri" w:eastAsia="Calibri" w:hAnsi="Calibri"/>
          <w:color w:val="1A1A1A"/>
          <w:sz w:val="20"/>
          <w:szCs w:val="20"/>
        </w:rPr>
        <w:t xml:space="preserve">. En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elle a actualisé une base de données relative à l’</w:t>
      </w:r>
      <w:r>
        <w:rPr>
          <w:rFonts w:ascii="Calibri" w:cs="Calibri" w:eastAsia="Calibri" w:hAnsi="Calibri"/>
          <w:b/>
          <w:bCs/>
          <w:color w:val="1A1A1A"/>
          <w:sz w:val="20"/>
          <w:szCs w:val="20"/>
        </w:rPr>
        <w:t xml:space="preserve">incarcération</w:t>
      </w:r>
      <w:r>
        <w:rPr>
          <w:rFonts w:ascii="Calibri" w:cs="Calibri" w:eastAsia="Calibri" w:hAnsi="Calibri"/>
          <w:color w:val="1A1A1A"/>
          <w:sz w:val="20"/>
          <w:szCs w:val="20"/>
        </w:rPr>
        <w:t xml:space="preserve"> au sein des États membres.</w:t>
      </w:r>
    </w:p>
    <w:p>
      <w:pPr>
        <w:pStyle w:val="ListParagraph"/>
        <w:numPr>
          <w:ilvl w:val="0"/>
          <w:numId w:val="2"/>
        </w:numPr>
        <w:spacing w:after="70" w:line="264"/>
        <w:jc w:val="both"/>
      </w:pPr>
      <w:r>
        <w:rPr>
          <w:rFonts w:ascii="Calibri" w:cs="Calibri" w:eastAsia="Calibri" w:hAnsi="Calibri"/>
          <w:b/>
          <w:bCs/>
          <w:color w:val="1A1A1A"/>
          <w:sz w:val="20"/>
          <w:szCs w:val="20"/>
        </w:rPr>
        <w:t xml:space="preserve">Portée limitée</w:t>
      </w:r>
      <w:r>
        <w:rPr>
          <w:rFonts w:ascii="Calibri" w:cs="Calibri" w:eastAsia="Calibri" w:hAnsi="Calibri"/>
          <w:color w:val="1A1A1A"/>
          <w:sz w:val="20"/>
          <w:szCs w:val="20"/>
        </w:rPr>
        <w:t xml:space="preserve"> : l’ensemble des avis, rapports et études émanant de l’Agence, qui permettent de </w:t>
      </w:r>
      <w:r>
        <w:rPr>
          <w:rFonts w:ascii="Calibri" w:cs="Calibri" w:eastAsia="Calibri" w:hAnsi="Calibri"/>
          <w:b/>
          <w:bCs/>
          <w:color w:val="1A1A1A"/>
          <w:sz w:val="20"/>
          <w:szCs w:val="20"/>
        </w:rPr>
        <w:t xml:space="preserve">documenter</w:t>
      </w:r>
      <w:r>
        <w:rPr>
          <w:rFonts w:ascii="Calibri" w:cs="Calibri" w:eastAsia="Calibri" w:hAnsi="Calibri"/>
          <w:color w:val="1A1A1A"/>
          <w:sz w:val="20"/>
          <w:szCs w:val="20"/>
        </w:rPr>
        <w:t xml:space="preserve"> des violations des droits humains, </w:t>
      </w:r>
      <w:r>
        <w:rPr>
          <w:rFonts w:ascii="Calibri" w:cs="Calibri" w:eastAsia="Calibri" w:hAnsi="Calibri"/>
          <w:b/>
          <w:bCs/>
          <w:color w:val="1A1A1A"/>
          <w:sz w:val="20"/>
          <w:szCs w:val="20"/>
        </w:rPr>
        <w:t xml:space="preserve">n’ont pas de valeur juridiquement contraignante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Le Contrôleur européen de la protection des données</w:t>
      </w:r>
    </w:p>
    <w:p>
      <w:pPr>
        <w:pStyle w:val="ListParagraph"/>
        <w:numPr>
          <w:ilvl w:val="0"/>
          <w:numId w:val="2"/>
        </w:numPr>
        <w:spacing w:after="70" w:line="264"/>
        <w:jc w:val="both"/>
      </w:pPr>
      <w:r>
        <w:rPr>
          <w:rFonts w:ascii="Calibri" w:cs="Calibri" w:eastAsia="Calibri" w:hAnsi="Calibri"/>
          <w:b/>
          <w:bCs/>
          <w:color w:val="1A1A1A"/>
          <w:sz w:val="20"/>
          <w:szCs w:val="20"/>
        </w:rPr>
        <w:t xml:space="preserve">Création</w:t>
      </w:r>
      <w:r>
        <w:rPr>
          <w:rFonts w:ascii="Calibri" w:cs="Calibri" w:eastAsia="Calibri" w:hAnsi="Calibri"/>
          <w:color w:val="1A1A1A"/>
          <w:sz w:val="20"/>
          <w:szCs w:val="20"/>
        </w:rPr>
        <w:t xml:space="preserve"> : dès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l’Union s’est saisie de la question de la protection des données et a institué un Contrôleur européen, siégeant à </w:t>
      </w:r>
      <w:r>
        <w:rPr>
          <w:rFonts w:ascii="Calibri" w:cs="Calibri" w:eastAsia="Calibri" w:hAnsi="Calibri"/>
          <w:b/>
          <w:bCs/>
          <w:color w:val="1A1A1A"/>
          <w:sz w:val="20"/>
          <w:szCs w:val="20"/>
        </w:rPr>
        <w:t xml:space="preserve">Bruxelles</w:t>
      </w:r>
      <w:r>
        <w:rPr>
          <w:rFonts w:ascii="Calibri" w:cs="Calibri" w:eastAsia="Calibri" w:hAnsi="Calibri"/>
          <w:color w:val="1A1A1A"/>
          <w:sz w:val="20"/>
          <w:szCs w:val="20"/>
        </w:rPr>
        <w:t xml:space="preserve">. Il se distingue du </w:t>
      </w:r>
      <w:r>
        <w:rPr>
          <w:rFonts w:ascii="Calibri" w:cs="Calibri" w:eastAsia="Calibri" w:hAnsi="Calibri"/>
          <w:b/>
          <w:bCs/>
          <w:color w:val="1A1A1A"/>
          <w:sz w:val="20"/>
          <w:szCs w:val="20"/>
        </w:rPr>
        <w:t xml:space="preserve">Comité européen de la protection des données</w:t>
      </w:r>
      <w:r>
        <w:rPr>
          <w:rFonts w:ascii="Calibri" w:cs="Calibri" w:eastAsia="Calibri" w:hAnsi="Calibri"/>
          <w:color w:val="1A1A1A"/>
          <w:sz w:val="20"/>
          <w:szCs w:val="20"/>
        </w:rPr>
        <w:t xml:space="preserve">, institué en </w:t>
      </w:r>
      <w:r>
        <w:rPr>
          <w:rFonts w:ascii="Calibri" w:cs="Calibri" w:eastAsia="Calibri" w:hAnsi="Calibri"/>
          <w:b/>
          <w:bCs/>
          <w:color w:val="1A1A1A"/>
          <w:sz w:val="20"/>
          <w:szCs w:val="20"/>
        </w:rPr>
        <w:t xml:space="preserve">2018</w:t>
      </w:r>
      <w:r>
        <w:rPr>
          <w:rFonts w:ascii="Calibri" w:cs="Calibri" w:eastAsia="Calibri" w:hAnsi="Calibri"/>
          <w:color w:val="1A1A1A"/>
          <w:sz w:val="20"/>
          <w:szCs w:val="20"/>
        </w:rPr>
        <w:t xml:space="preserve">. Contrôleur actuel : l’avocat et universitaire </w:t>
      </w:r>
      <w:r>
        <w:rPr>
          <w:rFonts w:ascii="Calibri" w:cs="Calibri" w:eastAsia="Calibri" w:hAnsi="Calibri"/>
          <w:b/>
          <w:bCs/>
          <w:color w:val="1A1A1A"/>
          <w:sz w:val="20"/>
          <w:szCs w:val="20"/>
        </w:rPr>
        <w:t xml:space="preserve">Wojciech Wiewiórowski</w:t>
      </w:r>
      <w:r>
        <w:rPr>
          <w:rFonts w:ascii="Calibri" w:cs="Calibri" w:eastAsia="Calibri" w:hAnsi="Calibri"/>
          <w:color w:val="1A1A1A"/>
          <w:sz w:val="20"/>
          <w:szCs w:val="20"/>
        </w:rPr>
        <w:t xml:space="preserve"> (Pologne). Il </w:t>
      </w:r>
      <w:r>
        <w:rPr>
          <w:rFonts w:ascii="Calibri" w:cs="Calibri" w:eastAsia="Calibri" w:hAnsi="Calibri"/>
          <w:b/>
          <w:bCs/>
          <w:color w:val="1A1A1A"/>
          <w:sz w:val="20"/>
          <w:szCs w:val="20"/>
        </w:rPr>
        <w:t xml:space="preserve">n’est pas élu</w:t>
      </w:r>
      <w:r>
        <w:rPr>
          <w:rFonts w:ascii="Calibri" w:cs="Calibri" w:eastAsia="Calibri" w:hAnsi="Calibri"/>
          <w:color w:val="1A1A1A"/>
          <w:sz w:val="20"/>
          <w:szCs w:val="20"/>
        </w:rPr>
        <w:t xml:space="preserve"> mais </w:t>
      </w:r>
      <w:r>
        <w:rPr>
          <w:rFonts w:ascii="Calibri" w:cs="Calibri" w:eastAsia="Calibri" w:hAnsi="Calibri"/>
          <w:b/>
          <w:bCs/>
          <w:color w:val="1A1A1A"/>
          <w:sz w:val="20"/>
          <w:szCs w:val="20"/>
        </w:rPr>
        <w:t xml:space="preserve">nommé par une décision rendue conjointement</w:t>
      </w:r>
      <w:r>
        <w:rPr>
          <w:rFonts w:ascii="Calibri" w:cs="Calibri" w:eastAsia="Calibri" w:hAnsi="Calibri"/>
          <w:color w:val="1A1A1A"/>
          <w:sz w:val="20"/>
          <w:szCs w:val="20"/>
        </w:rPr>
        <w:t xml:space="preserve"> par le Parlement européen et le Conseil.</w:t>
      </w:r>
    </w:p>
    <w:p>
      <w:pPr>
        <w:pStyle w:val="ListParagraph"/>
        <w:numPr>
          <w:ilvl w:val="0"/>
          <w:numId w:val="2"/>
        </w:numPr>
        <w:spacing w:after="70" w:line="264"/>
        <w:jc w:val="both"/>
      </w:pPr>
      <w:r>
        <w:rPr>
          <w:rFonts w:ascii="Calibri" w:cs="Calibri" w:eastAsia="Calibri" w:hAnsi="Calibri"/>
          <w:b/>
          <w:bCs/>
          <w:color w:val="1A1A1A"/>
          <w:sz w:val="20"/>
          <w:szCs w:val="20"/>
        </w:rPr>
        <w:t xml:space="preserve">Textes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Parlement européen et Conseil, règlement n° 2018/1725 du 23 octobre 2018</w:t>
      </w:r>
      <w:r>
        <w:rPr>
          <w:rFonts w:ascii="Calibri" w:cs="Calibri" w:eastAsia="Calibri" w:hAnsi="Calibri"/>
          <w:color w:val="1A1A1A"/>
          <w:sz w:val="20"/>
          <w:szCs w:val="20"/>
        </w:rPr>
        <w:t xml:space="preserve"> relatif à la protection des personnes physiques à l’égard du traitement des données à caractère personnel par les institutions, organes et organismes de l’Union et à la libre circulation de ces données, abrogeant le règlement (CE) n° 45/2001 et la décision n° 1247/2002/CE. Rappel de rattachement : </w:t>
      </w:r>
      <w:r>
        <w:rPr>
          <w:rFonts w:ascii="Calibri" w:cs="Calibri" w:eastAsia="Calibri" w:hAnsi="Calibri"/>
          <w:color w:val="1E88E5"/>
          <w:sz w:val="20"/>
          <w:szCs w:val="20"/>
        </w:rPr>
        <w:t xml:space="preserve">art. 16 TFUE</w:t>
      </w:r>
      <w:r>
        <w:rPr>
          <w:rFonts w:ascii="Calibri" w:cs="Calibri" w:eastAsia="Calibri" w:hAnsi="Calibri"/>
          <w:color w:val="1A1A1A"/>
          <w:sz w:val="20"/>
          <w:szCs w:val="20"/>
        </w:rPr>
        <w:t xml:space="preserve"> (droit de toute personne à la protection des données la concernant) et </w:t>
      </w:r>
      <w:r>
        <w:rPr>
          <w:rFonts w:ascii="Calibri" w:cs="Calibri" w:eastAsia="Calibri" w:hAnsi="Calibri"/>
          <w:color w:val="1E88E5"/>
          <w:sz w:val="20"/>
          <w:szCs w:val="20"/>
        </w:rPr>
        <w:t xml:space="preserve">art. 8 de la Charte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Compétences protéiformes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58 du règlement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pouvoirs d’enquête</w:t>
      </w:r>
      <w:r>
        <w:rPr>
          <w:rFonts w:ascii="Calibri" w:cs="Calibri" w:eastAsia="Calibri" w:hAnsi="Calibri"/>
          <w:color w:val="1A1A1A"/>
          <w:sz w:val="20"/>
          <w:szCs w:val="20"/>
        </w:rPr>
        <w:t xml:space="preserve"> (audits sur la protection des données, notification aux organismes en cas de violation, obtention de l’accès aux données à caractère personnel pour l’accomplissement de ses missions, accès aux locaux) ; </w:t>
      </w:r>
      <w:r>
        <w:rPr>
          <w:rFonts w:ascii="Calibri" w:cs="Calibri" w:eastAsia="Calibri" w:hAnsi="Calibri"/>
          <w:b/>
          <w:bCs/>
          <w:color w:val="1A1A1A"/>
          <w:sz w:val="20"/>
          <w:szCs w:val="20"/>
        </w:rPr>
        <w:t xml:space="preserve">mesures coercitives</w:t>
      </w:r>
      <w:r>
        <w:rPr>
          <w:rFonts w:ascii="Calibri" w:cs="Calibri" w:eastAsia="Calibri" w:hAnsi="Calibri"/>
          <w:color w:val="1A1A1A"/>
          <w:sz w:val="20"/>
          <w:szCs w:val="20"/>
        </w:rPr>
        <w:t xml:space="preserve"> (avertissements, rappels à l’ordre, limitation temporaire ou définitive voire interdiction de traitement des données, imposition d’amende, suspension de flux de données) ; </w:t>
      </w:r>
      <w:r>
        <w:rPr>
          <w:rFonts w:ascii="Calibri" w:cs="Calibri" w:eastAsia="Calibri" w:hAnsi="Calibri"/>
          <w:b/>
          <w:bCs/>
          <w:color w:val="1A1A1A"/>
          <w:sz w:val="20"/>
          <w:szCs w:val="20"/>
        </w:rPr>
        <w:t xml:space="preserve">pouvoirs d’autorisation et consultatifs</w:t>
      </w:r>
      <w:r>
        <w:rPr>
          <w:rFonts w:ascii="Calibri" w:cs="Calibri" w:eastAsia="Calibri" w:hAnsi="Calibri"/>
          <w:color w:val="1A1A1A"/>
          <w:sz w:val="20"/>
          <w:szCs w:val="20"/>
        </w:rPr>
        <w:t xml:space="preserve"> (conseil des personnes dans l’exercice de leurs droits, conseil aux responsables de traitement, émission d’avis, autorisation de clauses contractuelles et d’arrangements administratifs, et </w:t>
      </w:r>
      <w:r>
        <w:rPr>
          <w:rFonts w:ascii="Calibri" w:cs="Calibri" w:eastAsia="Calibri" w:hAnsi="Calibri"/>
          <w:b/>
          <w:bCs/>
          <w:color w:val="1A1A1A"/>
          <w:sz w:val="20"/>
          <w:szCs w:val="20"/>
        </w:rPr>
        <w:t xml:space="preserve">pouvoir de saisine de la Cour de justice</w:t>
      </w:r>
      <w:r>
        <w:rPr>
          <w:rFonts w:ascii="Calibri" w:cs="Calibri" w:eastAsia="Calibri" w:hAnsi="Calibri"/>
          <w:color w:val="1A1A1A"/>
          <w:sz w:val="20"/>
          <w:szCs w:val="20"/>
        </w:rPr>
        <w:t xml:space="preserve"> dans certains cas).</w:t>
      </w:r>
    </w:p>
    <w:p>
      <w:pPr>
        <w:pStyle w:val="Heading2"/>
        <w:spacing w:after="120" w:before="280"/>
      </w:pPr>
      <w:r>
        <w:rPr>
          <w:rFonts w:ascii="Calibri" w:cs="Calibri" w:eastAsia="Calibri" w:hAnsi="Calibri"/>
          <w:b/>
          <w:bCs/>
          <w:color w:val="1A1A1A"/>
          <w:sz w:val="24"/>
          <w:szCs w:val="24"/>
        </w:rPr>
        <w:t xml:space="preserve">4. Débats doctrinaux &amp;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Thèse I — une contribution tangible</w:t>
      </w:r>
      <w:r>
        <w:rPr>
          <w:rFonts w:ascii="Calibri" w:cs="Calibri" w:eastAsia="Calibri" w:hAnsi="Calibri"/>
          <w:color w:val="1A1A1A"/>
          <w:sz w:val="20"/>
          <w:szCs w:val="20"/>
        </w:rPr>
        <w:t xml:space="preserve"> : il existe une </w:t>
      </w:r>
      <w:r>
        <w:rPr>
          <w:rFonts w:ascii="Calibri" w:cs="Calibri" w:eastAsia="Calibri" w:hAnsi="Calibri"/>
          <w:b/>
          <w:bCs/>
          <w:color w:val="1A1A1A"/>
          <w:sz w:val="20"/>
          <w:szCs w:val="20"/>
        </w:rPr>
        <w:t xml:space="preserve">diversité d’organes</w:t>
      </w:r>
      <w:r>
        <w:rPr>
          <w:rFonts w:ascii="Calibri" w:cs="Calibri" w:eastAsia="Calibri" w:hAnsi="Calibri"/>
          <w:color w:val="1A1A1A"/>
          <w:sz w:val="20"/>
          <w:szCs w:val="20"/>
        </w:rPr>
        <w:t xml:space="preserve"> internationaux et européens non juridictionnels dont le but est la protection des droits humains à travers le monde selon des modes d’action variés. Leur </w:t>
      </w:r>
      <w:r>
        <w:rPr>
          <w:rFonts w:ascii="Calibri" w:cs="Calibri" w:eastAsia="Calibri" w:hAnsi="Calibri"/>
          <w:b/>
          <w:bCs/>
          <w:color w:val="1A1A1A"/>
          <w:sz w:val="20"/>
          <w:szCs w:val="20"/>
        </w:rPr>
        <w:t xml:space="preserve">indépendance</w:t>
      </w:r>
      <w:r>
        <w:rPr>
          <w:rFonts w:ascii="Calibri" w:cs="Calibri" w:eastAsia="Calibri" w:hAnsi="Calibri"/>
          <w:color w:val="1A1A1A"/>
          <w:sz w:val="20"/>
          <w:szCs w:val="20"/>
        </w:rPr>
        <w:t xml:space="preserve"> au sein des organisations internationales constitue un élément important pour l’impartialité de leur action et des documents publiés. Ils permettent de contribuer à la </w:t>
      </w:r>
      <w:r>
        <w:rPr>
          <w:rFonts w:ascii="Calibri" w:cs="Calibri" w:eastAsia="Calibri" w:hAnsi="Calibri"/>
          <w:b/>
          <w:bCs/>
          <w:color w:val="1A1A1A"/>
          <w:sz w:val="20"/>
          <w:szCs w:val="20"/>
        </w:rPr>
        <w:t xml:space="preserve">diffusion d’une culture des droits humains</w:t>
      </w:r>
      <w:r>
        <w:rPr>
          <w:rFonts w:ascii="Calibri" w:cs="Calibri" w:eastAsia="Calibri" w:hAnsi="Calibri"/>
          <w:color w:val="1A1A1A"/>
          <w:sz w:val="20"/>
          <w:szCs w:val="20"/>
        </w:rPr>
        <w:t xml:space="preserve"> — bien que celle-ci fasse régulièrement l’objet de critiques et de remises en cause — et de </w:t>
      </w:r>
      <w:r>
        <w:rPr>
          <w:rFonts w:ascii="Calibri" w:cs="Calibri" w:eastAsia="Calibri" w:hAnsi="Calibri"/>
          <w:b/>
          <w:bCs/>
          <w:color w:val="1A1A1A"/>
          <w:sz w:val="20"/>
          <w:szCs w:val="20"/>
        </w:rPr>
        <w:t xml:space="preserve">diffuser publiquement les violations</w:t>
      </w:r>
      <w:r>
        <w:rPr>
          <w:rFonts w:ascii="Calibri" w:cs="Calibri" w:eastAsia="Calibri" w:hAnsi="Calibri"/>
          <w:color w:val="1A1A1A"/>
          <w:sz w:val="20"/>
          <w:szCs w:val="20"/>
        </w:rPr>
        <w:t xml:space="preserve"> de ces droits. Cette publication est importante pour les citoyens, avocats, organisations non gouvernementales, universitaires, juridictions et gouvernements, et contribue à des évolutions du respect des droits humains.</w:t>
      </w:r>
    </w:p>
    <w:p>
      <w:pPr>
        <w:pStyle w:val="ListParagraph"/>
        <w:numPr>
          <w:ilvl w:val="0"/>
          <w:numId w:val="2"/>
        </w:numPr>
        <w:spacing w:after="70" w:line="264"/>
        <w:jc w:val="both"/>
      </w:pPr>
      <w:r>
        <w:rPr>
          <w:rFonts w:ascii="Calibri" w:cs="Calibri" w:eastAsia="Calibri" w:hAnsi="Calibri"/>
          <w:b/>
          <w:bCs/>
          <w:color w:val="1A1A1A"/>
          <w:sz w:val="20"/>
          <w:szCs w:val="20"/>
        </w:rPr>
        <w:t xml:space="preserve">Les modalités les plus efficaces</w:t>
      </w:r>
      <w:r>
        <w:rPr>
          <w:rFonts w:ascii="Calibri" w:cs="Calibri" w:eastAsia="Calibri" w:hAnsi="Calibri"/>
          <w:color w:val="1A1A1A"/>
          <w:sz w:val="20"/>
          <w:szCs w:val="20"/>
        </w:rPr>
        <w:t xml:space="preserve"> — à citer nommément : les suggestions du </w:t>
      </w:r>
      <w:r>
        <w:rPr>
          <w:rFonts w:ascii="Calibri" w:cs="Calibri" w:eastAsia="Calibri" w:hAnsi="Calibri"/>
          <w:b/>
          <w:bCs/>
          <w:color w:val="1A1A1A"/>
          <w:sz w:val="20"/>
          <w:szCs w:val="20"/>
        </w:rPr>
        <w:t xml:space="preserve">Médiateur européen</w:t>
      </w:r>
      <w:r>
        <w:rPr>
          <w:rFonts w:ascii="Calibri" w:cs="Calibri" w:eastAsia="Calibri" w:hAnsi="Calibri"/>
          <w:color w:val="1A1A1A"/>
          <w:sz w:val="20"/>
          <w:szCs w:val="20"/>
        </w:rPr>
        <w:t xml:space="preserve"> sont généralement suivies ; le </w:t>
      </w:r>
      <w:r>
        <w:rPr>
          <w:rFonts w:ascii="Calibri" w:cs="Calibri" w:eastAsia="Calibri" w:hAnsi="Calibri"/>
          <w:b/>
          <w:bCs/>
          <w:color w:val="1A1A1A"/>
          <w:sz w:val="20"/>
          <w:szCs w:val="20"/>
        </w:rPr>
        <w:t xml:space="preserve">Commissaire aux droits de l’homme</w:t>
      </w:r>
      <w:r>
        <w:rPr>
          <w:rFonts w:ascii="Calibri" w:cs="Calibri" w:eastAsia="Calibri" w:hAnsi="Calibri"/>
          <w:color w:val="1A1A1A"/>
          <w:sz w:val="20"/>
          <w:szCs w:val="20"/>
        </w:rPr>
        <w:t xml:space="preserve"> peut présenter des observations écrites et prendre part aux audiences devant la Cour européenne sur le fondement de l’</w:t>
      </w:r>
      <w:r>
        <w:rPr>
          <w:rFonts w:ascii="Calibri" w:cs="Calibri" w:eastAsia="Calibri" w:hAnsi="Calibri"/>
          <w:color w:val="1E88E5"/>
          <w:sz w:val="20"/>
          <w:szCs w:val="20"/>
        </w:rPr>
        <w:t xml:space="preserve">art. 36 de la Convention</w:t>
      </w:r>
      <w:r>
        <w:rPr>
          <w:rFonts w:ascii="Calibri" w:cs="Calibri" w:eastAsia="Calibri" w:hAnsi="Calibri"/>
          <w:color w:val="1A1A1A"/>
          <w:sz w:val="20"/>
          <w:szCs w:val="20"/>
        </w:rPr>
        <w:t xml:space="preserve"> ; la </w:t>
      </w:r>
      <w:r>
        <w:rPr>
          <w:rFonts w:ascii="Calibri" w:cs="Calibri" w:eastAsia="Calibri" w:hAnsi="Calibri"/>
          <w:b/>
          <w:bCs/>
          <w:color w:val="1A1A1A"/>
          <w:sz w:val="20"/>
          <w:szCs w:val="20"/>
        </w:rPr>
        <w:t xml:space="preserve">Commission de Venise</w:t>
      </w:r>
      <w:r>
        <w:rPr>
          <w:rFonts w:ascii="Calibri" w:cs="Calibri" w:eastAsia="Calibri" w:hAnsi="Calibri"/>
          <w:color w:val="1A1A1A"/>
          <w:sz w:val="20"/>
          <w:szCs w:val="20"/>
        </w:rPr>
        <w:t xml:space="preserve"> peut déposer des mémoires </w:t>
      </w:r>
      <w:r>
        <w:rPr>
          <w:rFonts w:ascii="Calibri" w:cs="Calibri" w:eastAsia="Calibri" w:hAnsi="Calibri"/>
          <w:i/>
          <w:iCs/>
          <w:color w:val="1A1A1A"/>
          <w:sz w:val="20"/>
          <w:szCs w:val="20"/>
        </w:rPr>
        <w:t xml:space="preserve">amicus curiae</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Contrôleur européen de la protection des données</w:t>
      </w:r>
      <w:r>
        <w:rPr>
          <w:rFonts w:ascii="Calibri" w:cs="Calibri" w:eastAsia="Calibri" w:hAnsi="Calibri"/>
          <w:color w:val="1A1A1A"/>
          <w:sz w:val="20"/>
          <w:szCs w:val="20"/>
        </w:rPr>
        <w:t xml:space="preserve"> dispose de pouvoirs étendus, y compris coercitifs.</w:t>
      </w:r>
    </w:p>
    <w:p>
      <w:pPr>
        <w:pStyle w:val="ListParagraph"/>
        <w:numPr>
          <w:ilvl w:val="0"/>
          <w:numId w:val="2"/>
        </w:numPr>
        <w:spacing w:after="70" w:line="264"/>
        <w:jc w:val="both"/>
      </w:pPr>
      <w:r>
        <w:rPr>
          <w:rFonts w:ascii="Calibri" w:cs="Calibri" w:eastAsia="Calibri" w:hAnsi="Calibri"/>
          <w:b/>
          <w:bCs/>
          <w:color w:val="1A1A1A"/>
          <w:sz w:val="20"/>
          <w:szCs w:val="20"/>
        </w:rPr>
        <w:t xml:space="preserve">Thèse II — une contribution affaiblie</w:t>
      </w:r>
      <w:r>
        <w:rPr>
          <w:rFonts w:ascii="Calibri" w:cs="Calibri" w:eastAsia="Calibri" w:hAnsi="Calibri"/>
          <w:color w:val="1A1A1A"/>
          <w:sz w:val="20"/>
          <w:szCs w:val="20"/>
        </w:rPr>
        <w:t xml:space="preserve"> : les actes émanant de ces organes </w:t>
      </w:r>
      <w:r>
        <w:rPr>
          <w:rFonts w:ascii="Calibri" w:cs="Calibri" w:eastAsia="Calibri" w:hAnsi="Calibri"/>
          <w:b/>
          <w:bCs/>
          <w:color w:val="1A1A1A"/>
          <w:sz w:val="20"/>
          <w:szCs w:val="20"/>
        </w:rPr>
        <w:t xml:space="preserve">ne disposent pas de pouvoirs contraignants</w:t>
      </w:r>
      <w:r>
        <w:rPr>
          <w:rFonts w:ascii="Calibri" w:cs="Calibri" w:eastAsia="Calibri" w:hAnsi="Calibri"/>
          <w:color w:val="1A1A1A"/>
          <w:sz w:val="20"/>
          <w:szCs w:val="20"/>
        </w:rPr>
        <w:t xml:space="preserve"> à l’égard des États (actes du Conseil des droits de l’homme, du Haut-Commissariat), ce qui implique une </w:t>
      </w:r>
      <w:r>
        <w:rPr>
          <w:rFonts w:ascii="Calibri" w:cs="Calibri" w:eastAsia="Calibri" w:hAnsi="Calibri"/>
          <w:b/>
          <w:bCs/>
          <w:color w:val="1A1A1A"/>
          <w:sz w:val="20"/>
          <w:szCs w:val="20"/>
        </w:rPr>
        <w:t xml:space="preserve">absence de sanction</w:t>
      </w:r>
      <w:r>
        <w:rPr>
          <w:rFonts w:ascii="Calibri" w:cs="Calibri" w:eastAsia="Calibri" w:hAnsi="Calibri"/>
          <w:color w:val="1A1A1A"/>
          <w:sz w:val="20"/>
          <w:szCs w:val="20"/>
        </w:rPr>
        <w:t xml:space="preserve">. De plus, l’ensemble de ces organes demeure </w:t>
      </w:r>
      <w:r>
        <w:rPr>
          <w:rFonts w:ascii="Calibri" w:cs="Calibri" w:eastAsia="Calibri" w:hAnsi="Calibri"/>
          <w:b/>
          <w:bCs/>
          <w:color w:val="1A1A1A"/>
          <w:sz w:val="20"/>
          <w:szCs w:val="20"/>
        </w:rPr>
        <w:t xml:space="preserve">assez peu connu des citoyens</w:t>
      </w:r>
      <w:r>
        <w:rPr>
          <w:rFonts w:ascii="Calibri" w:cs="Calibri" w:eastAsia="Calibri" w:hAnsi="Calibri"/>
          <w:color w:val="1A1A1A"/>
          <w:sz w:val="20"/>
          <w:szCs w:val="20"/>
        </w:rPr>
        <w:t xml:space="preserve">, ce qui amoindrit nécessairement la portée de leur action.</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contexte de contestation</w:t>
      </w:r>
      <w:r>
        <w:rPr>
          <w:rFonts w:ascii="Calibri" w:cs="Calibri" w:eastAsia="Calibri" w:hAnsi="Calibri"/>
          <w:color w:val="1A1A1A"/>
          <w:sz w:val="20"/>
          <w:szCs w:val="20"/>
        </w:rPr>
        <w:t xml:space="preserve"> : le droit international et européen des droits de l’homme fait face à un </w:t>
      </w:r>
      <w:r>
        <w:rPr>
          <w:rFonts w:ascii="Calibri" w:cs="Calibri" w:eastAsia="Calibri" w:hAnsi="Calibri"/>
          <w:b/>
          <w:bCs/>
          <w:color w:val="1A1A1A"/>
          <w:sz w:val="20"/>
          <w:szCs w:val="20"/>
        </w:rPr>
        <w:t xml:space="preserve">foisonnement de critiques</w:t>
      </w:r>
      <w:r>
        <w:rPr>
          <w:rFonts w:ascii="Calibri" w:cs="Calibri" w:eastAsia="Calibri" w:hAnsi="Calibri"/>
          <w:color w:val="1A1A1A"/>
          <w:sz w:val="20"/>
          <w:szCs w:val="20"/>
        </w:rPr>
        <w:t xml:space="preserve"> ataviques quant aux ingérences alléguées dans la souveraineté des États, même lorsqu’il s’agit d’avis, de déclarations ou de rapports sans valeur contraignante. Ces critiques tiennent également à une perception des droits humains comme une </w:t>
      </w:r>
      <w:r>
        <w:rPr>
          <w:rFonts w:ascii="Calibri" w:cs="Calibri" w:eastAsia="Calibri" w:hAnsi="Calibri"/>
          <w:b/>
          <w:bCs/>
          <w:color w:val="1A1A1A"/>
          <w:sz w:val="20"/>
          <w:szCs w:val="20"/>
        </w:rPr>
        <w:t xml:space="preserve">idéologie occidentale et coloniale</w:t>
      </w:r>
      <w:r>
        <w:rPr>
          <w:rFonts w:ascii="Calibri" w:cs="Calibri" w:eastAsia="Calibri" w:hAnsi="Calibri"/>
          <w:color w:val="1A1A1A"/>
          <w:sz w:val="20"/>
          <w:szCs w:val="20"/>
        </w:rPr>
        <w:t xml:space="preserve">. Il arrive souvent que des États manifestent des </w:t>
      </w:r>
      <w:r>
        <w:rPr>
          <w:rFonts w:ascii="Calibri" w:cs="Calibri" w:eastAsia="Calibri" w:hAnsi="Calibri"/>
          <w:b/>
          <w:bCs/>
          <w:color w:val="1A1A1A"/>
          <w:sz w:val="20"/>
          <w:szCs w:val="20"/>
        </w:rPr>
        <w:t xml:space="preserve">réactions hostiles</w:t>
      </w:r>
      <w:r>
        <w:rPr>
          <w:rFonts w:ascii="Calibri" w:cs="Calibri" w:eastAsia="Calibri" w:hAnsi="Calibri"/>
          <w:color w:val="1A1A1A"/>
          <w:sz w:val="20"/>
          <w:szCs w:val="20"/>
        </w:rPr>
        <w:t xml:space="preserve"> lorsque ces organes mettent en lumière des violations, ce qui implique qu’ils ne soient pas suivis d’effets. Illustration décisive : </w:t>
      </w:r>
      <w:r>
        <w:rPr>
          <w:rFonts w:ascii="Calibri" w:cs="Calibri" w:eastAsia="Calibri" w:hAnsi="Calibri"/>
          <w:b/>
          <w:bCs/>
          <w:color w:val="1A1A1A"/>
          <w:sz w:val="20"/>
          <w:szCs w:val="20"/>
        </w:rPr>
        <w:t xml:space="preserve">trois États se sont retirés du Conseil des droits de l’homme en 2025</w:t>
      </w:r>
      <w:r>
        <w:rPr>
          <w:rFonts w:ascii="Calibri" w:cs="Calibri" w:eastAsia="Calibri" w:hAnsi="Calibri"/>
          <w:color w:val="1A1A1A"/>
          <w:sz w:val="20"/>
          <w:szCs w:val="20"/>
        </w:rPr>
        <w:t xml:space="preserve"> (États-Unis, Israël, Nicaragua). </w:t>
      </w:r>
      <w:r>
        <w:rPr>
          <w:rFonts w:ascii="Calibri" w:cs="Calibri" w:eastAsia="Calibri" w:hAnsi="Calibri"/>
          <w:b/>
          <w:bCs/>
          <w:color w:val="1A1A1A"/>
          <w:sz w:val="20"/>
          <w:szCs w:val="20"/>
        </w:rPr>
        <w:t xml:space="preserve">La volonté politique des États est un facteur déterminant</w:t>
      </w:r>
      <w:r>
        <w:rPr>
          <w:rFonts w:ascii="Calibri" w:cs="Calibri" w:eastAsia="Calibri" w:hAnsi="Calibri"/>
          <w:color w:val="1A1A1A"/>
          <w:sz w:val="20"/>
          <w:szCs w:val="20"/>
        </w:rPr>
        <w:t xml:space="preserve"> de la place de ces organes dans la garantie des droits humains.</w:t>
      </w:r>
    </w:p>
    <w:p>
      <w:pPr>
        <w:pStyle w:val="ListParagraph"/>
        <w:numPr>
          <w:ilvl w:val="0"/>
          <w:numId w:val="2"/>
        </w:numPr>
        <w:spacing w:after="70" w:line="264"/>
        <w:jc w:val="both"/>
      </w:pPr>
      <w:r>
        <w:rPr>
          <w:rFonts w:ascii="Calibri" w:cs="Calibri" w:eastAsia="Calibri" w:hAnsi="Calibri"/>
          <w:b/>
          <w:bCs/>
          <w:color w:val="1A1A1A"/>
          <w:sz w:val="20"/>
          <w:szCs w:val="20"/>
        </w:rPr>
        <w:t xml:space="preserve">Formule de conclusion</w:t>
      </w:r>
      <w:r>
        <w:rPr>
          <w:rFonts w:ascii="Calibri" w:cs="Calibri" w:eastAsia="Calibri" w:hAnsi="Calibri"/>
          <w:color w:val="1A1A1A"/>
          <w:sz w:val="20"/>
          <w:szCs w:val="20"/>
        </w:rPr>
        <w:t xml:space="preserve"> : si les organes de protection politique et administrative à l’échelle européenne et internationale </w:t>
      </w:r>
      <w:r>
        <w:rPr>
          <w:rFonts w:ascii="Calibri" w:cs="Calibri" w:eastAsia="Calibri" w:hAnsi="Calibri"/>
          <w:b/>
          <w:bCs/>
          <w:color w:val="1A1A1A"/>
          <w:sz w:val="20"/>
          <w:szCs w:val="20"/>
        </w:rPr>
        <w:t xml:space="preserve">ne concourent pas toujours à une garantie contraignante</w:t>
      </w:r>
      <w:r>
        <w:rPr>
          <w:rFonts w:ascii="Calibri" w:cs="Calibri" w:eastAsia="Calibri" w:hAnsi="Calibri"/>
          <w:color w:val="1A1A1A"/>
          <w:sz w:val="20"/>
          <w:szCs w:val="20"/>
        </w:rPr>
        <w:t xml:space="preserve"> des droits humains, leur existence contribue tout de même à leur protection.</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Ces organes servent-ils à quelque chose, faute de pouvoir contraignant ? »</w:t>
      </w:r>
      <w:r>
        <w:rPr>
          <w:rFonts w:ascii="Calibri" w:cs="Calibri" w:eastAsia="Calibri" w:hAnsi="Calibri"/>
          <w:color w:val="1A1A1A"/>
          <w:sz w:val="20"/>
          <w:szCs w:val="20"/>
        </w:rPr>
        <w:t xml:space="preserve"> — Réponse en trois arguments concrets : la </w:t>
      </w:r>
      <w:r>
        <w:rPr>
          <w:rFonts w:ascii="Calibri" w:cs="Calibri" w:eastAsia="Calibri" w:hAnsi="Calibri"/>
          <w:b/>
          <w:bCs/>
          <w:color w:val="1A1A1A"/>
          <w:sz w:val="20"/>
          <w:szCs w:val="20"/>
        </w:rPr>
        <w:t xml:space="preserve">publicité</w:t>
      </w:r>
      <w:r>
        <w:rPr>
          <w:rFonts w:ascii="Calibri" w:cs="Calibri" w:eastAsia="Calibri" w:hAnsi="Calibri"/>
          <w:color w:val="1A1A1A"/>
          <w:sz w:val="20"/>
          <w:szCs w:val="20"/>
        </w:rPr>
        <w:t xml:space="preserve"> des violations, qui alimente les recours des avocats, ONG et juridictions ; les </w:t>
      </w:r>
      <w:r>
        <w:rPr>
          <w:rFonts w:ascii="Calibri" w:cs="Calibri" w:eastAsia="Calibri" w:hAnsi="Calibri"/>
          <w:b/>
          <w:bCs/>
          <w:color w:val="1A1A1A"/>
          <w:sz w:val="20"/>
          <w:szCs w:val="20"/>
        </w:rPr>
        <w:t xml:space="preserve">passerelles juridictionnelles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36 CEDH</w:t>
      </w:r>
      <w:r>
        <w:rPr>
          <w:rFonts w:ascii="Calibri" w:cs="Calibri" w:eastAsia="Calibri" w:hAnsi="Calibri"/>
          <w:color w:val="1A1A1A"/>
          <w:sz w:val="20"/>
          <w:szCs w:val="20"/>
        </w:rPr>
        <w:t xml:space="preserve">, </w:t>
      </w:r>
      <w:r>
        <w:rPr>
          <w:rFonts w:ascii="Calibri" w:cs="Calibri" w:eastAsia="Calibri" w:hAnsi="Calibri"/>
          <w:i/>
          <w:iCs/>
          <w:color w:val="1A1A1A"/>
          <w:sz w:val="20"/>
          <w:szCs w:val="20"/>
        </w:rPr>
        <w:t xml:space="preserve">amicus curiae</w:t>
      </w:r>
      <w:r>
        <w:rPr>
          <w:rFonts w:ascii="Calibri" w:cs="Calibri" w:eastAsia="Calibri" w:hAnsi="Calibri"/>
          <w:color w:val="1A1A1A"/>
          <w:sz w:val="20"/>
          <w:szCs w:val="20"/>
        </w:rPr>
        <w:t xml:space="preserve">, saisine de la Cour de justice) ; et le </w:t>
      </w:r>
      <w:r>
        <w:rPr>
          <w:rFonts w:ascii="Calibri" w:cs="Calibri" w:eastAsia="Calibri" w:hAnsi="Calibri"/>
          <w:b/>
          <w:bCs/>
          <w:color w:val="1A1A1A"/>
          <w:sz w:val="20"/>
          <w:szCs w:val="20"/>
        </w:rPr>
        <w:t xml:space="preserve">suivi effectif</w:t>
      </w:r>
      <w:r>
        <w:rPr>
          <w:rFonts w:ascii="Calibri" w:cs="Calibri" w:eastAsia="Calibri" w:hAnsi="Calibri"/>
          <w:color w:val="1A1A1A"/>
          <w:sz w:val="20"/>
          <w:szCs w:val="20"/>
        </w:rPr>
        <w:t xml:space="preserve"> de certaines recommandations, les propositions du Médiateur européen étant généralement suivies.</w:t>
      </w:r>
    </w:p>
    <w:p>
      <w:pPr>
        <w:pStyle w:val="ListParagraph"/>
        <w:numPr>
          <w:ilvl w:val="0"/>
          <w:numId w:val="2"/>
        </w:numPr>
        <w:spacing w:after="70" w:line="264"/>
        <w:jc w:val="both"/>
      </w:pPr>
      <w:r>
        <w:rPr>
          <w:rFonts w:ascii="Calibri" w:cs="Calibri" w:eastAsia="Calibri" w:hAnsi="Calibri"/>
          <w:b/>
          <w:bCs/>
          <w:color w:val="1A1A1A"/>
          <w:sz w:val="20"/>
          <w:szCs w:val="20"/>
        </w:rPr>
        <w:t xml:space="preserve">« Qui peut saisir le Commissaire aux droits de l’homme du Conseil de l’Europe ? »</w:t>
      </w:r>
      <w:r>
        <w:rPr>
          <w:rFonts w:ascii="Calibri" w:cs="Calibri" w:eastAsia="Calibri" w:hAnsi="Calibri"/>
          <w:color w:val="1A1A1A"/>
          <w:sz w:val="20"/>
          <w:szCs w:val="20"/>
        </w:rPr>
        <w:t xml:space="preserve"> — Pas un requérant individuel : il </w:t>
      </w:r>
      <w:r>
        <w:rPr>
          <w:rFonts w:ascii="Calibri" w:cs="Calibri" w:eastAsia="Calibri" w:hAnsi="Calibri"/>
          <w:b/>
          <w:bCs/>
          <w:color w:val="1A1A1A"/>
          <w:sz w:val="20"/>
          <w:szCs w:val="20"/>
        </w:rPr>
        <w:t xml:space="preserve">ne peut pas être saisi par requête individuelle</w:t>
      </w:r>
      <w:r>
        <w:rPr>
          <w:rFonts w:ascii="Calibri" w:cs="Calibri" w:eastAsia="Calibri" w:hAnsi="Calibri"/>
          <w:color w:val="1A1A1A"/>
          <w:sz w:val="20"/>
          <w:szCs w:val="20"/>
        </w:rPr>
        <w:t xml:space="preserve">. Il agit par visites, travaux thématiques, recommandations, avis et rapports, et peut intervenir devant la Cour.</w:t>
      </w:r>
    </w:p>
    <w:p>
      <w:pPr>
        <w:pStyle w:val="ListParagraph"/>
        <w:numPr>
          <w:ilvl w:val="0"/>
          <w:numId w:val="2"/>
        </w:numPr>
        <w:spacing w:after="70" w:line="264"/>
        <w:jc w:val="both"/>
      </w:pPr>
      <w:r>
        <w:rPr>
          <w:rFonts w:ascii="Calibri" w:cs="Calibri" w:eastAsia="Calibri" w:hAnsi="Calibri"/>
          <w:b/>
          <w:bCs/>
          <w:color w:val="1A1A1A"/>
          <w:sz w:val="20"/>
          <w:szCs w:val="20"/>
        </w:rPr>
        <w:t xml:space="preserve">« Que révèlent les retraits de 2025 ? »</w:t>
      </w:r>
      <w:r>
        <w:rPr>
          <w:rFonts w:ascii="Calibri" w:cs="Calibri" w:eastAsia="Calibri" w:hAnsi="Calibri"/>
          <w:color w:val="1A1A1A"/>
          <w:sz w:val="20"/>
          <w:szCs w:val="20"/>
        </w:rPr>
        <w:t xml:space="preserve"> — Que l’efficacité de la protection politique dépend entièrement de la </w:t>
      </w:r>
      <w:r>
        <w:rPr>
          <w:rFonts w:ascii="Calibri" w:cs="Calibri" w:eastAsia="Calibri" w:hAnsi="Calibri"/>
          <w:b/>
          <w:bCs/>
          <w:color w:val="1A1A1A"/>
          <w:sz w:val="20"/>
          <w:szCs w:val="20"/>
        </w:rPr>
        <w:t xml:space="preserve">volonté des États</w:t>
      </w:r>
      <w:r>
        <w:rPr>
          <w:rFonts w:ascii="Calibri" w:cs="Calibri" w:eastAsia="Calibri" w:hAnsi="Calibri"/>
          <w:color w:val="1A1A1A"/>
          <w:sz w:val="20"/>
          <w:szCs w:val="20"/>
        </w:rPr>
        <w:t xml:space="preserve"> : un État mécontent peut simplement quitter l’organe. Nuancer : les États-Unis et le Nicaragua en sont à leur second retrait, ce qui traduit un mouvement cyclique plutôt qu’une rupture définitive.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 Soutenez que la protection politique et administrative internationale contribue à la protection des droits humains » (sujet d’argumentation expressément proposé par le fascicule).</w:t>
      </w:r>
    </w:p>
    <w:p>
      <w:pPr>
        <w:pStyle w:val="ListParagraph"/>
        <w:numPr>
          <w:ilvl w:val="0"/>
          <w:numId w:val="2"/>
        </w:numPr>
        <w:spacing w:after="70" w:line="264"/>
        <w:jc w:val="both"/>
      </w:pPr>
      <w:r>
        <w:rPr>
          <w:rFonts w:ascii="Calibri" w:cs="Calibri" w:eastAsia="Calibri" w:hAnsi="Calibri"/>
          <w:color w:val="1A1A1A"/>
          <w:sz w:val="20"/>
          <w:szCs w:val="20"/>
        </w:rPr>
        <w:t xml:space="preserve">« Protéger les droits humains sans juge » ; « Le Conseil des droits de l’homme des Nations unies ».</w:t>
      </w:r>
    </w:p>
    <w:p>
      <w:pPr>
        <w:pStyle w:val="ListParagraph"/>
        <w:numPr>
          <w:ilvl w:val="0"/>
          <w:numId w:val="2"/>
        </w:numPr>
        <w:spacing w:after="70" w:line="264"/>
        <w:jc w:val="both"/>
      </w:pPr>
      <w:r>
        <w:rPr>
          <w:rFonts w:ascii="Calibri" w:cs="Calibri" w:eastAsia="Calibri" w:hAnsi="Calibri"/>
          <w:color w:val="1A1A1A"/>
          <w:sz w:val="20"/>
          <w:szCs w:val="20"/>
        </w:rPr>
        <w:t xml:space="preserve">« La Commission de Venise » ; « Le Médiateur européen et le Défenseur des droits : quelle comparaison ? ».</w:t>
      </w:r>
    </w:p>
    <w:p>
      <w:pPr>
        <w:pStyle w:val="ListParagraph"/>
        <w:numPr>
          <w:ilvl w:val="0"/>
          <w:numId w:val="2"/>
        </w:numPr>
        <w:spacing w:after="70" w:line="264"/>
        <w:jc w:val="both"/>
      </w:pPr>
      <w:r>
        <w:rPr>
          <w:rFonts w:ascii="Calibri" w:cs="Calibri" w:eastAsia="Calibri" w:hAnsi="Calibri"/>
          <w:color w:val="1A1A1A"/>
          <w:sz w:val="20"/>
          <w:szCs w:val="20"/>
        </w:rPr>
        <w:t xml:space="preserve">« La protection des données à caractère personnel dans l’Union » ; « Les organes de suivi et la publicité des violations ».</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de membres compte le Conseil des droits de l’homme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47</w:t>
      </w:r>
      <w:r>
        <w:rPr>
          <w:rFonts w:ascii="Calibri" w:cs="Calibri" w:eastAsia="Calibri" w:hAnsi="Calibri"/>
          <w:color w:val="1A1A1A"/>
          <w:sz w:val="20"/>
          <w:szCs w:val="20"/>
        </w:rPr>
        <w:t xml:space="preserve">, élus pour trois ans par l’Assemblée générale, renouvelés par tiers chaque année. Ne pas confondre avec les </w:t>
      </w:r>
      <w:r>
        <w:rPr>
          <w:rFonts w:ascii="Calibri" w:cs="Calibri" w:eastAsia="Calibri" w:hAnsi="Calibri"/>
          <w:b/>
          <w:bCs/>
          <w:color w:val="1A1A1A"/>
          <w:sz w:val="20"/>
          <w:szCs w:val="20"/>
        </w:rPr>
        <w:t xml:space="preserve">18 membres</w:t>
      </w:r>
      <w:r>
        <w:rPr>
          <w:rFonts w:ascii="Calibri" w:cs="Calibri" w:eastAsia="Calibri" w:hAnsi="Calibri"/>
          <w:color w:val="1A1A1A"/>
          <w:sz w:val="20"/>
          <w:szCs w:val="20"/>
        </w:rPr>
        <w:t xml:space="preserve"> du Comité des droits de l’homme.</w:t>
      </w:r>
    </w:p>
    <w:p>
      <w:pPr>
        <w:pStyle w:val="ListParagraph"/>
        <w:numPr>
          <w:ilvl w:val="0"/>
          <w:numId w:val="2"/>
        </w:numPr>
        <w:spacing w:after="70" w:line="264"/>
        <w:jc w:val="both"/>
      </w:pPr>
      <w:r>
        <w:rPr>
          <w:rFonts w:ascii="Calibri" w:cs="Calibri" w:eastAsia="Calibri" w:hAnsi="Calibri"/>
          <w:b/>
          <w:bCs/>
          <w:color w:val="1A1A1A"/>
          <w:sz w:val="20"/>
          <w:szCs w:val="20"/>
        </w:rPr>
        <w:t xml:space="preserve">Q. Qui nomme le Haut-Commissaire aux droits de l’homme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Secrétaire général</w:t>
      </w:r>
      <w:r>
        <w:rPr>
          <w:rFonts w:ascii="Calibri" w:cs="Calibri" w:eastAsia="Calibri" w:hAnsi="Calibri"/>
          <w:color w:val="1A1A1A"/>
          <w:sz w:val="20"/>
          <w:szCs w:val="20"/>
        </w:rPr>
        <w:t xml:space="preserve"> des Nations unies ; mandat de quatre ans renouvelable une fois. Le Commissaire du Conseil de l’Europe, lui, est </w:t>
      </w:r>
      <w:r>
        <w:rPr>
          <w:rFonts w:ascii="Calibri" w:cs="Calibri" w:eastAsia="Calibri" w:hAnsi="Calibri"/>
          <w:b/>
          <w:bCs/>
          <w:color w:val="1A1A1A"/>
          <w:sz w:val="20"/>
          <w:szCs w:val="20"/>
        </w:rPr>
        <w:t xml:space="preserve">élu par l’Assemblée parlementaire</w:t>
      </w:r>
      <w:r>
        <w:rPr>
          <w:rFonts w:ascii="Calibri" w:cs="Calibri" w:eastAsia="Calibri" w:hAnsi="Calibri"/>
          <w:color w:val="1A1A1A"/>
          <w:sz w:val="20"/>
          <w:szCs w:val="20"/>
        </w:rPr>
        <w:t xml:space="preserve"> pour six ans non renouvelables.</w:t>
      </w:r>
    </w:p>
    <w:p>
      <w:pPr>
        <w:pStyle w:val="ListParagraph"/>
        <w:numPr>
          <w:ilvl w:val="0"/>
          <w:numId w:val="2"/>
        </w:numPr>
        <w:spacing w:after="70" w:line="264"/>
        <w:jc w:val="both"/>
      </w:pPr>
      <w:r>
        <w:rPr>
          <w:rFonts w:ascii="Calibri" w:cs="Calibri" w:eastAsia="Calibri" w:hAnsi="Calibri"/>
          <w:b/>
          <w:bCs/>
          <w:color w:val="1A1A1A"/>
          <w:sz w:val="20"/>
          <w:szCs w:val="20"/>
        </w:rPr>
        <w:t xml:space="preserve">Q. La Commission de Venise ne compte-t-elle que des États européens ?</w:t>
      </w:r>
      <w:r>
        <w:rPr>
          <w:rFonts w:ascii="Calibri" w:cs="Calibri" w:eastAsia="Calibri" w:hAnsi="Calibri"/>
          <w:color w:val="1A1A1A"/>
          <w:sz w:val="20"/>
          <w:szCs w:val="20"/>
        </w:rPr>
        <w:t xml:space="preserve"> — Non : aux 46 États membres du Conseil de l’Europe s’ajoutent </w:t>
      </w:r>
      <w:r>
        <w:rPr>
          <w:rFonts w:ascii="Calibri" w:cs="Calibri" w:eastAsia="Calibri" w:hAnsi="Calibri"/>
          <w:b/>
          <w:bCs/>
          <w:color w:val="1A1A1A"/>
          <w:sz w:val="20"/>
          <w:szCs w:val="20"/>
        </w:rPr>
        <w:t xml:space="preserve">15 autres États</w:t>
      </w:r>
      <w:r>
        <w:rPr>
          <w:rFonts w:ascii="Calibri" w:cs="Calibri" w:eastAsia="Calibri" w:hAnsi="Calibri"/>
          <w:color w:val="1A1A1A"/>
          <w:sz w:val="20"/>
          <w:szCs w:val="20"/>
        </w:rPr>
        <w:t xml:space="preserve">, dont le Canada, le Chili, le Costa Rica, les États-Unis, Israël et le Maroc, ainsi que des pays observateurs.</w:t>
      </w:r>
    </w:p>
    <w:p>
      <w:pPr>
        <w:pStyle w:val="ListParagraph"/>
        <w:numPr>
          <w:ilvl w:val="0"/>
          <w:numId w:val="2"/>
        </w:numPr>
        <w:spacing w:after="70" w:line="264"/>
        <w:jc w:val="both"/>
      </w:pPr>
      <w:r>
        <w:rPr>
          <w:rFonts w:ascii="Calibri" w:cs="Calibri" w:eastAsia="Calibri" w:hAnsi="Calibri"/>
          <w:b/>
          <w:bCs/>
          <w:color w:val="1A1A1A"/>
          <w:sz w:val="20"/>
          <w:szCs w:val="20"/>
        </w:rPr>
        <w:t xml:space="preserve">Q. Le Médiateur européen peut-il enquêter sur la Cour de justice ?</w:t>
      </w:r>
      <w:r>
        <w:rPr>
          <w:rFonts w:ascii="Calibri" w:cs="Calibri" w:eastAsia="Calibri" w:hAnsi="Calibri"/>
          <w:color w:val="1A1A1A"/>
          <w:sz w:val="20"/>
          <w:szCs w:val="20"/>
        </w:rPr>
        <w:t xml:space="preserve"> — Non : il n’examine pas les plaintes relatives à la Cour de justice, et sa compétence est exclue lorsque les faits font l’objet d’une procédure juridictionnelle.</w:t>
      </w:r>
    </w:p>
    <w:p>
      <w:pPr>
        <w:pStyle w:val="ListParagraph"/>
        <w:numPr>
          <w:ilvl w:val="0"/>
          <w:numId w:val="2"/>
        </w:numPr>
        <w:spacing w:after="70" w:line="264"/>
        <w:jc w:val="both"/>
      </w:pPr>
      <w:r>
        <w:rPr>
          <w:rFonts w:ascii="Calibri" w:cs="Calibri" w:eastAsia="Calibri" w:hAnsi="Calibri"/>
          <w:b/>
          <w:bCs/>
          <w:color w:val="1A1A1A"/>
          <w:sz w:val="20"/>
          <w:szCs w:val="20"/>
        </w:rPr>
        <w:t xml:space="preserve">Q. Contrôleur européen ou Comité européen de la protection des données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Contrôleur</w:t>
      </w:r>
      <w:r>
        <w:rPr>
          <w:rFonts w:ascii="Calibri" w:cs="Calibri" w:eastAsia="Calibri" w:hAnsi="Calibri"/>
          <w:color w:val="1A1A1A"/>
          <w:sz w:val="20"/>
          <w:szCs w:val="20"/>
        </w:rPr>
        <w:t xml:space="preserve"> est institué en 2004, siège à Bruxelles et veille sur les traitements opérés par les institutions de l’Union ; le </w:t>
      </w:r>
      <w:r>
        <w:rPr>
          <w:rFonts w:ascii="Calibri" w:cs="Calibri" w:eastAsia="Calibri" w:hAnsi="Calibri"/>
          <w:b/>
          <w:bCs/>
          <w:color w:val="1A1A1A"/>
          <w:sz w:val="20"/>
          <w:szCs w:val="20"/>
        </w:rPr>
        <w:t xml:space="preserve">Comité</w:t>
      </w:r>
      <w:r>
        <w:rPr>
          <w:rFonts w:ascii="Calibri" w:cs="Calibri" w:eastAsia="Calibri" w:hAnsi="Calibri"/>
          <w:color w:val="1A1A1A"/>
          <w:sz w:val="20"/>
          <w:szCs w:val="20"/>
        </w:rPr>
        <w:t xml:space="preserve"> est institué en 2018. Le Contrôleur est nommé conjointement par le Parlement et le Conseil, et non élu.</w:t>
      </w:r>
    </w:p>
    <w:p>
      <w:pPr>
        <w:pStyle w:val="ListParagraph"/>
        <w:numPr>
          <w:ilvl w:val="0"/>
          <w:numId w:val="2"/>
        </w:numPr>
        <w:spacing w:after="70" w:line="264"/>
        <w:jc w:val="both"/>
      </w:pPr>
      <w:r>
        <w:rPr>
          <w:rFonts w:ascii="Calibri" w:cs="Calibri" w:eastAsia="Calibri" w:hAnsi="Calibri"/>
          <w:b/>
          <w:bCs/>
          <w:color w:val="1A1A1A"/>
          <w:sz w:val="20"/>
          <w:szCs w:val="20"/>
        </w:rPr>
        <w:t xml:space="preserve">Q. Le Médiateur européen est-il consacré à l’article 44 de la Charte ?</w:t>
      </w:r>
      <w:r>
        <w:rPr>
          <w:rFonts w:ascii="Calibri" w:cs="Calibri" w:eastAsia="Calibri" w:hAnsi="Calibri"/>
          <w:color w:val="1A1A1A"/>
          <w:sz w:val="20"/>
          <w:szCs w:val="20"/>
        </w:rPr>
        <w:t xml:space="preserve"> — Non : à l’</w:t>
      </w:r>
      <w:r>
        <w:rPr>
          <w:rFonts w:ascii="Calibri" w:cs="Calibri" w:eastAsia="Calibri" w:hAnsi="Calibri"/>
          <w:color w:val="1E88E5"/>
          <w:sz w:val="20"/>
          <w:szCs w:val="20"/>
        </w:rPr>
        <w:t xml:space="preserve">art. 43</w:t>
      </w:r>
      <w:r>
        <w:rPr>
          <w:rFonts w:ascii="Calibri" w:cs="Calibri" w:eastAsia="Calibri" w:hAnsi="Calibri"/>
          <w:color w:val="1A1A1A"/>
          <w:sz w:val="20"/>
          <w:szCs w:val="20"/>
        </w:rPr>
        <w:t xml:space="preserve">. L’</w:t>
      </w:r>
      <w:r>
        <w:rPr>
          <w:rFonts w:ascii="Calibri" w:cs="Calibri" w:eastAsia="Calibri" w:hAnsi="Calibri"/>
          <w:color w:val="1E88E5"/>
          <w:sz w:val="20"/>
          <w:szCs w:val="20"/>
        </w:rPr>
        <w:t xml:space="preserve">art. 44</w:t>
      </w:r>
      <w:r>
        <w:rPr>
          <w:rFonts w:ascii="Calibri" w:cs="Calibri" w:eastAsia="Calibri" w:hAnsi="Calibri"/>
          <w:color w:val="1A1A1A"/>
          <w:sz w:val="20"/>
          <w:szCs w:val="20"/>
        </w:rPr>
        <w:t xml:space="preserve"> consacre le </w:t>
      </w:r>
      <w:r>
        <w:rPr>
          <w:rFonts w:ascii="Calibri" w:cs="Calibri" w:eastAsia="Calibri" w:hAnsi="Calibri"/>
          <w:b/>
          <w:bCs/>
          <w:color w:val="1A1A1A"/>
          <w:sz w:val="20"/>
          <w:szCs w:val="20"/>
        </w:rPr>
        <w:t xml:space="preserve">droit de pétition</w:t>
      </w:r>
      <w:r>
        <w:rPr>
          <w:rFonts w:ascii="Calibri" w:cs="Calibri" w:eastAsia="Calibri" w:hAnsi="Calibri"/>
          <w:color w:val="1A1A1A"/>
          <w:sz w:val="20"/>
          <w:szCs w:val="20"/>
        </w:rPr>
        <w:t xml:space="preserve"> devant le Parlement européen. Les deux numéros sont fréquemment intervertis dans les supports de préparation.</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ANNEXE — COMPLÉMENTS À LA CHRONOLOGIE ET À L’INDEX (Partie V)</w:t>
      </w:r>
    </w:p>
    <w:p>
      <w:pPr>
        <w:pStyle w:val="Heading2"/>
        <w:spacing w:after="120" w:before="280"/>
      </w:pPr>
      <w:r>
        <w:rPr>
          <w:rFonts w:ascii="Calibri" w:cs="Calibri" w:eastAsia="Calibri" w:hAnsi="Calibri"/>
          <w:b/>
          <w:bCs/>
          <w:color w:val="1A1A1A"/>
          <w:sz w:val="24"/>
          <w:szCs w:val="24"/>
        </w:rPr>
        <w:t xml:space="preserve">I. Ajouts à la chronologie transversale</w:t>
      </w:r>
    </w:p>
    <w:p>
      <w:pPr>
        <w:pStyle w:val="ListParagraph"/>
        <w:numPr>
          <w:ilvl w:val="0"/>
          <w:numId w:val="2"/>
        </w:numPr>
        <w:spacing w:after="70" w:line="264"/>
        <w:jc w:val="both"/>
      </w:pPr>
      <w:r>
        <w:rPr>
          <w:rFonts w:ascii="Calibri" w:cs="Calibri" w:eastAsia="Calibri" w:hAnsi="Calibri"/>
          <w:b/>
          <w:bCs/>
          <w:color w:val="1A1A1A"/>
          <w:sz w:val="20"/>
          <w:szCs w:val="20"/>
        </w:rPr>
        <w:t xml:space="preserve">1946</w:t>
      </w:r>
      <w:r>
        <w:rPr>
          <w:rFonts w:ascii="Calibri" w:cs="Calibri" w:eastAsia="Calibri" w:hAnsi="Calibri"/>
          <w:color w:val="1A1A1A"/>
          <w:sz w:val="20"/>
          <w:szCs w:val="20"/>
        </w:rPr>
        <w:t xml:space="preserve"> création de la Commission des droits de l’homme des Nations unies — </w:t>
      </w:r>
      <w:r>
        <w:rPr>
          <w:rFonts w:ascii="Calibri" w:cs="Calibri" w:eastAsia="Calibri" w:hAnsi="Calibri"/>
          <w:b/>
          <w:bCs/>
          <w:color w:val="1A1A1A"/>
          <w:sz w:val="20"/>
          <w:szCs w:val="20"/>
        </w:rPr>
        <w:t xml:space="preserve">1948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Déclaration américaine des droits et devoirs de l’homme</w:t>
      </w:r>
      <w:r>
        <w:rPr>
          <w:rFonts w:ascii="Calibri" w:cs="Calibri" w:eastAsia="Calibri" w:hAnsi="Calibri"/>
          <w:color w:val="1A1A1A"/>
          <w:sz w:val="20"/>
          <w:szCs w:val="20"/>
        </w:rPr>
        <w:t xml:space="preserve"> (Bogota) — </w:t>
      </w:r>
      <w:r>
        <w:rPr>
          <w:rFonts w:ascii="Calibri" w:cs="Calibri" w:eastAsia="Calibri" w:hAnsi="Calibri"/>
          <w:b/>
          <w:bCs/>
          <w:color w:val="1A1A1A"/>
          <w:sz w:val="20"/>
          <w:szCs w:val="20"/>
        </w:rPr>
        <w:t xml:space="preserve">1952</w:t>
      </w:r>
      <w:r>
        <w:rPr>
          <w:rFonts w:ascii="Calibri" w:cs="Calibri" w:eastAsia="Calibri" w:hAnsi="Calibri"/>
          <w:color w:val="1A1A1A"/>
          <w:sz w:val="20"/>
          <w:szCs w:val="20"/>
        </w:rPr>
        <w:t xml:space="preserve"> création de la Cour de justice — </w:t>
      </w:r>
      <w:r>
        <w:rPr>
          <w:rFonts w:ascii="Calibri" w:cs="Calibri" w:eastAsia="Calibri" w:hAnsi="Calibri"/>
          <w:b/>
          <w:bCs/>
          <w:color w:val="1A1A1A"/>
          <w:sz w:val="20"/>
          <w:szCs w:val="20"/>
        </w:rPr>
        <w:t xml:space="preserve">1959</w:t>
      </w:r>
      <w:r>
        <w:rPr>
          <w:rFonts w:ascii="Calibri" w:cs="Calibri" w:eastAsia="Calibri" w:hAnsi="Calibri"/>
          <w:color w:val="1A1A1A"/>
          <w:sz w:val="20"/>
          <w:szCs w:val="20"/>
        </w:rPr>
        <w:t xml:space="preserve"> création de la Cour européenne — </w:t>
      </w:r>
      <w:r>
        <w:rPr>
          <w:rFonts w:ascii="Calibri" w:cs="Calibri" w:eastAsia="Calibri" w:hAnsi="Calibri"/>
          <w:b/>
          <w:bCs/>
          <w:color w:val="1A1A1A"/>
          <w:sz w:val="20"/>
          <w:szCs w:val="20"/>
        </w:rPr>
        <w:t xml:space="preserve">1963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Plaumann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Affaire linguistique belge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Wemhoff</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américaine</w:t>
      </w:r>
      <w:r>
        <w:rPr>
          <w:rFonts w:ascii="Calibri" w:cs="Calibri" w:eastAsia="Calibri" w:hAnsi="Calibri"/>
          <w:color w:val="1A1A1A"/>
          <w:sz w:val="20"/>
          <w:szCs w:val="20"/>
        </w:rPr>
        <w:t xml:space="preserve"> (San José) — </w:t>
      </w:r>
      <w:r>
        <w:rPr>
          <w:rFonts w:ascii="Calibri" w:cs="Calibri" w:eastAsia="Calibri" w:hAnsi="Calibri"/>
          <w:b/>
          <w:bCs/>
          <w:color w:val="1A1A1A"/>
          <w:sz w:val="20"/>
          <w:szCs w:val="20"/>
        </w:rPr>
        <w:t xml:space="preserve">1975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Golder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1978</w:t>
      </w:r>
      <w:r>
        <w:rPr>
          <w:rFonts w:ascii="Calibri" w:cs="Calibri" w:eastAsia="Calibri" w:hAnsi="Calibri"/>
          <w:color w:val="1A1A1A"/>
          <w:sz w:val="20"/>
          <w:szCs w:val="20"/>
        </w:rPr>
        <w:t xml:space="preserve"> entrée en vigueur de la Convention américaine ; </w:t>
      </w:r>
      <w:r>
        <w:rPr>
          <w:rFonts w:ascii="Calibri" w:cs="Calibri" w:eastAsia="Calibri" w:hAnsi="Calibri"/>
          <w:color w:val="E91E63"/>
          <w:sz w:val="20"/>
          <w:szCs w:val="20"/>
        </w:rPr>
        <w:t xml:space="preserve">CJCE, Simmenthal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Airey</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Marckx</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1981</w:t>
      </w:r>
      <w:r>
        <w:rPr>
          <w:rFonts w:ascii="Calibri" w:cs="Calibri" w:eastAsia="Calibri" w:hAnsi="Calibri"/>
          <w:color w:val="1A1A1A"/>
          <w:sz w:val="20"/>
          <w:szCs w:val="20"/>
        </w:rPr>
        <w:t xml:space="preserve"> la France accepte le droit de requête individuelle (2 octobre) ; </w:t>
      </w:r>
      <w:r>
        <w:rPr>
          <w:rFonts w:ascii="Calibri" w:cs="Calibri" w:eastAsia="Calibri" w:hAnsi="Calibri"/>
          <w:color w:val="1E88E5"/>
          <w:sz w:val="20"/>
          <w:szCs w:val="20"/>
        </w:rPr>
        <w:t xml:space="preserve">Charte africaine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X. et Y. c. Pays-Bas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Johnston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1987</w:t>
      </w:r>
      <w:r>
        <w:rPr>
          <w:rFonts w:ascii="Calibri" w:cs="Calibri" w:eastAsia="Calibri" w:hAnsi="Calibri"/>
          <w:color w:val="1A1A1A"/>
          <w:sz w:val="20"/>
          <w:szCs w:val="20"/>
        </w:rPr>
        <w:t xml:space="preserve"> création de la Commission africaine — </w:t>
      </w:r>
      <w:r>
        <w:rPr>
          <w:rFonts w:ascii="Calibri" w:cs="Calibri" w:eastAsia="Calibri" w:hAnsi="Calibri"/>
          <w:b/>
          <w:bCs/>
          <w:color w:val="1A1A1A"/>
          <w:sz w:val="20"/>
          <w:szCs w:val="20"/>
        </w:rPr>
        <w:t xml:space="preserve">1988</w:t>
      </w:r>
      <w:r>
        <w:rPr>
          <w:rFonts w:ascii="Calibri" w:cs="Calibri" w:eastAsia="Calibri" w:hAnsi="Calibri"/>
          <w:color w:val="1A1A1A"/>
          <w:sz w:val="20"/>
          <w:szCs w:val="20"/>
        </w:rPr>
        <w:t xml:space="preserve"> création du Tribunal de l’Union ; </w:t>
      </w:r>
      <w:r>
        <w:rPr>
          <w:rFonts w:ascii="Calibri" w:cs="Calibri" w:eastAsia="Calibri" w:hAnsi="Calibri"/>
          <w:color w:val="E91E63"/>
          <w:sz w:val="20"/>
          <w:szCs w:val="20"/>
        </w:rPr>
        <w:t xml:space="preserve">CIDH, Velasquez Rodriguez c. Honduras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Belilos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1990</w:t>
      </w:r>
      <w:r>
        <w:rPr>
          <w:rFonts w:ascii="Calibri" w:cs="Calibri" w:eastAsia="Calibri" w:hAnsi="Calibri"/>
          <w:color w:val="1A1A1A"/>
          <w:sz w:val="20"/>
          <w:szCs w:val="20"/>
        </w:rPr>
        <w:t xml:space="preserve"> création de la Commission de Venise — </w:t>
      </w:r>
      <w:r>
        <w:rPr>
          <w:rFonts w:ascii="Calibri" w:cs="Calibri" w:eastAsia="Calibri" w:hAnsi="Calibri"/>
          <w:b/>
          <w:bCs/>
          <w:color w:val="1A1A1A"/>
          <w:sz w:val="20"/>
          <w:szCs w:val="20"/>
        </w:rPr>
        <w:t xml:space="preserve">1992</w:t>
      </w:r>
      <w:r>
        <w:rPr>
          <w:rFonts w:ascii="Calibri" w:cs="Calibri" w:eastAsia="Calibri" w:hAnsi="Calibri"/>
          <w:color w:val="1A1A1A"/>
          <w:sz w:val="20"/>
          <w:szCs w:val="20"/>
        </w:rPr>
        <w:t xml:space="preserve"> traité de Maastricht : Médiateur européen — </w:t>
      </w:r>
      <w:r>
        <w:rPr>
          <w:rFonts w:ascii="Calibri" w:cs="Calibri" w:eastAsia="Calibri" w:hAnsi="Calibri"/>
          <w:b/>
          <w:bCs/>
          <w:color w:val="1A1A1A"/>
          <w:sz w:val="20"/>
          <w:szCs w:val="20"/>
        </w:rPr>
        <w:t xml:space="preserve">1993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résolution 48/141</w:t>
      </w:r>
      <w:r>
        <w:rPr>
          <w:rFonts w:ascii="Calibri" w:cs="Calibri" w:eastAsia="Calibri" w:hAnsi="Calibri"/>
          <w:color w:val="1A1A1A"/>
          <w:sz w:val="20"/>
          <w:szCs w:val="20"/>
        </w:rPr>
        <w:t xml:space="preserve"> : Haut-Commissariat ; Conférence de Vienne — </w:t>
      </w:r>
      <w:r>
        <w:rPr>
          <w:rFonts w:ascii="Calibri" w:cs="Calibri" w:eastAsia="Calibri" w:hAnsi="Calibri"/>
          <w:b/>
          <w:bCs/>
          <w:color w:val="1A1A1A"/>
          <w:sz w:val="20"/>
          <w:szCs w:val="20"/>
        </w:rPr>
        <w:t xml:space="preserve">1994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Lopez Ostra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Papamichalopoulos c. Grèce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n° 11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Protocole de Ouagadougou</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Osman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CM, Rés. (99)50</w:t>
      </w:r>
      <w:r>
        <w:rPr>
          <w:rFonts w:ascii="Calibri" w:cs="Calibri" w:eastAsia="Calibri" w:hAnsi="Calibri"/>
          <w:color w:val="1A1A1A"/>
          <w:sz w:val="20"/>
          <w:szCs w:val="20"/>
        </w:rPr>
        <w:t xml:space="preserve"> : Commissaire aux droits de l’homme — </w:t>
      </w:r>
      <w:r>
        <w:rPr>
          <w:rFonts w:ascii="Calibri" w:cs="Calibri" w:eastAsia="Calibri" w:hAnsi="Calibri"/>
          <w:b/>
          <w:bCs/>
          <w:color w:val="1A1A1A"/>
          <w:sz w:val="20"/>
          <w:szCs w:val="20"/>
        </w:rPr>
        <w:t xml:space="preserve">2000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Thlimmenos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Pretty</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Christine Goodwin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UPA</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Protocole facultatif à la Convention contre la torture</w:t>
      </w:r>
      <w:r>
        <w:rPr>
          <w:rFonts w:ascii="Calibri" w:cs="Calibri" w:eastAsia="Calibri" w:hAnsi="Calibri"/>
          <w:color w:val="1A1A1A"/>
          <w:sz w:val="20"/>
          <w:szCs w:val="20"/>
        </w:rPr>
        <w:t xml:space="preserve"> (18 décembre) —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entrée en vigueur du Protocole de Ouagadougou ; création du Contrôleur européen de la protection des données ; </w:t>
      </w:r>
      <w:r>
        <w:rPr>
          <w:rFonts w:ascii="Calibri" w:cs="Calibri" w:eastAsia="Calibri" w:hAnsi="Calibri"/>
          <w:color w:val="1E88E5"/>
          <w:sz w:val="20"/>
          <w:szCs w:val="20"/>
        </w:rPr>
        <w:t xml:space="preserve">Charte arabe</w:t>
      </w:r>
      <w:r>
        <w:rPr>
          <w:rFonts w:ascii="Calibri" w:cs="Calibri" w:eastAsia="Calibri" w:hAnsi="Calibri"/>
          <w:color w:val="1A1A1A"/>
          <w:sz w:val="20"/>
          <w:szCs w:val="20"/>
        </w:rPr>
        <w:t xml:space="preserve"> (Tunis) ; </w:t>
      </w:r>
      <w:r>
        <w:rPr>
          <w:rFonts w:ascii="Calibri" w:cs="Calibri" w:eastAsia="Calibri" w:hAnsi="Calibri"/>
          <w:color w:val="E91E63"/>
          <w:sz w:val="20"/>
          <w:szCs w:val="20"/>
        </w:rPr>
        <w:t xml:space="preserve">CEDH, Broniowski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Mamatkulov</w:t>
      </w:r>
      <w:r>
        <w:rPr>
          <w:rFonts w:ascii="Calibri" w:cs="Calibri" w:eastAsia="Calibri" w:hAnsi="Calibri"/>
          <w:color w:val="1A1A1A"/>
          <w:sz w:val="20"/>
          <w:szCs w:val="20"/>
        </w:rPr>
        <w:t xml:space="preserve"> (2005) — </w:t>
      </w:r>
      <w:r>
        <w:rPr>
          <w:rFonts w:ascii="Calibri" w:cs="Calibri" w:eastAsia="Calibri" w:hAnsi="Calibri"/>
          <w:b/>
          <w:bCs/>
          <w:color w:val="1A1A1A"/>
          <w:sz w:val="20"/>
          <w:szCs w:val="20"/>
        </w:rPr>
        <w:t xml:space="preserve">2005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K.A. et A.D. c. Belgique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Hirst (n° 2)</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CDH, Faure c. Australie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création du Conseil des droits de l’homme (</w:t>
      </w:r>
      <w:r>
        <w:rPr>
          <w:rFonts w:ascii="Calibri" w:cs="Calibri" w:eastAsia="Calibri" w:hAnsi="Calibri"/>
          <w:color w:val="1E88E5"/>
          <w:sz w:val="20"/>
          <w:szCs w:val="20"/>
        </w:rPr>
        <w:t xml:space="preserve">rés. 60/251</w:t>
      </w:r>
      <w:r>
        <w:rPr>
          <w:rFonts w:ascii="Calibri" w:cs="Calibri" w:eastAsia="Calibri" w:hAnsi="Calibri"/>
          <w:color w:val="1A1A1A"/>
          <w:sz w:val="20"/>
          <w:szCs w:val="20"/>
        </w:rPr>
        <w:t xml:space="preserve">) ; la Cour africaine devient opérationnelle.</w:t>
      </w:r>
    </w:p>
    <w:p>
      <w:pPr>
        <w:pStyle w:val="ListParagraph"/>
        <w:numPr>
          <w:ilvl w:val="0"/>
          <w:numId w:val="2"/>
        </w:numPr>
        <w:spacing w:after="70" w:line="264"/>
        <w:jc w:val="both"/>
      </w:pPr>
      <w:r>
        <w:rPr>
          <w:rFonts w:ascii="Calibri" w:cs="Calibri" w:eastAsia="Calibri" w:hAnsi="Calibri"/>
          <w:b/>
          <w:bCs/>
          <w:color w:val="1A1A1A"/>
          <w:sz w:val="20"/>
          <w:szCs w:val="20"/>
        </w:rPr>
        <w:t xml:space="preserve">2007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règlement n° 168/2007</w:t>
      </w:r>
      <w:r>
        <w:rPr>
          <w:rFonts w:ascii="Calibri" w:cs="Calibri" w:eastAsia="Calibri" w:hAnsi="Calibri"/>
          <w:color w:val="1A1A1A"/>
          <w:sz w:val="20"/>
          <w:szCs w:val="20"/>
        </w:rPr>
        <w:t xml:space="preserve"> : Agence des droits fondamentaux ; </w:t>
      </w:r>
      <w:r>
        <w:rPr>
          <w:rFonts w:ascii="Calibri" w:cs="Calibri" w:eastAsia="Calibri" w:hAnsi="Calibri"/>
          <w:color w:val="E91E63"/>
          <w:sz w:val="20"/>
          <w:szCs w:val="20"/>
        </w:rPr>
        <w:t xml:space="preserve">CEDH, Scordino (n° 3)</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Driza c. Albanie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Unibet</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rés. 5/1</w:t>
      </w:r>
      <w:r>
        <w:rPr>
          <w:rFonts w:ascii="Calibri" w:cs="Calibri" w:eastAsia="Calibri" w:hAnsi="Calibri"/>
          <w:color w:val="1A1A1A"/>
          <w:sz w:val="20"/>
          <w:szCs w:val="20"/>
        </w:rPr>
        <w:t xml:space="preserve"> du Conseil des droits de l’homme — </w:t>
      </w:r>
      <w:r>
        <w:rPr>
          <w:rFonts w:ascii="Calibri" w:cs="Calibri" w:eastAsia="Calibri" w:hAnsi="Calibri"/>
          <w:b/>
          <w:bCs/>
          <w:color w:val="1A1A1A"/>
          <w:sz w:val="20"/>
          <w:szCs w:val="20"/>
        </w:rPr>
        <w:t xml:space="preserve">2008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Kadi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Demir et Baykara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Verein Gegen Tierfabriken (n° 2)</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n° 14</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Greens et M.T.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A., B. et C. c. Irlande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2011</w:t>
      </w:r>
      <w:r>
        <w:rPr>
          <w:rFonts w:ascii="Calibri" w:cs="Calibri" w:eastAsia="Calibri" w:hAnsi="Calibri"/>
          <w:color w:val="1A1A1A"/>
          <w:sz w:val="20"/>
          <w:szCs w:val="20"/>
        </w:rPr>
        <w:t xml:space="preserve"> arrêts pilotes codifiés (</w:t>
      </w:r>
      <w:r>
        <w:rPr>
          <w:rFonts w:ascii="Calibri" w:cs="Calibri" w:eastAsia="Calibri" w:hAnsi="Calibri"/>
          <w:color w:val="1E88E5"/>
          <w:sz w:val="20"/>
          <w:szCs w:val="20"/>
        </w:rPr>
        <w:t xml:space="preserve">art. 61 du règlement</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CDH, OG n° 34</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Bayatyan c. Arménie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ass. plén., 15 avril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troisième Protocole facultatif à la CIDE</w:t>
      </w:r>
      <w:r>
        <w:rPr>
          <w:rFonts w:ascii="Calibri" w:cs="Calibri" w:eastAsia="Calibri" w:hAnsi="Calibri"/>
          <w:color w:val="1A1A1A"/>
          <w:sz w:val="20"/>
          <w:szCs w:val="20"/>
        </w:rPr>
        <w:t xml:space="preserve"> (19 décembre) — </w:t>
      </w:r>
      <w:r>
        <w:rPr>
          <w:rFonts w:ascii="Calibri" w:cs="Calibri" w:eastAsia="Calibri" w:hAnsi="Calibri"/>
          <w:b/>
          <w:bCs/>
          <w:color w:val="1A1A1A"/>
          <w:sz w:val="20"/>
          <w:szCs w:val="20"/>
        </w:rPr>
        <w:t xml:space="preserve">2012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CIDH, Atala Riffo et filles c. Chili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CIDH, Artavia Murillo</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Inuit Tapiriit Kanatami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Digital Rights Ireland</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S.A.S.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avis 2/13</w:t>
      </w:r>
      <w:r>
        <w:rPr>
          <w:rFonts w:ascii="Calibri" w:cs="Calibri" w:eastAsia="Calibri" w:hAnsi="Calibri"/>
          <w:color w:val="1A1A1A"/>
          <w:sz w:val="20"/>
          <w:szCs w:val="20"/>
        </w:rPr>
        <w:t xml:space="preserve"> ; création de la Cour arabe (</w:t>
      </w:r>
      <w:r>
        <w:rPr>
          <w:rFonts w:ascii="Calibri" w:cs="Calibri" w:eastAsia="Calibri" w:hAnsi="Calibri"/>
          <w:color w:val="1E88E5"/>
          <w:sz w:val="20"/>
          <w:szCs w:val="20"/>
        </w:rPr>
        <w:t xml:space="preserve">rés. n° 7790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2017</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CDESC, OG n° 24</w:t>
      </w:r>
      <w:r>
        <w:rPr>
          <w:rFonts w:ascii="Calibri" w:cs="Calibri" w:eastAsia="Calibri" w:hAnsi="Calibri"/>
          <w:color w:val="1A1A1A"/>
          <w:sz w:val="20"/>
          <w:szCs w:val="20"/>
        </w:rPr>
        <w:t xml:space="preserve"> ; avis de la Cour africaine du 28 septembre — </w:t>
      </w:r>
      <w:r>
        <w:rPr>
          <w:rFonts w:ascii="Calibri" w:cs="Calibri" w:eastAsia="Calibri" w:hAnsi="Calibri"/>
          <w:b/>
          <w:bCs/>
          <w:color w:val="1A1A1A"/>
          <w:sz w:val="20"/>
          <w:szCs w:val="20"/>
        </w:rPr>
        <w:t xml:space="preserve">2018</w:t>
      </w:r>
      <w:r>
        <w:rPr>
          <w:rFonts w:ascii="Calibri" w:cs="Calibri" w:eastAsia="Calibri" w:hAnsi="Calibri"/>
          <w:color w:val="1A1A1A"/>
          <w:sz w:val="20"/>
          <w:szCs w:val="20"/>
        </w:rPr>
        <w:t xml:space="preserve"> entrée en vigueur du </w:t>
      </w:r>
      <w:r>
        <w:rPr>
          <w:rFonts w:ascii="Calibri" w:cs="Calibri" w:eastAsia="Calibri" w:hAnsi="Calibri"/>
          <w:color w:val="1E88E5"/>
          <w:sz w:val="20"/>
          <w:szCs w:val="20"/>
        </w:rPr>
        <w:t xml:space="preserve">Protocole n° 16</w:t>
      </w:r>
      <w:r>
        <w:rPr>
          <w:rFonts w:ascii="Calibri" w:cs="Calibri" w:eastAsia="Calibri" w:hAnsi="Calibri"/>
          <w:color w:val="1A1A1A"/>
          <w:sz w:val="20"/>
          <w:szCs w:val="20"/>
        </w:rPr>
        <w:t xml:space="preserve"> (1er août) ; </w:t>
      </w:r>
      <w:r>
        <w:rPr>
          <w:rFonts w:ascii="Calibri" w:cs="Calibri" w:eastAsia="Calibri" w:hAnsi="Calibri"/>
          <w:color w:val="E91E63"/>
          <w:sz w:val="20"/>
          <w:szCs w:val="20"/>
        </w:rPr>
        <w:t xml:space="preserve">CDH, S. Yaker c. France</w:t>
      </w:r>
      <w:r>
        <w:rPr>
          <w:rFonts w:ascii="Calibri" w:cs="Calibri" w:eastAsia="Calibri" w:hAnsi="Calibri"/>
          <w:color w:val="1A1A1A"/>
          <w:sz w:val="20"/>
          <w:szCs w:val="20"/>
        </w:rPr>
        <w:t xml:space="preserve"> (22 octobre) ; </w:t>
      </w:r>
      <w:r>
        <w:rPr>
          <w:rFonts w:ascii="Calibri" w:cs="Calibri" w:eastAsia="Calibri" w:hAnsi="Calibri"/>
          <w:color w:val="E91E63"/>
          <w:sz w:val="20"/>
          <w:szCs w:val="20"/>
        </w:rPr>
        <w:t xml:space="preserve">CEDH, Naït-Liman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FNASS c. France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règlement (UE) 2018/1725</w:t>
      </w:r>
      <w:r>
        <w:rPr>
          <w:rFonts w:ascii="Calibri" w:cs="Calibri" w:eastAsia="Calibri" w:hAnsi="Calibri"/>
          <w:color w:val="1A1A1A"/>
          <w:sz w:val="20"/>
          <w:szCs w:val="20"/>
        </w:rPr>
        <w:t xml:space="preserve"> ; création du Comité européen de la protection des données — </w:t>
      </w:r>
      <w:r>
        <w:rPr>
          <w:rFonts w:ascii="Calibri" w:cs="Calibri" w:eastAsia="Calibri" w:hAnsi="Calibri"/>
          <w:b/>
          <w:bCs/>
          <w:color w:val="1A1A1A"/>
          <w:sz w:val="20"/>
          <w:szCs w:val="20"/>
        </w:rPr>
        <w:t xml:space="preserve">2019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avis P16-2018-001</w:t>
      </w:r>
      <w:r>
        <w:rPr>
          <w:rFonts w:ascii="Calibri" w:cs="Calibri" w:eastAsia="Calibri" w:hAnsi="Calibri"/>
          <w:color w:val="1A1A1A"/>
          <w:sz w:val="20"/>
          <w:szCs w:val="20"/>
        </w:rPr>
        <w:t xml:space="preserve"> (10 avril) ; </w:t>
      </w:r>
      <w:r>
        <w:rPr>
          <w:rFonts w:ascii="Calibri" w:cs="Calibri" w:eastAsia="Calibri" w:hAnsi="Calibri"/>
          <w:color w:val="2E7D32"/>
          <w:sz w:val="20"/>
          <w:szCs w:val="20"/>
        </w:rPr>
        <w:t xml:space="preserve">CDH, OG n° 36</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Gambino et Hyka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Miller c. Royaume-Uni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Mutu et Pechstein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2020</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CDH, OG n° 37</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CDESC, OG n° 25</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D.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Slovénie c. Croatie</w:t>
      </w:r>
      <w:r>
        <w:rPr>
          <w:rFonts w:ascii="Calibri" w:cs="Calibri" w:eastAsia="Calibri" w:hAnsi="Calibri"/>
          <w:color w:val="1A1A1A"/>
          <w:sz w:val="20"/>
          <w:szCs w:val="20"/>
        </w:rPr>
        <w:t xml:space="preserve"> ; avis de la Cour africaine du 4 décembre ; nouveau règlement intérieur de la Cour africaine — </w:t>
      </w:r>
      <w:r>
        <w:rPr>
          <w:rFonts w:ascii="Calibri" w:cs="Calibri" w:eastAsia="Calibri" w:hAnsi="Calibri"/>
          <w:b/>
          <w:bCs/>
          <w:color w:val="1A1A1A"/>
          <w:sz w:val="20"/>
          <w:szCs w:val="20"/>
        </w:rPr>
        <w:t xml:space="preserve">2021</w:t>
      </w:r>
      <w:r>
        <w:rPr>
          <w:rFonts w:ascii="Calibri" w:cs="Calibri" w:eastAsia="Calibri" w:hAnsi="Calibri"/>
          <w:color w:val="1A1A1A"/>
          <w:sz w:val="20"/>
          <w:szCs w:val="20"/>
        </w:rPr>
        <w:t xml:space="preserve"> mesure provisoire Navalny (17 février) ; avis de la Cour africaine du 16 juillet ; </w:t>
      </w:r>
      <w:r>
        <w:rPr>
          <w:rFonts w:ascii="Calibri" w:cs="Calibri" w:eastAsia="Calibri" w:hAnsi="Calibri"/>
          <w:color w:val="E91E63"/>
          <w:sz w:val="20"/>
          <w:szCs w:val="20"/>
        </w:rPr>
        <w:t xml:space="preserve">CJUE, Commission c. Pologne, C-204/21</w:t>
      </w:r>
      <w:r>
        <w:rPr>
          <w:rFonts w:ascii="Calibri" w:cs="Calibri" w:eastAsia="Calibri" w:hAnsi="Calibri"/>
          <w:color w:val="1A1A1A"/>
          <w:sz w:val="20"/>
          <w:szCs w:val="20"/>
        </w:rPr>
        <w:t xml:space="preserve"> (27 octobre) ; communiqué de l’Union africaine (3 novembre) ; </w:t>
      </w:r>
      <w:r>
        <w:rPr>
          <w:rFonts w:ascii="Calibri" w:cs="Calibri" w:eastAsia="Calibri" w:hAnsi="Calibri"/>
          <w:color w:val="E91E63"/>
          <w:sz w:val="20"/>
          <w:szCs w:val="20"/>
        </w:rPr>
        <w:t xml:space="preserve">Cass. crim., 5 octobre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entrée en vigueur de la compétence préjudicielle du Tribunal (1er octobre ; </w:t>
      </w:r>
      <w:r>
        <w:rPr>
          <w:rFonts w:ascii="Calibri" w:cs="Calibri" w:eastAsia="Calibri" w:hAnsi="Calibri"/>
          <w:color w:val="1E88E5"/>
          <w:sz w:val="20"/>
          <w:szCs w:val="20"/>
        </w:rPr>
        <w:t xml:space="preserve">règl. (UE, Euratom) 2024/2019 du 11 avril</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KlimaSeniorinnen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décision P16-2024-001</w:t>
      </w:r>
      <w:r>
        <w:rPr>
          <w:rFonts w:ascii="Calibri" w:cs="Calibri" w:eastAsia="Calibri" w:hAnsi="Calibri"/>
          <w:color w:val="1A1A1A"/>
          <w:sz w:val="20"/>
          <w:szCs w:val="20"/>
        </w:rPr>
        <w:t xml:space="preserve"> (26 juin) ; note du Secrétaire général de l’ONU sur la Cour arabe (27 août) ; demande d’avis à la Cour africaine sur la peine de mort ; </w:t>
      </w:r>
      <w:r>
        <w:rPr>
          <w:rFonts w:ascii="Calibri" w:cs="Calibri" w:eastAsia="Calibri" w:hAnsi="Calibri"/>
          <w:color w:val="E91E63"/>
          <w:sz w:val="20"/>
          <w:szCs w:val="20"/>
        </w:rPr>
        <w:t xml:space="preserve">Cass. civ. 1re, 14 novembre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résolution du Conseil des droits de l’homme du 3 avril</w:t>
      </w:r>
      <w:r>
        <w:rPr>
          <w:rFonts w:ascii="Calibri" w:cs="Calibri" w:eastAsia="Calibri" w:hAnsi="Calibri"/>
          <w:color w:val="1A1A1A"/>
          <w:sz w:val="20"/>
          <w:szCs w:val="20"/>
        </w:rPr>
        <w:t xml:space="preserve"> (personnes âgées) ; retraits des États-Unis, d’Israël et du Nicaragua ; </w:t>
      </w:r>
      <w:r>
        <w:rPr>
          <w:rFonts w:ascii="Calibri" w:cs="Calibri" w:eastAsia="Calibri" w:hAnsi="Calibri"/>
          <w:color w:val="E91E63"/>
          <w:sz w:val="20"/>
          <w:szCs w:val="20"/>
        </w:rPr>
        <w:t xml:space="preserve">Trib. UE, 5 février, Pologne c. Commission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Trib. UE, 9 juillet, Gotek</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22 juillet, Bradshaw c. Royaume-Uni</w:t>
      </w:r>
      <w:r>
        <w:rPr>
          <w:rFonts w:ascii="Calibri" w:cs="Calibri" w:eastAsia="Calibri" w:hAnsi="Calibri"/>
          <w:color w:val="1A1A1A"/>
          <w:sz w:val="20"/>
          <w:szCs w:val="20"/>
        </w:rPr>
        <w:t xml:space="preserve"> ; mémoire </w:t>
      </w:r>
      <w:r>
        <w:rPr>
          <w:rFonts w:ascii="Calibri" w:cs="Calibri" w:eastAsia="Calibri" w:hAnsi="Calibri"/>
          <w:i/>
          <w:iCs/>
          <w:color w:val="1A1A1A"/>
          <w:sz w:val="20"/>
          <w:szCs w:val="20"/>
        </w:rPr>
        <w:t xml:space="preserve">amicus curiae</w:t>
      </w:r>
      <w:r>
        <w:rPr>
          <w:rFonts w:ascii="Calibri" w:cs="Calibri" w:eastAsia="Calibri" w:hAnsi="Calibri"/>
          <w:color w:val="1A1A1A"/>
          <w:sz w:val="20"/>
          <w:szCs w:val="20"/>
        </w:rPr>
        <w:t xml:space="preserve"> de la Commission de Venise devant la Cour constitutionnelle ukrainienne ; Teresa Anjinho médiatrice européenne (27 février).</w:t>
      </w:r>
    </w:p>
    <w:p>
      <w:pPr>
        <w:pStyle w:val="Heading2"/>
        <w:spacing w:after="120" w:before="280"/>
      </w:pPr>
      <w:r>
        <w:rPr>
          <w:rFonts w:ascii="Calibri" w:cs="Calibri" w:eastAsia="Calibri" w:hAnsi="Calibri"/>
          <w:b/>
          <w:bCs/>
          <w:color w:val="1A1A1A"/>
          <w:sz w:val="24"/>
          <w:szCs w:val="24"/>
        </w:rPr>
        <w:t xml:space="preserve">II. Ajouts à l’index transversal</w:t>
      </w:r>
    </w:p>
    <w:p>
      <w:pPr>
        <w:pStyle w:val="ListParagraph"/>
        <w:numPr>
          <w:ilvl w:val="0"/>
          <w:numId w:val="2"/>
        </w:numPr>
        <w:spacing w:after="70" w:line="264"/>
        <w:jc w:val="both"/>
      </w:pPr>
      <w:r>
        <w:rPr>
          <w:rFonts w:ascii="Calibri" w:cs="Calibri" w:eastAsia="Calibri" w:hAnsi="Calibri"/>
          <w:b/>
          <w:bCs/>
          <w:color w:val="1A1A1A"/>
          <w:sz w:val="20"/>
          <w:szCs w:val="20"/>
        </w:rPr>
        <w:t xml:space="preserve">Subsidiarité</w:t>
      </w:r>
      <w:r>
        <w:rPr>
          <w:rFonts w:ascii="Calibri" w:cs="Calibri" w:eastAsia="Calibri" w:hAnsi="Calibri"/>
          <w:color w:val="1A1A1A"/>
          <w:sz w:val="20"/>
          <w:szCs w:val="20"/>
        </w:rPr>
        <w:t xml:space="preserve"> → fiches 14 (</w:t>
      </w:r>
      <w:r>
        <w:rPr>
          <w:rFonts w:ascii="Calibri" w:cs="Calibri" w:eastAsia="Calibri" w:hAnsi="Calibri"/>
          <w:color w:val="1E88E5"/>
          <w:sz w:val="20"/>
          <w:szCs w:val="20"/>
        </w:rPr>
        <w:t xml:space="preserve">Protocole n° 15</w:t>
      </w:r>
      <w:r>
        <w:rPr>
          <w:rFonts w:ascii="Calibri" w:cs="Calibri" w:eastAsia="Calibri" w:hAnsi="Calibri"/>
          <w:color w:val="1A1A1A"/>
          <w:sz w:val="20"/>
          <w:szCs w:val="20"/>
        </w:rPr>
        <w:t xml:space="preserve">, épuisement des recours, absence de quatrième instance), 22 (concepts modérateurs, marge d’appréciation), 23 (subsidiarité </w:t>
      </w:r>
      <w:r>
        <w:rPr>
          <w:rFonts w:ascii="Calibri" w:cs="Calibri" w:eastAsia="Calibri" w:hAnsi="Calibri"/>
          <w:i/>
          <w:iCs/>
          <w:color w:val="1A1A1A"/>
          <w:sz w:val="20"/>
          <w:szCs w:val="20"/>
        </w:rPr>
        <w:t xml:space="preserve">juridictionnelle</w:t>
      </w:r>
      <w:r>
        <w:rPr>
          <w:rFonts w:ascii="Calibri" w:cs="Calibri" w:eastAsia="Calibri" w:hAnsi="Calibri"/>
          <w:color w:val="1A1A1A"/>
          <w:sz w:val="20"/>
          <w:szCs w:val="20"/>
        </w:rPr>
        <w:t xml:space="preserve">, distincte de l’</w:t>
      </w:r>
      <w:r>
        <w:rPr>
          <w:rFonts w:ascii="Calibri" w:cs="Calibri" w:eastAsia="Calibri" w:hAnsi="Calibri"/>
          <w:color w:val="1E88E5"/>
          <w:sz w:val="20"/>
          <w:szCs w:val="20"/>
        </w:rPr>
        <w:t xml:space="preserve">art. 5 § 3 TUE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Exécution et effectivité des décisions</w:t>
      </w:r>
      <w:r>
        <w:rPr>
          <w:rFonts w:ascii="Calibri" w:cs="Calibri" w:eastAsia="Calibri" w:hAnsi="Calibri"/>
          <w:color w:val="1A1A1A"/>
          <w:sz w:val="20"/>
          <w:szCs w:val="20"/>
        </w:rPr>
        <w:t xml:space="preserve"> → fiches 13 (constatations des comités), 21 (absence d’autorité de chose jugée), 22 (art. 46, arrêts pilotes, défiance étatique), 24 (taux d’exécution africains).</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Obligations positives</w:t>
      </w:r>
      <w:r>
        <w:rPr>
          <w:rFonts w:ascii="Calibri" w:cs="Calibri" w:eastAsia="Calibri" w:hAnsi="Calibri"/>
          <w:color w:val="1A1A1A"/>
          <w:sz w:val="20"/>
          <w:szCs w:val="20"/>
        </w:rPr>
        <w:t xml:space="preserve"> → fiches 5 (effectivité, </w:t>
      </w:r>
      <w:r>
        <w:rPr>
          <w:rFonts w:ascii="Calibri" w:cs="Calibri" w:eastAsia="Calibri" w:hAnsi="Calibri"/>
          <w:color w:val="E91E63"/>
          <w:sz w:val="20"/>
          <w:szCs w:val="20"/>
        </w:rPr>
        <w:t xml:space="preserve">Airey</w:t>
      </w:r>
      <w:r>
        <w:rPr>
          <w:rFonts w:ascii="Calibri" w:cs="Calibri" w:eastAsia="Calibri" w:hAnsi="Calibri"/>
          <w:color w:val="1A1A1A"/>
          <w:sz w:val="20"/>
          <w:szCs w:val="20"/>
        </w:rPr>
        <w:t xml:space="preserve">), 14 (</w:t>
      </w:r>
      <w:r>
        <w:rPr>
          <w:rFonts w:ascii="Calibri" w:cs="Calibri" w:eastAsia="Calibri" w:hAnsi="Calibri"/>
          <w:color w:val="E91E63"/>
          <w:sz w:val="20"/>
          <w:szCs w:val="20"/>
        </w:rPr>
        <w:t xml:space="preserve">Lopez Ostra</w:t>
      </w:r>
      <w:r>
        <w:rPr>
          <w:rFonts w:ascii="Calibri" w:cs="Calibri" w:eastAsia="Calibri" w:hAnsi="Calibri"/>
          <w:color w:val="1A1A1A"/>
          <w:sz w:val="20"/>
          <w:szCs w:val="20"/>
        </w:rPr>
        <w:t xml:space="preserve">), 22 (procédurales / matérielles, effet horizontal indirect, </w:t>
      </w:r>
      <w:r>
        <w:rPr>
          <w:rFonts w:ascii="Calibri" w:cs="Calibri" w:eastAsia="Calibri" w:hAnsi="Calibri"/>
          <w:color w:val="E91E63"/>
          <w:sz w:val="20"/>
          <w:szCs w:val="20"/>
        </w:rPr>
        <w:t xml:space="preserve">Bradshaw</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Accès au juge</w:t>
      </w:r>
      <w:r>
        <w:rPr>
          <w:rFonts w:ascii="Calibri" w:cs="Calibri" w:eastAsia="Calibri" w:hAnsi="Calibri"/>
          <w:color w:val="1A1A1A"/>
          <w:sz w:val="20"/>
          <w:szCs w:val="20"/>
        </w:rPr>
        <w:t xml:space="preserve"> → fiches 17 (filtre de la Cour de cassation), 18 (référé-liberté, droit au recours), 22 (</w:t>
      </w:r>
      <w:r>
        <w:rPr>
          <w:rFonts w:ascii="Calibri" w:cs="Calibri" w:eastAsia="Calibri" w:hAnsi="Calibri"/>
          <w:color w:val="E91E63"/>
          <w:sz w:val="20"/>
          <w:szCs w:val="20"/>
        </w:rPr>
        <w:t xml:space="preserve">Golder</w:t>
      </w:r>
      <w:r>
        <w:rPr>
          <w:rFonts w:ascii="Calibri" w:cs="Calibri" w:eastAsia="Calibri" w:hAnsi="Calibri"/>
          <w:color w:val="1A1A1A"/>
          <w:sz w:val="20"/>
          <w:szCs w:val="20"/>
        </w:rPr>
        <w:t xml:space="preserve">), 23 (</w:t>
      </w:r>
      <w:r>
        <w:rPr>
          <w:rFonts w:ascii="Calibri" w:cs="Calibri" w:eastAsia="Calibri" w:hAnsi="Calibri"/>
          <w:color w:val="E91E63"/>
          <w:sz w:val="20"/>
          <w:szCs w:val="20"/>
        </w:rPr>
        <w:t xml:space="preserve">Plaumann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47 de la Charte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Inuit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Relativisme culturel et universalité</w:t>
      </w:r>
      <w:r>
        <w:rPr>
          <w:rFonts w:ascii="Calibri" w:cs="Calibri" w:eastAsia="Calibri" w:hAnsi="Calibri"/>
          <w:color w:val="1A1A1A"/>
          <w:sz w:val="20"/>
          <w:szCs w:val="20"/>
        </w:rPr>
        <w:t xml:space="preserve"> → fiches 5 (Donnelly, consensus de Bangkok), 12 (systèmes régionaux, </w:t>
      </w:r>
      <w:r>
        <w:rPr>
          <w:rFonts w:ascii="Calibri" w:cs="Calibri" w:eastAsia="Calibri" w:hAnsi="Calibri"/>
          <w:color w:val="E91E63"/>
          <w:sz w:val="20"/>
          <w:szCs w:val="20"/>
        </w:rPr>
        <w:t xml:space="preserve">Refah Partisi</w:t>
      </w:r>
      <w:r>
        <w:rPr>
          <w:rFonts w:ascii="Calibri" w:cs="Calibri" w:eastAsia="Calibri" w:hAnsi="Calibri"/>
          <w:color w:val="1A1A1A"/>
          <w:sz w:val="20"/>
          <w:szCs w:val="20"/>
        </w:rPr>
        <w:t xml:space="preserve">), 21 (conflit </w:t>
      </w:r>
      <w:r>
        <w:rPr>
          <w:rFonts w:ascii="Calibri" w:cs="Calibri" w:eastAsia="Calibri" w:hAnsi="Calibri"/>
          <w:color w:val="E91E63"/>
          <w:sz w:val="20"/>
          <w:szCs w:val="20"/>
        </w:rPr>
        <w:t xml:space="preserve">S.A.S.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S. Yaker</w:t>
      </w:r>
      <w:r>
        <w:rPr>
          <w:rFonts w:ascii="Calibri" w:cs="Calibri" w:eastAsia="Calibri" w:hAnsi="Calibri"/>
          <w:color w:val="1A1A1A"/>
          <w:sz w:val="20"/>
          <w:szCs w:val="20"/>
        </w:rPr>
        <w:t xml:space="preserve">), 24 (Charte arabe, Charte africaine, Conférence de Vienne).</w:t>
      </w:r>
    </w:p>
    <w:p>
      <w:pPr>
        <w:pStyle w:val="ListParagraph"/>
        <w:numPr>
          <w:ilvl w:val="0"/>
          <w:numId w:val="2"/>
        </w:numPr>
        <w:spacing w:after="70" w:line="264"/>
        <w:jc w:val="both"/>
      </w:pPr>
      <w:r>
        <w:rPr>
          <w:rFonts w:ascii="Calibri" w:cs="Calibri" w:eastAsia="Calibri" w:hAnsi="Calibri"/>
          <w:b/>
          <w:bCs/>
          <w:color w:val="1A1A1A"/>
          <w:sz w:val="20"/>
          <w:szCs w:val="20"/>
        </w:rPr>
        <w:t xml:space="preserve">Protection non juridictionnelle</w:t>
      </w:r>
      <w:r>
        <w:rPr>
          <w:rFonts w:ascii="Calibri" w:cs="Calibri" w:eastAsia="Calibri" w:hAnsi="Calibri"/>
          <w:color w:val="1A1A1A"/>
          <w:sz w:val="20"/>
          <w:szCs w:val="20"/>
        </w:rPr>
        <w:t xml:space="preserve"> → fiches 20 (AAI, Défenseur des droits, CNCDH), 25 (Conseil des droits de l’homme, Haut-Commissariat, Commissaire, Commission de Venise, Médiateur européen, Agence des droits fondamentaux, Contrôleur européen).</w:t>
      </w:r>
    </w:p>
    <w:p>
      <w:pPr>
        <w:pStyle w:val="ListParagraph"/>
        <w:numPr>
          <w:ilvl w:val="0"/>
          <w:numId w:val="2"/>
        </w:numPr>
        <w:spacing w:after="70" w:line="264"/>
        <w:jc w:val="both"/>
      </w:pPr>
      <w:r>
        <w:rPr>
          <w:rFonts w:ascii="Calibri" w:cs="Calibri" w:eastAsia="Calibri" w:hAnsi="Calibri"/>
          <w:b/>
          <w:bCs/>
          <w:color w:val="1A1A1A"/>
          <w:sz w:val="20"/>
          <w:szCs w:val="20"/>
        </w:rPr>
        <w:t xml:space="preserve">Données personnelles</w:t>
      </w:r>
      <w:r>
        <w:rPr>
          <w:rFonts w:ascii="Calibri" w:cs="Calibri" w:eastAsia="Calibri" w:hAnsi="Calibri"/>
          <w:color w:val="1A1A1A"/>
          <w:sz w:val="20"/>
          <w:szCs w:val="20"/>
        </w:rPr>
        <w:t xml:space="preserve"> → fiches 4 (</w:t>
      </w:r>
      <w:r>
        <w:rPr>
          <w:rFonts w:ascii="Calibri" w:cs="Calibri" w:eastAsia="Calibri" w:hAnsi="Calibri"/>
          <w:color w:val="E91E63"/>
          <w:sz w:val="20"/>
          <w:szCs w:val="20"/>
        </w:rPr>
        <w:t xml:space="preserve">SCHUFA</w:t>
      </w:r>
      <w:r>
        <w:rPr>
          <w:rFonts w:ascii="Calibri" w:cs="Calibri" w:eastAsia="Calibri" w:hAnsi="Calibri"/>
          <w:color w:val="1A1A1A"/>
          <w:sz w:val="20"/>
          <w:szCs w:val="20"/>
        </w:rPr>
        <w:t xml:space="preserve">), 15 (RGPD), 17 (droit à la preuve et minimisation), 20 (CNIL), 23 (</w:t>
      </w:r>
      <w:r>
        <w:rPr>
          <w:rFonts w:ascii="Calibri" w:cs="Calibri" w:eastAsia="Calibri" w:hAnsi="Calibri"/>
          <w:color w:val="E91E63"/>
          <w:sz w:val="20"/>
          <w:szCs w:val="20"/>
        </w:rPr>
        <w:t xml:space="preserve">Digital Rights Ireland</w:t>
      </w:r>
      <w:r>
        <w:rPr>
          <w:rFonts w:ascii="Calibri" w:cs="Calibri" w:eastAsia="Calibri" w:hAnsi="Calibri"/>
          <w:color w:val="1A1A1A"/>
          <w:sz w:val="20"/>
          <w:szCs w:val="20"/>
        </w:rPr>
        <w:t xml:space="preserve">), 25 (Contrôleur européen, </w:t>
      </w:r>
      <w:r>
        <w:rPr>
          <w:rFonts w:ascii="Calibri" w:cs="Calibri" w:eastAsia="Calibri" w:hAnsi="Calibri"/>
          <w:color w:val="1E88E5"/>
          <w:sz w:val="20"/>
          <w:szCs w:val="20"/>
        </w:rPr>
        <w:t xml:space="preserve">règlement 2018/1725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Dialogue des juges</w:t>
      </w:r>
      <w:r>
        <w:rPr>
          <w:rFonts w:ascii="Calibri" w:cs="Calibri" w:eastAsia="Calibri" w:hAnsi="Calibri"/>
          <w:color w:val="1A1A1A"/>
          <w:sz w:val="20"/>
          <w:szCs w:val="20"/>
        </w:rPr>
        <w:t xml:space="preserve"> → fiches 14 (</w:t>
      </w:r>
      <w:r>
        <w:rPr>
          <w:rFonts w:ascii="Calibri" w:cs="Calibri" w:eastAsia="Calibri" w:hAnsi="Calibri"/>
          <w:color w:val="1E88E5"/>
          <w:sz w:val="20"/>
          <w:szCs w:val="20"/>
        </w:rPr>
        <w:t xml:space="preserve">Protocole n° 16</w:t>
      </w:r>
      <w:r>
        <w:rPr>
          <w:rFonts w:ascii="Calibri" w:cs="Calibri" w:eastAsia="Calibri" w:hAnsi="Calibri"/>
          <w:color w:val="1A1A1A"/>
          <w:sz w:val="20"/>
          <w:szCs w:val="20"/>
        </w:rPr>
        <w:t xml:space="preserve">), 17 (avis consultatifs, QPC), 22 (avis et autorité de chose interprétée), 23 (renvoi préjudiciel, rapports CJUE/CEDH).</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Libertés publiques et droits fondamentaux — Partie V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dc:title>
  <dc:creator>Simon</dc:creator>
  <dc:description>Fiches de révision n° 1 à 8</dc:description>
  <cp:lastModifiedBy>Un-named</cp:lastModifiedBy>
  <cp:revision>1</cp:revision>
  <dcterms:created xsi:type="dcterms:W3CDTF">2026-09-15T09:41:00.565Z</dcterms:created>
  <dcterms:modified xsi:type="dcterms:W3CDTF">2026-09-15T09:41:00.571Z</dcterms:modified>
</cp:coreProperties>
</file>

<file path=docProps/custom.xml><?xml version="1.0" encoding="utf-8"?>
<Properties xmlns="http://schemas.openxmlformats.org/officeDocument/2006/custom-properties" xmlns:vt="http://schemas.openxmlformats.org/officeDocument/2006/docPropsVTypes"/>
</file>