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cs="Calibri" w:eastAsia="Calibri" w:hAnsi="Calibri"/>
          <w:b/>
          <w:bCs/>
          <w:color w:val="5A5A5A"/>
          <w:spacing w:val="60"/>
          <w:sz w:val="26"/>
          <w:szCs w:val="26"/>
        </w:rPr>
        <w:t xml:space="preserve">GRAND ORAL DU CRFPA</w:t>
      </w:r>
    </w:p>
    <w:p>
      <w:pPr>
        <w:spacing w:after="100"/>
        <w:jc w:val="center"/>
      </w:pPr>
      <w:r>
        <w:rPr>
          <w:rFonts w:ascii="Calibri" w:cs="Calibri" w:eastAsia="Calibri" w:hAnsi="Calibri"/>
          <w:b/>
          <w:bCs/>
          <w:color w:val="8C1C2B"/>
          <w:sz w:val="44"/>
          <w:szCs w:val="44"/>
        </w:rPr>
        <w:t xml:space="preserve">LIBERTÉS PUBLIQUES ET DROITS FONDAMENTAUX</w:t>
      </w:r>
    </w:p>
    <w:p>
      <w:pPr>
        <w:spacing w:after="600"/>
        <w:jc w:val="center"/>
      </w:pPr>
      <w:r>
        <w:rPr>
          <w:rFonts w:ascii="Calibri" w:cs="Calibri" w:eastAsia="Calibri" w:hAnsi="Calibri"/>
          <w:color w:val="1A1A1A"/>
          <w:sz w:val="26"/>
          <w:szCs w:val="26"/>
        </w:rPr>
        <w:t xml:space="preserve">Partie VIII — L’égalité et la non-discrimination (fiches n° 54 à 56)</w:t>
      </w:r>
    </w:p>
    <w:p>
      <w:pPr>
        <w:spacing w:after="100"/>
        <w:jc w:val="center"/>
      </w:pPr>
      <w:r>
        <w:rPr>
          <w:rFonts w:ascii="Calibri" w:cs="Calibri" w:eastAsia="Calibri" w:hAnsi="Calibri"/>
          <w:i/>
          <w:iCs/>
          <w:color w:val="5A5A5A"/>
          <w:sz w:val="20"/>
          <w:szCs w:val="20"/>
        </w:rPr>
        <w:t xml:space="preserve">Fiches de révision exhaustives — exposé de 15 minutes et entretien avec le jury</w:t>
      </w:r>
    </w:p>
    <w:p>
      <w:pPr>
        <w:spacing w:after="700"/>
        <w:jc w:val="center"/>
      </w:pPr>
      <w:r>
        <w:rPr>
          <w:rFonts w:ascii="Calibri" w:cs="Calibri" w:eastAsia="Calibri" w:hAnsi="Calibri"/>
          <w:i/>
          <w:iCs/>
          <w:color w:val="5A5A5A"/>
          <w:sz w:val="18"/>
          <w:szCs w:val="18"/>
        </w:rPr>
        <w:t xml:space="preserve">D’après le fascicule Objectif Barreau 2026</w:t>
      </w:r>
    </w:p>
    <w:p>
      <w:pPr>
        <w:spacing w:after="120" w:before="200"/>
      </w:pPr>
      <w:r>
        <w:rPr>
          <w:rFonts w:ascii="Calibri" w:cs="Calibri" w:eastAsia="Calibri" w:hAnsi="Calibri"/>
          <w:b/>
          <w:bCs/>
          <w:color w:val="1A1A1A"/>
          <w:sz w:val="22"/>
          <w:szCs w:val="22"/>
        </w:rPr>
        <w:t xml:space="preserve">CODE COULEUR</w:t>
      </w:r>
    </w:p>
    <w:p>
      <w:pPr>
        <w:pStyle w:val="ListParagraph"/>
        <w:numPr>
          <w:ilvl w:val="0"/>
          <w:numId w:val="2"/>
        </w:numPr>
        <w:spacing w:after="60"/>
      </w:pPr>
      <w:r>
        <w:rPr>
          <w:rFonts w:ascii="Calibri" w:cs="Calibri" w:eastAsia="Calibri" w:hAnsi="Calibri"/>
          <w:color w:val="1E88E5"/>
          <w:sz w:val="20"/>
          <w:szCs w:val="20"/>
        </w:rPr>
        <w:t xml:space="preserve">Textes normatifs</w:t>
      </w:r>
      <w:r>
        <w:rPr>
          <w:rFonts w:ascii="Calibri" w:cs="Calibri" w:eastAsia="Calibri" w:hAnsi="Calibri"/>
          <w:color w:val="1A1A1A"/>
          <w:sz w:val="20"/>
          <w:szCs w:val="20"/>
        </w:rPr>
        <w:t xml:space="preserve"> — traités, conventions, Constitution, codes, lois, règlements.</w:t>
      </w:r>
    </w:p>
    <w:p>
      <w:pPr>
        <w:pStyle w:val="ListParagraph"/>
        <w:numPr>
          <w:ilvl w:val="0"/>
          <w:numId w:val="2"/>
        </w:numPr>
        <w:spacing w:after="60"/>
      </w:pPr>
      <w:r>
        <w:rPr>
          <w:rFonts w:ascii="Calibri" w:cs="Calibri" w:eastAsia="Calibri" w:hAnsi="Calibri"/>
          <w:color w:val="E91E63"/>
          <w:sz w:val="20"/>
          <w:szCs w:val="20"/>
        </w:rPr>
        <w:t xml:space="preserve">Jurisprudence</w:t>
      </w:r>
      <w:r>
        <w:rPr>
          <w:rFonts w:ascii="Calibri" w:cs="Calibri" w:eastAsia="Calibri" w:hAnsi="Calibri"/>
          <w:color w:val="1A1A1A"/>
          <w:sz w:val="20"/>
          <w:szCs w:val="20"/>
        </w:rPr>
        <w:t xml:space="preserve"> — Cass., CE, Cons. const., CEDH, CJUE, décisions QPC.</w:t>
      </w:r>
    </w:p>
    <w:p>
      <w:pPr>
        <w:pStyle w:val="ListParagraph"/>
        <w:numPr>
          <w:ilvl w:val="0"/>
          <w:numId w:val="2"/>
        </w:numPr>
        <w:spacing w:after="60"/>
      </w:pPr>
      <w:r>
        <w:rPr>
          <w:rFonts w:ascii="Calibri" w:cs="Calibri" w:eastAsia="Calibri" w:hAnsi="Calibri"/>
          <w:color w:val="2E7D32"/>
          <w:sz w:val="20"/>
          <w:szCs w:val="20"/>
        </w:rPr>
        <w:t xml:space="preserve">Doctrine</w:t>
      </w:r>
      <w:r>
        <w:rPr>
          <w:rFonts w:ascii="Calibri" w:cs="Calibri" w:eastAsia="Calibri" w:hAnsi="Calibri"/>
          <w:color w:val="1A1A1A"/>
          <w:sz w:val="20"/>
          <w:szCs w:val="20"/>
        </w:rPr>
        <w:t xml:space="preserve"> — auteurs, thèses, controverses universitaires, avis institutionnels.</w:t>
      </w:r>
    </w:p>
    <w:p>
      <w:pPr>
        <w:pStyle w:val="ListParagraph"/>
        <w:numPr>
          <w:ilvl w:val="0"/>
          <w:numId w:val="2"/>
        </w:numPr>
        <w:spacing w:after="60"/>
      </w:pPr>
      <w:r>
        <w:rPr>
          <w:rFonts w:ascii="Calibri" w:cs="Calibri" w:eastAsia="Calibri" w:hAnsi="Calibri"/>
          <w:b/>
          <w:bCs/>
          <w:color w:val="1A1A1A"/>
          <w:sz w:val="20"/>
          <w:szCs w:val="20"/>
        </w:rPr>
        <w:t xml:space="preserve">Gras</w:t>
      </w:r>
      <w:r>
        <w:rPr>
          <w:rFonts w:ascii="Calibri" w:cs="Calibri" w:eastAsia="Calibri" w:hAnsi="Calibri"/>
          <w:color w:val="1A1A1A"/>
          <w:sz w:val="20"/>
          <w:szCs w:val="20"/>
        </w:rPr>
        <w:t xml:space="preserve"> — réservé au seul apport à mémoriser. La couleur dit d’où vient la règle, le gras dit ce qu’il faut réciter.</w:t>
      </w:r>
    </w:p>
    <w:p>
      <w:pPr>
        <w:pStyle w:val="ListParagraph"/>
        <w:numPr>
          <w:ilvl w:val="0"/>
          <w:numId w:val="2"/>
        </w:numPr>
        <w:spacing w:after="300"/>
      </w:pPr>
      <w:r>
        <w:rPr>
          <w:rFonts w:ascii="Calibri" w:cs="Calibri" w:eastAsia="Calibri" w:hAnsi="Calibri"/>
          <w:color w:val="1A1A1A"/>
          <w:sz w:val="20"/>
          <w:szCs w:val="20"/>
        </w:rPr>
        <w:t xml:space="preserve">★</w:t>
      </w:r>
      <w:r>
        <w:rPr>
          <w:rFonts w:ascii="Calibri" w:cs="Calibri" w:eastAsia="Calibri" w:hAnsi="Calibri"/>
          <w:color w:val="1A1A1A"/>
          <w:sz w:val="20"/>
          <w:szCs w:val="20"/>
        </w:rPr>
        <w:t xml:space="preserve"> — référence incontournable, à citer de mémoire le jour J.</w:t>
      </w:r>
    </w:p>
    <w:p>
      <w:pPr>
        <w:spacing w:after="120" w:before="200"/>
      </w:pPr>
      <w:r>
        <w:rPr>
          <w:rFonts w:ascii="Calibri" w:cs="Calibri" w:eastAsia="Calibri" w:hAnsi="Calibri"/>
          <w:b/>
          <w:bCs/>
          <w:color w:val="1A1A1A"/>
          <w:sz w:val="22"/>
          <w:szCs w:val="22"/>
        </w:rPr>
        <w:t xml:space="preserve">SOMMAIRE</w:t>
      </w:r>
    </w:p>
    <w:p>
      <w:pPr>
        <w:pStyle w:val="ListParagraph"/>
        <w:numPr>
          <w:ilvl w:val="0"/>
          <w:numId w:val="2"/>
        </w:numPr>
        <w:spacing w:after="40"/>
      </w:pPr>
      <w:r>
        <w:rPr>
          <w:rFonts w:ascii="Calibri" w:cs="Calibri" w:eastAsia="Calibri" w:hAnsi="Calibri"/>
          <w:color w:val="1A1A1A"/>
          <w:sz w:val="20"/>
          <w:szCs w:val="20"/>
        </w:rPr>
        <w:t xml:space="preserve">Fiche n° 54 — L’interdiction de la discrimination</w:t>
      </w:r>
    </w:p>
    <w:p>
      <w:pPr>
        <w:pStyle w:val="ListParagraph"/>
        <w:numPr>
          <w:ilvl w:val="0"/>
          <w:numId w:val="2"/>
        </w:numPr>
        <w:spacing w:after="40"/>
      </w:pPr>
      <w:r>
        <w:rPr>
          <w:rFonts w:ascii="Calibri" w:cs="Calibri" w:eastAsia="Calibri" w:hAnsi="Calibri"/>
          <w:color w:val="1A1A1A"/>
          <w:sz w:val="20"/>
          <w:szCs w:val="20"/>
        </w:rPr>
        <w:t xml:space="preserve">Fiche n° 55 — La prise en compte des vulnérabilités</w:t>
      </w:r>
    </w:p>
    <w:p>
      <w:pPr>
        <w:pStyle w:val="ListParagraph"/>
        <w:numPr>
          <w:ilvl w:val="0"/>
          <w:numId w:val="2"/>
        </w:numPr>
        <w:spacing w:after="40"/>
      </w:pPr>
      <w:r>
        <w:rPr>
          <w:rFonts w:ascii="Calibri" w:cs="Calibri" w:eastAsia="Calibri" w:hAnsi="Calibri"/>
          <w:color w:val="1A1A1A"/>
          <w:sz w:val="20"/>
          <w:szCs w:val="20"/>
        </w:rPr>
        <w:t xml:space="preserve">Fiche n° 56 — Les mesures d’inégalité compensatoire</w:t>
      </w:r>
    </w:p>
    <w:p>
      <w:pPr>
        <w:pStyle w:val="ListParagraph"/>
        <w:numPr>
          <w:ilvl w:val="0"/>
          <w:numId w:val="2"/>
        </w:numPr>
        <w:spacing w:after="40"/>
      </w:pPr>
      <w:r>
        <w:rPr>
          <w:rFonts w:ascii="Calibri" w:cs="Calibri" w:eastAsia="Calibri" w:hAnsi="Calibri"/>
          <w:color w:val="1A1A1A"/>
          <w:sz w:val="20"/>
          <w:szCs w:val="20"/>
        </w:rPr>
        <w:t xml:space="preserve">Annexe — Compléments à la chronologie et à l’index</w:t>
      </w:r>
    </w:p>
    <w:p>
      <w:pPr>
        <w:spacing w:after="80" w:before="300"/>
      </w:pPr>
      <w:r>
        <w:rPr>
          <w:rFonts w:ascii="Calibri" w:cs="Calibri" w:eastAsia="Calibri" w:hAnsi="Calibri"/>
          <w:i/>
          <w:iCs/>
          <w:color w:val="5A5A5A"/>
          <w:sz w:val="18"/>
          <w:szCs w:val="18"/>
        </w:rPr>
        <w:t xml:space="preserve">Chaque fiche s’ouvre sur une FICHE-MÉMOIRE d’une page — accroche, définition en trois lignes, cinq références incontournables, deux matrices de plan, trois pièges. C’est elle que l’on relit ; les pages suivantes forment le dossier de consultation.</w:t>
      </w:r>
    </w:p>
    <w:p>
      <w:r>
        <w:rPr>
          <w:rFonts w:ascii="Calibri" w:cs="Calibri" w:eastAsia="Calibri" w:hAnsi="Calibri"/>
          <w:i/>
          <w:iCs/>
          <w:color w:val="5A5A5A"/>
          <w:sz w:val="18"/>
          <w:szCs w:val="18"/>
        </w:rPr>
        <w:t xml:space="preserve">Dossier : architecture textuelle — ligne prétorienne et évolutions — débats doctrinaux et critiques — dispositif « Grand Oral » (relances du jury, sujets d’exposé, angles morts formulés en question / réponse pour le rappel actif).</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54 — L’INTERDICTION DE LA DISCRIMINATION</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A1A1A"/>
          <w:sz w:val="20"/>
          <w:szCs w:val="20"/>
        </w:rPr>
        <w:t xml:space="preserve">« La majestueuse égalité des lois, qui interdit au riche comme au pauvre de coucher sous les ponts, de mendier dans les rues et de voler du pain » (</w:t>
      </w:r>
      <w:r>
        <w:rPr>
          <w:rFonts w:ascii="Calibri" w:cs="Calibri" w:eastAsia="Calibri" w:hAnsi="Calibri"/>
          <w:color w:val="2E7D32"/>
          <w:sz w:val="20"/>
          <w:szCs w:val="20"/>
        </w:rPr>
        <w:t xml:space="preserve">Anatole France</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Le Lys rouge</w:t>
      </w:r>
      <w:r>
        <w:rPr>
          <w:rFonts w:ascii="Calibri" w:cs="Calibri" w:eastAsia="Calibri" w:hAnsi="Calibri"/>
          <w:color w:val="1A1A1A"/>
          <w:sz w:val="20"/>
          <w:szCs w:val="20"/>
        </w:rPr>
        <w:t xml:space="preserve">, 1894). La formule dit tout le sujet : </w:t>
      </w:r>
      <w:r>
        <w:rPr>
          <w:rFonts w:ascii="Calibri" w:cs="Calibri" w:eastAsia="Calibri" w:hAnsi="Calibri"/>
          <w:b/>
          <w:bCs/>
          <w:color w:val="1A1A1A"/>
          <w:sz w:val="20"/>
          <w:szCs w:val="20"/>
        </w:rPr>
        <w:t xml:space="preserve">l’égalité devant la loi ne garantit pas l’égalité par la loi</w:t>
      </w:r>
      <w:r>
        <w:rPr>
          <w:rFonts w:ascii="Calibri" w:cs="Calibri" w:eastAsia="Calibri" w:hAnsi="Calibri"/>
          <w:color w:val="1A1A1A"/>
          <w:sz w:val="20"/>
          <w:szCs w:val="20"/>
        </w:rPr>
        <w:t xml:space="preserve">. Le droit de la non-discrimination est né de ce constat.</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le 13 novembre 2007, la Grande Chambre condamne la République tchèque pour une législation scolaire </w:t>
      </w:r>
      <w:r>
        <w:rPr>
          <w:rFonts w:ascii="Calibri" w:cs="Calibri" w:eastAsia="Calibri" w:hAnsi="Calibri"/>
          <w:b/>
          <w:bCs/>
          <w:color w:val="1A1A1A"/>
          <w:sz w:val="20"/>
          <w:szCs w:val="20"/>
        </w:rPr>
        <w:t xml:space="preserve">neutre en apparence</w:t>
      </w:r>
      <w:r>
        <w:rPr>
          <w:rFonts w:ascii="Calibri" w:cs="Calibri" w:eastAsia="Calibri" w:hAnsi="Calibri"/>
          <w:color w:val="1A1A1A"/>
          <w:sz w:val="20"/>
          <w:szCs w:val="20"/>
        </w:rPr>
        <w:t xml:space="preserve">. Des tests psychométriques identiques pour tous avaient conduit au placement massif des enfants roms d’Ostrava dans des écoles « spéciales » (</w:t>
      </w:r>
      <w:r>
        <w:rPr>
          <w:rFonts w:ascii="Calibri" w:cs="Calibri" w:eastAsia="Calibri" w:hAnsi="Calibri"/>
          <w:color w:val="E91E63"/>
          <w:sz w:val="20"/>
          <w:szCs w:val="20"/>
        </w:rPr>
        <w:t xml:space="preserve">D.H. et autres c. République tchèque</w:t>
      </w:r>
      <w:r>
        <w:rPr>
          <w:rFonts w:ascii="Calibri" w:cs="Calibri" w:eastAsia="Calibri" w:hAnsi="Calibri"/>
          <w:color w:val="1A1A1A"/>
          <w:sz w:val="20"/>
          <w:szCs w:val="20"/>
        </w:rPr>
        <w:t xml:space="preserve">). La discrimination se mesure désormais à ses </w:t>
      </w:r>
      <w:r>
        <w:rPr>
          <w:rFonts w:ascii="Calibri" w:cs="Calibri" w:eastAsia="Calibri" w:hAnsi="Calibri"/>
          <w:b/>
          <w:bCs/>
          <w:color w:val="1A1A1A"/>
          <w:sz w:val="20"/>
          <w:szCs w:val="20"/>
        </w:rPr>
        <w:t xml:space="preserve">effets</w:t>
      </w:r>
      <w:r>
        <w:rPr>
          <w:rFonts w:ascii="Calibri" w:cs="Calibri" w:eastAsia="Calibri" w:hAnsi="Calibri"/>
          <w:color w:val="1A1A1A"/>
          <w:sz w:val="20"/>
          <w:szCs w:val="20"/>
        </w:rPr>
        <w:t xml:space="preserve">, et non plus à l’intention de son auteur.</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color w:val="1A1A1A"/>
          <w:sz w:val="20"/>
          <w:szCs w:val="20"/>
        </w:rPr>
        <w:t xml:space="preserve">La discrimination est une différence de traitement fondée sur un </w:t>
      </w:r>
      <w:r>
        <w:rPr>
          <w:rFonts w:ascii="Calibri" w:cs="Calibri" w:eastAsia="Calibri" w:hAnsi="Calibri"/>
          <w:b/>
          <w:bCs/>
          <w:color w:val="1A1A1A"/>
          <w:sz w:val="20"/>
          <w:szCs w:val="20"/>
        </w:rPr>
        <w:t xml:space="preserve">critère prohibé</w:t>
      </w:r>
      <w:r>
        <w:rPr>
          <w:rFonts w:ascii="Calibri" w:cs="Calibri" w:eastAsia="Calibri" w:hAnsi="Calibri"/>
          <w:color w:val="1A1A1A"/>
          <w:sz w:val="20"/>
          <w:szCs w:val="20"/>
        </w:rPr>
        <w:t xml:space="preserve"> par la loi ou les traités (origine, sexe, handicap, âge, orientation sexuelle, religion…), dans un domaine qu’ils visent, et dépourvue de justification objective et raisonnable. Elle est </w:t>
      </w:r>
      <w:r>
        <w:rPr>
          <w:rFonts w:ascii="Calibri" w:cs="Calibri" w:eastAsia="Calibri" w:hAnsi="Calibri"/>
          <w:b/>
          <w:bCs/>
          <w:color w:val="1A1A1A"/>
          <w:sz w:val="20"/>
          <w:szCs w:val="20"/>
        </w:rPr>
        <w:t xml:space="preserve">directe</w:t>
      </w:r>
      <w:r>
        <w:rPr>
          <w:rFonts w:ascii="Calibri" w:cs="Calibri" w:eastAsia="Calibri" w:hAnsi="Calibri"/>
          <w:color w:val="1A1A1A"/>
          <w:sz w:val="20"/>
          <w:szCs w:val="20"/>
        </w:rPr>
        <w:t xml:space="preserve"> quand le critère est ouvertement utilisé, </w:t>
      </w:r>
      <w:r>
        <w:rPr>
          <w:rFonts w:ascii="Calibri" w:cs="Calibri" w:eastAsia="Calibri" w:hAnsi="Calibri"/>
          <w:b/>
          <w:bCs/>
          <w:color w:val="1A1A1A"/>
          <w:sz w:val="20"/>
          <w:szCs w:val="20"/>
        </w:rPr>
        <w:t xml:space="preserve">indirecte</w:t>
      </w:r>
      <w:r>
        <w:rPr>
          <w:rFonts w:ascii="Calibri" w:cs="Calibri" w:eastAsia="Calibri" w:hAnsi="Calibri"/>
          <w:color w:val="1A1A1A"/>
          <w:sz w:val="20"/>
          <w:szCs w:val="20"/>
        </w:rPr>
        <w:t xml:space="preserve"> quand une mesure neutre en apparence entraîne un désavantage particulier (</w:t>
      </w:r>
      <w:r>
        <w:rPr>
          <w:rFonts w:ascii="Calibri" w:cs="Calibri" w:eastAsia="Calibri" w:hAnsi="Calibri"/>
          <w:color w:val="1E88E5"/>
          <w:sz w:val="20"/>
          <w:szCs w:val="20"/>
        </w:rPr>
        <w:t xml:space="preserve">art. 1er loi n° 2008-496 du 27 mai 2008</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Le principe de non-discrimination prolonge le principe d’égalité (</w:t>
      </w:r>
      <w:r>
        <w:rPr>
          <w:rFonts w:ascii="Calibri" w:cs="Calibri" w:eastAsia="Calibri" w:hAnsi="Calibri"/>
          <w:color w:val="1E88E5"/>
          <w:sz w:val="20"/>
          <w:szCs w:val="20"/>
        </w:rPr>
        <w:t xml:space="preserve">art. 1er et 6 DDHC</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1er Constitution</w:t>
      </w:r>
      <w:r>
        <w:rPr>
          <w:rFonts w:ascii="Calibri" w:cs="Calibri" w:eastAsia="Calibri" w:hAnsi="Calibri"/>
          <w:color w:val="1A1A1A"/>
          <w:sz w:val="20"/>
          <w:szCs w:val="20"/>
        </w:rPr>
        <w:t xml:space="preserve">). Il s’en distingue par quatre traits : une </w:t>
      </w:r>
      <w:r>
        <w:rPr>
          <w:rFonts w:ascii="Calibri" w:cs="Calibri" w:eastAsia="Calibri" w:hAnsi="Calibri"/>
          <w:b/>
          <w:bCs/>
          <w:color w:val="1A1A1A"/>
          <w:sz w:val="20"/>
          <w:szCs w:val="20"/>
        </w:rPr>
        <w:t xml:space="preserve">liste de motifs</w:t>
      </w:r>
      <w:r>
        <w:rPr>
          <w:rFonts w:ascii="Calibri" w:cs="Calibri" w:eastAsia="Calibri" w:hAnsi="Calibri"/>
          <w:color w:val="1A1A1A"/>
          <w:sz w:val="20"/>
          <w:szCs w:val="20"/>
        </w:rPr>
        <w:t xml:space="preserve">, un </w:t>
      </w:r>
      <w:r>
        <w:rPr>
          <w:rFonts w:ascii="Calibri" w:cs="Calibri" w:eastAsia="Calibri" w:hAnsi="Calibri"/>
          <w:b/>
          <w:bCs/>
          <w:color w:val="1A1A1A"/>
          <w:sz w:val="20"/>
          <w:szCs w:val="20"/>
        </w:rPr>
        <w:t xml:space="preserve">contrôle renforcé</w:t>
      </w:r>
      <w:r>
        <w:rPr>
          <w:rFonts w:ascii="Calibri" w:cs="Calibri" w:eastAsia="Calibri" w:hAnsi="Calibri"/>
          <w:color w:val="1A1A1A"/>
          <w:sz w:val="20"/>
          <w:szCs w:val="20"/>
        </w:rPr>
        <w:t xml:space="preserve">, un </w:t>
      </w:r>
      <w:r>
        <w:rPr>
          <w:rFonts w:ascii="Calibri" w:cs="Calibri" w:eastAsia="Calibri" w:hAnsi="Calibri"/>
          <w:b/>
          <w:bCs/>
          <w:color w:val="1A1A1A"/>
          <w:sz w:val="20"/>
          <w:szCs w:val="20"/>
        </w:rPr>
        <w:t xml:space="preserve">régime probatoire aménagé</w:t>
      </w:r>
      <w:r>
        <w:rPr>
          <w:rFonts w:ascii="Calibri" w:cs="Calibri" w:eastAsia="Calibri" w:hAnsi="Calibri"/>
          <w:color w:val="1A1A1A"/>
          <w:sz w:val="20"/>
          <w:szCs w:val="20"/>
        </w:rPr>
        <w:t xml:space="preserve"> et des </w:t>
      </w:r>
      <w:r>
        <w:rPr>
          <w:rFonts w:ascii="Calibri" w:cs="Calibri" w:eastAsia="Calibri" w:hAnsi="Calibri"/>
          <w:b/>
          <w:bCs/>
          <w:color w:val="1A1A1A"/>
          <w:sz w:val="20"/>
          <w:szCs w:val="20"/>
        </w:rPr>
        <w:t xml:space="preserve">sanctions</w:t>
      </w:r>
      <w:r>
        <w:rPr>
          <w:rFonts w:ascii="Calibri" w:cs="Calibri" w:eastAsia="Calibri" w:hAnsi="Calibri"/>
          <w:color w:val="1A1A1A"/>
          <w:sz w:val="20"/>
          <w:szCs w:val="20"/>
        </w:rPr>
        <w:t xml:space="preserve"> civiles, pénales et administratives.</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1er Constitution</w:t>
      </w:r>
      <w:r>
        <w:rPr>
          <w:rFonts w:ascii="Calibri" w:cs="Calibri" w:eastAsia="Calibri" w:hAnsi="Calibri"/>
          <w:color w:val="1A1A1A"/>
          <w:sz w:val="20"/>
          <w:szCs w:val="20"/>
        </w:rPr>
        <w:t xml:space="preserve"> (« l’égalité devant la loi de tous les citoyens sans distinction d’origine, de race ou de religion ») ; </w:t>
      </w:r>
      <w:r>
        <w:rPr>
          <w:rFonts w:ascii="Calibri" w:cs="Calibri" w:eastAsia="Calibri" w:hAnsi="Calibri"/>
          <w:color w:val="1E88E5"/>
          <w:sz w:val="20"/>
          <w:szCs w:val="20"/>
        </w:rPr>
        <w:t xml:space="preserve">art. 1er et 6 DDHC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al. 3, 5 et 13 Préambule 1946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14 CEDH</w:t>
      </w:r>
      <w:r>
        <w:rPr>
          <w:rFonts w:ascii="Calibri" w:cs="Calibri" w:eastAsia="Calibri" w:hAnsi="Calibri"/>
          <w:color w:val="1A1A1A"/>
          <w:sz w:val="20"/>
          <w:szCs w:val="20"/>
        </w:rPr>
        <w:t xml:space="preserve">, de portée accessoire, et </w:t>
      </w:r>
      <w:r>
        <w:rPr>
          <w:rFonts w:ascii="Calibri" w:cs="Calibri" w:eastAsia="Calibri" w:hAnsi="Calibri"/>
          <w:color w:val="1E88E5"/>
          <w:sz w:val="20"/>
          <w:szCs w:val="20"/>
        </w:rPr>
        <w:t xml:space="preserve">Protocole n° 12 (4 novembre 2000)</w:t>
      </w:r>
      <w:r>
        <w:rPr>
          <w:rFonts w:ascii="Calibri" w:cs="Calibri" w:eastAsia="Calibri" w:hAnsi="Calibri"/>
          <w:color w:val="1A1A1A"/>
          <w:sz w:val="20"/>
          <w:szCs w:val="20"/>
        </w:rPr>
        <w:t xml:space="preserve">, qui pose une interdiction générale et que la France a signé sans le ratifier ; </w:t>
      </w:r>
      <w:r>
        <w:rPr>
          <w:rFonts w:ascii="Calibri" w:cs="Calibri" w:eastAsia="Calibri" w:hAnsi="Calibri"/>
          <w:color w:val="1E88E5"/>
          <w:sz w:val="20"/>
          <w:szCs w:val="20"/>
        </w:rPr>
        <w:t xml:space="preserve">art. 21 CDFUE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directives 2000/43/CE du 29 juin 2000</w:t>
      </w:r>
      <w:r>
        <w:rPr>
          <w:rFonts w:ascii="Calibri" w:cs="Calibri" w:eastAsia="Calibri" w:hAnsi="Calibri"/>
          <w:color w:val="1A1A1A"/>
          <w:sz w:val="20"/>
          <w:szCs w:val="20"/>
        </w:rPr>
        <w:t xml:space="preserve"> (race et origine ethnique) et </w:t>
      </w:r>
      <w:r>
        <w:rPr>
          <w:rFonts w:ascii="Calibri" w:cs="Calibri" w:eastAsia="Calibri" w:hAnsi="Calibri"/>
          <w:color w:val="1E88E5"/>
          <w:sz w:val="20"/>
          <w:szCs w:val="20"/>
        </w:rPr>
        <w:t xml:space="preserve">2000/78/CE du 27 novembre 2000</w:t>
      </w:r>
      <w:r>
        <w:rPr>
          <w:rFonts w:ascii="Calibri" w:cs="Calibri" w:eastAsia="Calibri" w:hAnsi="Calibri"/>
          <w:color w:val="1A1A1A"/>
          <w:sz w:val="20"/>
          <w:szCs w:val="20"/>
        </w:rPr>
        <w:t xml:space="preserve"> (emploi : religion, handicap, âge, orientation sexuelle).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n° 2008-496 du 27 mai 2008</w:t>
      </w:r>
      <w:r>
        <w:rPr>
          <w:rFonts w:ascii="Calibri" w:cs="Calibri" w:eastAsia="Calibri" w:hAnsi="Calibri"/>
          <w:color w:val="1A1A1A"/>
          <w:sz w:val="20"/>
          <w:szCs w:val="20"/>
        </w:rPr>
        <w:t xml:space="preserve"> (définitions et preuve) ; </w:t>
      </w:r>
      <w:r>
        <w:rPr>
          <w:rFonts w:ascii="Calibri" w:cs="Calibri" w:eastAsia="Calibri" w:hAnsi="Calibri"/>
          <w:color w:val="1E88E5"/>
          <w:sz w:val="20"/>
          <w:szCs w:val="20"/>
        </w:rPr>
        <w:t xml:space="preserve">art. 225-1 et 225-2 C. pén.</w:t>
      </w:r>
      <w:r>
        <w:rPr>
          <w:rFonts w:ascii="Calibri" w:cs="Calibri" w:eastAsia="Calibri" w:hAnsi="Calibri"/>
          <w:color w:val="1A1A1A"/>
          <w:sz w:val="20"/>
          <w:szCs w:val="20"/>
        </w:rPr>
        <w:t xml:space="preserve"> (critères et peines) ; </w:t>
      </w:r>
      <w:r>
        <w:rPr>
          <w:rFonts w:ascii="Calibri" w:cs="Calibri" w:eastAsia="Calibri" w:hAnsi="Calibri"/>
          <w:color w:val="1E88E5"/>
          <w:sz w:val="20"/>
          <w:szCs w:val="20"/>
        </w:rPr>
        <w:t xml:space="preserve">art. L. 1132-1 et L. 1134-1 C. trav.</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13 novembre 2007, D.H. et autres c. République tchèque, n° 57325/00</w:t>
      </w:r>
      <w:r>
        <w:rPr>
          <w:rFonts w:ascii="Calibri" w:cs="Calibri" w:eastAsia="Calibri" w:hAnsi="Calibri"/>
          <w:color w:val="1A1A1A"/>
          <w:sz w:val="20"/>
          <w:szCs w:val="20"/>
        </w:rPr>
        <w:t xml:space="preserve"> : consécration de la </w:t>
      </w:r>
      <w:r>
        <w:rPr>
          <w:rFonts w:ascii="Calibri" w:cs="Calibri" w:eastAsia="Calibri" w:hAnsi="Calibri"/>
          <w:b/>
          <w:bCs/>
          <w:color w:val="1A1A1A"/>
          <w:sz w:val="20"/>
          <w:szCs w:val="20"/>
        </w:rPr>
        <w:t xml:space="preserve">discrimination indirecte</w:t>
      </w:r>
      <w:r>
        <w:rPr>
          <w:rFonts w:ascii="Calibri" w:cs="Calibri" w:eastAsia="Calibri" w:hAnsi="Calibri"/>
          <w:color w:val="1A1A1A"/>
          <w:sz w:val="20"/>
          <w:szCs w:val="20"/>
        </w:rPr>
        <w:t xml:space="preserve">. La preuve statistique fait naître une présomption, et l’intention discriminatoire n’est pas requise.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2010-1 QPC, 28 mai 2010, Consorts L.</w:t>
      </w:r>
      <w:r>
        <w:rPr>
          <w:rFonts w:ascii="Calibri" w:cs="Calibri" w:eastAsia="Calibri" w:hAnsi="Calibri"/>
          <w:color w:val="1A1A1A"/>
          <w:sz w:val="20"/>
          <w:szCs w:val="20"/>
        </w:rPr>
        <w:t xml:space="preserve"> : la première QPC censure la cristallisation des pensions des anciens combattants étrangers. Le lieu de résidence pouvait fonder une différence de traitement ; </w:t>
      </w:r>
      <w:r>
        <w:rPr>
          <w:rFonts w:ascii="Calibri" w:cs="Calibri" w:eastAsia="Calibri" w:hAnsi="Calibri"/>
          <w:b/>
          <w:bCs/>
          <w:color w:val="1A1A1A"/>
          <w:sz w:val="20"/>
          <w:szCs w:val="20"/>
        </w:rPr>
        <w:t xml:space="preserve">la nationalité ne le pouvait pas</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Égalité et non-discrimination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Deux principes complémentaires</w:t>
      </w:r>
      <w:r>
        <w:rPr>
          <w:rFonts w:ascii="Calibri" w:cs="Calibri" w:eastAsia="Calibri" w:hAnsi="Calibri"/>
          <w:color w:val="1A1A1A"/>
          <w:sz w:val="20"/>
          <w:szCs w:val="20"/>
        </w:rPr>
        <w:t xml:space="preserve"> (A. L’égalité formelle, la même loi pour tous : </w:t>
      </w:r>
      <w:r>
        <w:rPr>
          <w:rFonts w:ascii="Calibri" w:cs="Calibri" w:eastAsia="Calibri" w:hAnsi="Calibri"/>
          <w:color w:val="1E88E5"/>
          <w:sz w:val="20"/>
          <w:szCs w:val="20"/>
        </w:rPr>
        <w:t xml:space="preserve">art. 6 DDHC</w:t>
      </w:r>
      <w:r>
        <w:rPr>
          <w:rFonts w:ascii="Calibri" w:cs="Calibri" w:eastAsia="Calibri" w:hAnsi="Calibri"/>
          <w:color w:val="1A1A1A"/>
          <w:sz w:val="20"/>
          <w:szCs w:val="20"/>
        </w:rPr>
        <w:t xml:space="preserve"> ; formule de </w:t>
      </w:r>
      <w:r>
        <w:rPr>
          <w:rFonts w:ascii="Calibri" w:cs="Calibri" w:eastAsia="Calibri" w:hAnsi="Calibri"/>
          <w:color w:val="E91E63"/>
          <w:sz w:val="20"/>
          <w:szCs w:val="20"/>
        </w:rPr>
        <w:t xml:space="preserve">87-232 DC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ass., 28 mars 1997, Baxter</w:t>
      </w:r>
      <w:r>
        <w:rPr>
          <w:rFonts w:ascii="Calibri" w:cs="Calibri" w:eastAsia="Calibri" w:hAnsi="Calibri"/>
          <w:color w:val="1A1A1A"/>
          <w:sz w:val="20"/>
          <w:szCs w:val="20"/>
        </w:rPr>
        <w:t xml:space="preserve"> ; B. La non-discrimination, un contrôle des motifs et des effets : </w:t>
      </w:r>
      <w:r>
        <w:rPr>
          <w:rFonts w:ascii="Calibri" w:cs="Calibri" w:eastAsia="Calibri" w:hAnsi="Calibri"/>
          <w:color w:val="E91E63"/>
          <w:sz w:val="20"/>
          <w:szCs w:val="20"/>
        </w:rPr>
        <w:t xml:space="preserve">Sotgiu</w:t>
      </w:r>
      <w:r>
        <w:rPr>
          <w:rFonts w:ascii="Calibri" w:cs="Calibri" w:eastAsia="Calibri" w:hAnsi="Calibri"/>
          <w:color w:val="1A1A1A"/>
          <w:sz w:val="20"/>
          <w:szCs w:val="20"/>
        </w:rPr>
        <w:t xml:space="preserve"> (1974) ; </w:t>
      </w:r>
      <w:r>
        <w:rPr>
          <w:rFonts w:ascii="Calibri" w:cs="Calibri" w:eastAsia="Calibri" w:hAnsi="Calibri"/>
          <w:color w:val="E91E63"/>
          <w:sz w:val="20"/>
          <w:szCs w:val="20"/>
        </w:rPr>
        <w:t xml:space="preserve">D.H.</w:t>
      </w:r>
      <w:r>
        <w:rPr>
          <w:rFonts w:ascii="Calibri" w:cs="Calibri" w:eastAsia="Calibri" w:hAnsi="Calibri"/>
          <w:color w:val="1A1A1A"/>
          <w:sz w:val="20"/>
          <w:szCs w:val="20"/>
        </w:rPr>
        <w:t xml:space="preserve"> (2007) ; </w:t>
      </w:r>
      <w:r>
        <w:rPr>
          <w:rFonts w:ascii="Calibri" w:cs="Calibri" w:eastAsia="Calibri" w:hAnsi="Calibri"/>
          <w:color w:val="1E88E5"/>
          <w:sz w:val="20"/>
          <w:szCs w:val="20"/>
        </w:rPr>
        <w:t xml:space="preserve">loi du 27 mai 2008</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II. Deux logiques en tension</w:t>
      </w:r>
      <w:r>
        <w:rPr>
          <w:rFonts w:ascii="Calibri" w:cs="Calibri" w:eastAsia="Calibri" w:hAnsi="Calibri"/>
          <w:color w:val="1A1A1A"/>
          <w:sz w:val="20"/>
          <w:szCs w:val="20"/>
        </w:rPr>
        <w:t xml:space="preserve"> (A. Le modèle républicain, qui refuse les droits collectifs : </w:t>
      </w:r>
      <w:r>
        <w:rPr>
          <w:rFonts w:ascii="Calibri" w:cs="Calibri" w:eastAsia="Calibri" w:hAnsi="Calibri"/>
          <w:color w:val="E91E63"/>
          <w:sz w:val="20"/>
          <w:szCs w:val="20"/>
        </w:rPr>
        <w:t xml:space="preserve">91-290 DC</w:t>
      </w:r>
      <w:r>
        <w:rPr>
          <w:rFonts w:ascii="Calibri" w:cs="Calibri" w:eastAsia="Calibri" w:hAnsi="Calibri"/>
          <w:color w:val="1A1A1A"/>
          <w:sz w:val="20"/>
          <w:szCs w:val="20"/>
        </w:rPr>
        <w:t xml:space="preserve"> (Corse) ; </w:t>
      </w:r>
      <w:r>
        <w:rPr>
          <w:rFonts w:ascii="Calibri" w:cs="Calibri" w:eastAsia="Calibri" w:hAnsi="Calibri"/>
          <w:color w:val="E91E63"/>
          <w:sz w:val="20"/>
          <w:szCs w:val="20"/>
        </w:rPr>
        <w:t xml:space="preserve">99-412 DC</w:t>
      </w:r>
      <w:r>
        <w:rPr>
          <w:rFonts w:ascii="Calibri" w:cs="Calibri" w:eastAsia="Calibri" w:hAnsi="Calibri"/>
          <w:color w:val="1A1A1A"/>
          <w:sz w:val="20"/>
          <w:szCs w:val="20"/>
        </w:rPr>
        <w:t xml:space="preserve"> (langues régionales) ; </w:t>
      </w:r>
      <w:r>
        <w:rPr>
          <w:rFonts w:ascii="Calibri" w:cs="Calibri" w:eastAsia="Calibri" w:hAnsi="Calibri"/>
          <w:color w:val="E91E63"/>
          <w:sz w:val="20"/>
          <w:szCs w:val="20"/>
        </w:rPr>
        <w:t xml:space="preserve">2007-557 DC</w:t>
      </w:r>
      <w:r>
        <w:rPr>
          <w:rFonts w:ascii="Calibri" w:cs="Calibri" w:eastAsia="Calibri" w:hAnsi="Calibri"/>
          <w:color w:val="1A1A1A"/>
          <w:sz w:val="20"/>
          <w:szCs w:val="20"/>
        </w:rPr>
        <w:t xml:space="preserve"> (statistiques ethniques) ; B. L’égalité réelle, qui exige de traiter différemment des situations différentes : </w:t>
      </w:r>
      <w:r>
        <w:rPr>
          <w:rFonts w:ascii="Calibri" w:cs="Calibri" w:eastAsia="Calibri" w:hAnsi="Calibri"/>
          <w:color w:val="E91E63"/>
          <w:sz w:val="20"/>
          <w:szCs w:val="20"/>
        </w:rPr>
        <w:t xml:space="preserve">Thlimmenos</w:t>
      </w:r>
      <w:r>
        <w:rPr>
          <w:rFonts w:ascii="Calibri" w:cs="Calibri" w:eastAsia="Calibri" w:hAnsi="Calibri"/>
          <w:color w:val="1A1A1A"/>
          <w:sz w:val="20"/>
          <w:szCs w:val="20"/>
        </w:rPr>
        <w:t xml:space="preserve"> (2000) ; aménagement raisonnable (</w:t>
      </w:r>
      <w:r>
        <w:rPr>
          <w:rFonts w:ascii="Calibri" w:cs="Calibri" w:eastAsia="Calibri" w:hAnsi="Calibri"/>
          <w:color w:val="E91E63"/>
          <w:sz w:val="20"/>
          <w:szCs w:val="20"/>
        </w:rPr>
        <w:t xml:space="preserve">Bervidi</w:t>
      </w:r>
      <w:r>
        <w:rPr>
          <w:rFonts w:ascii="Calibri" w:cs="Calibri" w:eastAsia="Calibri" w:hAnsi="Calibri"/>
          <w:color w:val="1A1A1A"/>
          <w:sz w:val="20"/>
          <w:szCs w:val="20"/>
        </w:rPr>
        <w:t xml:space="preserve">, 2025) ; parité (</w:t>
      </w:r>
      <w:r>
        <w:rPr>
          <w:rFonts w:ascii="Calibri" w:cs="Calibri" w:eastAsia="Calibri" w:hAnsi="Calibri"/>
          <w:color w:val="1E88E5"/>
          <w:sz w:val="20"/>
          <w:szCs w:val="20"/>
        </w:rPr>
        <w:t xml:space="preserve">art. 1er al. 2</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La preuve de la discrimination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 régime probatoire aménagé</w:t>
      </w:r>
      <w:r>
        <w:rPr>
          <w:rFonts w:ascii="Calibri" w:cs="Calibri" w:eastAsia="Calibri" w:hAnsi="Calibri"/>
          <w:color w:val="1A1A1A"/>
          <w:sz w:val="20"/>
          <w:szCs w:val="20"/>
        </w:rPr>
        <w:t xml:space="preserve"> (A. Présomption et renversement de la charge de la preuve : </w:t>
      </w:r>
      <w:r>
        <w:rPr>
          <w:rFonts w:ascii="Calibri" w:cs="Calibri" w:eastAsia="Calibri" w:hAnsi="Calibri"/>
          <w:color w:val="1E88E5"/>
          <w:sz w:val="20"/>
          <w:szCs w:val="20"/>
        </w:rPr>
        <w:t xml:space="preserve">art. L. 1134-1 C. trav.</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4 loi 2008</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D.H.</w:t>
      </w:r>
      <w:r>
        <w:rPr>
          <w:rFonts w:ascii="Calibri" w:cs="Calibri" w:eastAsia="Calibri" w:hAnsi="Calibri"/>
          <w:color w:val="1A1A1A"/>
          <w:sz w:val="20"/>
          <w:szCs w:val="20"/>
        </w:rPr>
        <w:t xml:space="preserve"> ; B. Des modes de preuve spécifiques : testing (</w:t>
      </w:r>
      <w:r>
        <w:rPr>
          <w:rFonts w:ascii="Calibri" w:cs="Calibri" w:eastAsia="Calibri" w:hAnsi="Calibri"/>
          <w:color w:val="1E88E5"/>
          <w:sz w:val="20"/>
          <w:szCs w:val="20"/>
        </w:rPr>
        <w:t xml:space="preserve">art. 225-3-1 C. pén.</w:t>
      </w:r>
      <w:r>
        <w:rPr>
          <w:rFonts w:ascii="Calibri" w:cs="Calibri" w:eastAsia="Calibri" w:hAnsi="Calibri"/>
          <w:color w:val="1A1A1A"/>
          <w:sz w:val="20"/>
          <w:szCs w:val="20"/>
        </w:rPr>
        <w:t xml:space="preserve">) ; statistiques (</w:t>
      </w:r>
      <w:r>
        <w:rPr>
          <w:rFonts w:ascii="Calibri" w:cs="Calibri" w:eastAsia="Calibri" w:hAnsi="Calibri"/>
          <w:color w:val="E91E63"/>
          <w:sz w:val="20"/>
          <w:szCs w:val="20"/>
        </w:rPr>
        <w:t xml:space="preserve">Zarb Adami c. Malte</w:t>
      </w:r>
      <w:r>
        <w:rPr>
          <w:rFonts w:ascii="Calibri" w:cs="Calibri" w:eastAsia="Calibri" w:hAnsi="Calibri"/>
          <w:color w:val="1A1A1A"/>
          <w:sz w:val="20"/>
          <w:szCs w:val="20"/>
        </w:rPr>
        <w:t xml:space="preserve">, 2006)) / </w:t>
      </w:r>
      <w:r>
        <w:rPr>
          <w:rFonts w:ascii="Calibri" w:cs="Calibri" w:eastAsia="Calibri" w:hAnsi="Calibri"/>
          <w:b/>
          <w:bCs/>
          <w:color w:val="1A1A1A"/>
          <w:sz w:val="20"/>
          <w:szCs w:val="20"/>
        </w:rPr>
        <w:t xml:space="preserve">II. Des obstacles persistants</w:t>
      </w:r>
      <w:r>
        <w:rPr>
          <w:rFonts w:ascii="Calibri" w:cs="Calibri" w:eastAsia="Calibri" w:hAnsi="Calibri"/>
          <w:color w:val="1A1A1A"/>
          <w:sz w:val="20"/>
          <w:szCs w:val="20"/>
        </w:rPr>
        <w:t xml:space="preserve"> (A. Le refus des catégories ethniques : </w:t>
      </w:r>
      <w:r>
        <w:rPr>
          <w:rFonts w:ascii="Calibri" w:cs="Calibri" w:eastAsia="Calibri" w:hAnsi="Calibri"/>
          <w:color w:val="E91E63"/>
          <w:sz w:val="20"/>
          <w:szCs w:val="20"/>
        </w:rPr>
        <w:t xml:space="preserve">2007-557 DC</w:t>
      </w:r>
      <w:r>
        <w:rPr>
          <w:rFonts w:ascii="Calibri" w:cs="Calibri" w:eastAsia="Calibri" w:hAnsi="Calibri"/>
          <w:color w:val="1A1A1A"/>
          <w:sz w:val="20"/>
          <w:szCs w:val="20"/>
        </w:rPr>
        <w:t xml:space="preserve"> ; B. Les discriminations collectives et algorithmiques : action de groupe (</w:t>
      </w:r>
      <w:r>
        <w:rPr>
          <w:rFonts w:ascii="Calibri" w:cs="Calibri" w:eastAsia="Calibri" w:hAnsi="Calibri"/>
          <w:color w:val="1E88E5"/>
          <w:sz w:val="20"/>
          <w:szCs w:val="20"/>
        </w:rPr>
        <w:t xml:space="preserve">loi n° 2025-391 du 30 avril 2025</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règlement (UE) 2024/1689</w:t>
      </w:r>
      <w:r>
        <w:rPr>
          <w:rFonts w:ascii="Calibri" w:cs="Calibri" w:eastAsia="Calibri" w:hAnsi="Calibri"/>
          <w:color w:val="1A1A1A"/>
          <w:sz w:val="20"/>
          <w:szCs w:val="20"/>
        </w:rPr>
        <w:t xml:space="preserve"> sur l’IA).</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L’article 14 n’est pas un droit autonome.</w:t>
      </w:r>
      <w:r>
        <w:rPr>
          <w:rFonts w:ascii="Calibri" w:cs="Calibri" w:eastAsia="Calibri" w:hAnsi="Calibri"/>
          <w:color w:val="1A1A1A"/>
          <w:sz w:val="20"/>
          <w:szCs w:val="20"/>
        </w:rPr>
        <w:t xml:space="preserve"> Il ne joue que combiné avec un autre droit conventionnel, même sans violation de celui-ci : il suffit que les faits tombent « sous l’empire » de cet autre droit. L’interdiction générale figure au </w:t>
      </w:r>
      <w:r>
        <w:rPr>
          <w:rFonts w:ascii="Calibri" w:cs="Calibri" w:eastAsia="Calibri" w:hAnsi="Calibri"/>
          <w:color w:val="1E88E5"/>
          <w:sz w:val="20"/>
          <w:szCs w:val="20"/>
        </w:rPr>
        <w:t xml:space="preserve">Protocole n° 12</w:t>
      </w:r>
      <w:r>
        <w:rPr>
          <w:rFonts w:ascii="Calibri" w:cs="Calibri" w:eastAsia="Calibri" w:hAnsi="Calibri"/>
          <w:color w:val="1A1A1A"/>
          <w:sz w:val="20"/>
          <w:szCs w:val="20"/>
        </w:rPr>
        <w:t xml:space="preserve">, que la France n’a pas ratifié. Sa première application est </w:t>
      </w:r>
      <w:r>
        <w:rPr>
          <w:rFonts w:ascii="Calibri" w:cs="Calibri" w:eastAsia="Calibri" w:hAnsi="Calibri"/>
          <w:color w:val="E91E63"/>
          <w:sz w:val="20"/>
          <w:szCs w:val="20"/>
        </w:rPr>
        <w:t xml:space="preserve">Sejdić et Finci c. Bosnie-Herzégovine</w:t>
      </w:r>
      <w:r>
        <w:rPr>
          <w:rFonts w:ascii="Calibri" w:cs="Calibri" w:eastAsia="Calibri" w:hAnsi="Calibri"/>
          <w:color w:val="1A1A1A"/>
          <w:sz w:val="20"/>
          <w:szCs w:val="20"/>
        </w:rPr>
        <w:t xml:space="preserve"> (GC, 22 décembre 2009).</w:t>
      </w:r>
    </w:p>
    <w:p>
      <w:pPr>
        <w:pStyle w:val="ListParagraph"/>
        <w:numPr>
          <w:ilvl w:val="0"/>
          <w:numId w:val="2"/>
        </w:numPr>
        <w:spacing w:after="70" w:line="264"/>
        <w:jc w:val="both"/>
      </w:pPr>
      <w:r>
        <w:rPr>
          <w:rFonts w:ascii="Calibri" w:cs="Calibri" w:eastAsia="Calibri" w:hAnsi="Calibri"/>
          <w:b/>
          <w:bCs/>
          <w:color w:val="1A1A1A"/>
          <w:sz w:val="20"/>
          <w:szCs w:val="20"/>
        </w:rPr>
        <w:t xml:space="preserve">Juges internes et juges européens ne raisonnent pas de la même manière.</w:t>
      </w:r>
      <w:r>
        <w:rPr>
          <w:rFonts w:ascii="Calibri" w:cs="Calibri" w:eastAsia="Calibri" w:hAnsi="Calibri"/>
          <w:color w:val="1A1A1A"/>
          <w:sz w:val="20"/>
          <w:szCs w:val="20"/>
        </w:rPr>
        <w:t xml:space="preserve"> Pour le Conseil constitutionnel et le Conseil d’État, le principe d’égalité </w:t>
      </w:r>
      <w:r>
        <w:rPr>
          <w:rFonts w:ascii="Calibri" w:cs="Calibri" w:eastAsia="Calibri" w:hAnsi="Calibri"/>
          <w:b/>
          <w:bCs/>
          <w:color w:val="1A1A1A"/>
          <w:sz w:val="20"/>
          <w:szCs w:val="20"/>
        </w:rPr>
        <w:t xml:space="preserve">permet</w:t>
      </w:r>
      <w:r>
        <w:rPr>
          <w:rFonts w:ascii="Calibri" w:cs="Calibri" w:eastAsia="Calibri" w:hAnsi="Calibri"/>
          <w:color w:val="1A1A1A"/>
          <w:sz w:val="20"/>
          <w:szCs w:val="20"/>
        </w:rPr>
        <w:t xml:space="preserve">, sans l’</w:t>
      </w:r>
      <w:r>
        <w:rPr>
          <w:rFonts w:ascii="Calibri" w:cs="Calibri" w:eastAsia="Calibri" w:hAnsi="Calibri"/>
          <w:b/>
          <w:bCs/>
          <w:color w:val="1A1A1A"/>
          <w:sz w:val="20"/>
          <w:szCs w:val="20"/>
        </w:rPr>
        <w:t xml:space="preserve">imposer</w:t>
      </w:r>
      <w:r>
        <w:rPr>
          <w:rFonts w:ascii="Calibri" w:cs="Calibri" w:eastAsia="Calibri" w:hAnsi="Calibri"/>
          <w:color w:val="1A1A1A"/>
          <w:sz w:val="20"/>
          <w:szCs w:val="20"/>
        </w:rPr>
        <w:t xml:space="preserve">, de traiter différemment des situations différentes (</w:t>
      </w:r>
      <w:r>
        <w:rPr>
          <w:rFonts w:ascii="Calibri" w:cs="Calibri" w:eastAsia="Calibri" w:hAnsi="Calibri"/>
          <w:color w:val="E91E63"/>
          <w:sz w:val="20"/>
          <w:szCs w:val="20"/>
        </w:rPr>
        <w:t xml:space="preserve">Baxter</w:t>
      </w:r>
      <w:r>
        <w:rPr>
          <w:rFonts w:ascii="Calibri" w:cs="Calibri" w:eastAsia="Calibri" w:hAnsi="Calibri"/>
          <w:color w:val="1A1A1A"/>
          <w:sz w:val="20"/>
          <w:szCs w:val="20"/>
        </w:rPr>
        <w:t xml:space="preserve">, 1997 ; </w:t>
      </w:r>
      <w:r>
        <w:rPr>
          <w:rFonts w:ascii="Calibri" w:cs="Calibri" w:eastAsia="Calibri" w:hAnsi="Calibri"/>
          <w:color w:val="E91E63"/>
          <w:sz w:val="20"/>
          <w:szCs w:val="20"/>
        </w:rPr>
        <w:t xml:space="preserve">2006-541 DC</w:t>
      </w:r>
      <w:r>
        <w:rPr>
          <w:rFonts w:ascii="Calibri" w:cs="Calibri" w:eastAsia="Calibri" w:hAnsi="Calibri"/>
          <w:color w:val="1A1A1A"/>
          <w:sz w:val="20"/>
          <w:szCs w:val="20"/>
        </w:rPr>
        <w:t xml:space="preserve">). Pour la Cour européenne, l’absence de traitement différencié de situations sensiblement différentes peut constituer une discrimination (</w:t>
      </w:r>
      <w:r>
        <w:rPr>
          <w:rFonts w:ascii="Calibri" w:cs="Calibri" w:eastAsia="Calibri" w:hAnsi="Calibri"/>
          <w:color w:val="E91E63"/>
          <w:sz w:val="20"/>
          <w:szCs w:val="20"/>
        </w:rPr>
        <w:t xml:space="preserve">Thlimmenos c. Grèce</w:t>
      </w:r>
      <w:r>
        <w:rPr>
          <w:rFonts w:ascii="Calibri" w:cs="Calibri" w:eastAsia="Calibri" w:hAnsi="Calibri"/>
          <w:color w:val="1A1A1A"/>
          <w:sz w:val="20"/>
          <w:szCs w:val="20"/>
        </w:rPr>
        <w:t xml:space="preserve">, GC, 6 avril 2000).</w:t>
      </w:r>
    </w:p>
    <w:p>
      <w:pPr>
        <w:pStyle w:val="ListParagraph"/>
        <w:numPr>
          <w:ilvl w:val="0"/>
          <w:numId w:val="2"/>
        </w:numPr>
        <w:spacing w:after="70" w:line="264"/>
        <w:jc w:val="both"/>
      </w:pPr>
      <w:r>
        <w:rPr>
          <w:rFonts w:ascii="Calibri" w:cs="Calibri" w:eastAsia="Calibri" w:hAnsi="Calibri"/>
          <w:b/>
          <w:bCs/>
          <w:color w:val="1A1A1A"/>
          <w:sz w:val="20"/>
          <w:szCs w:val="20"/>
        </w:rPr>
        <w:t xml:space="preserve">Le Code pénal ne réprime que la discrimination directe.</w:t>
      </w:r>
      <w:r>
        <w:rPr>
          <w:rFonts w:ascii="Calibri" w:cs="Calibri" w:eastAsia="Calibri" w:hAnsi="Calibri"/>
          <w:color w:val="1A1A1A"/>
          <w:sz w:val="20"/>
          <w:szCs w:val="20"/>
        </w:rPr>
        <w:t xml:space="preserve"> Le délit de l’</w:t>
      </w:r>
      <w:r>
        <w:rPr>
          <w:rFonts w:ascii="Calibri" w:cs="Calibri" w:eastAsia="Calibri" w:hAnsi="Calibri"/>
          <w:color w:val="1E88E5"/>
          <w:sz w:val="20"/>
          <w:szCs w:val="20"/>
        </w:rPr>
        <w:t xml:space="preserve">art. 225-2 C. pén.</w:t>
      </w:r>
      <w:r>
        <w:rPr>
          <w:rFonts w:ascii="Calibri" w:cs="Calibri" w:eastAsia="Calibri" w:hAnsi="Calibri"/>
          <w:color w:val="1A1A1A"/>
          <w:sz w:val="20"/>
          <w:szCs w:val="20"/>
        </w:rPr>
        <w:t xml:space="preserve"> est puni de trois ans d’emprisonnement et 45 000 euros d’amende. La peine monte à cinq ans et 75 000 euros lorsque l’auteur est dépositaire de l’autorité publique (</w:t>
      </w:r>
      <w:r>
        <w:rPr>
          <w:rFonts w:ascii="Calibri" w:cs="Calibri" w:eastAsia="Calibri" w:hAnsi="Calibri"/>
          <w:color w:val="1E88E5"/>
          <w:sz w:val="20"/>
          <w:szCs w:val="20"/>
        </w:rPr>
        <w:t xml:space="preserve">art. 432-7 C. pén.</w:t>
      </w:r>
      <w:r>
        <w:rPr>
          <w:rFonts w:ascii="Calibri" w:cs="Calibri" w:eastAsia="Calibri" w:hAnsi="Calibri"/>
          <w:color w:val="1A1A1A"/>
          <w:sz w:val="20"/>
          <w:szCs w:val="20"/>
        </w:rPr>
        <w:t xml:space="preserve">). La discrimination indirecte relève du droit civil, du droit du travail et du droit administratif.</w:t>
      </w:r>
    </w:p>
    <w:p>
      <w:r>
        <w:br w:type="page"/>
      </w:r>
    </w:p>
    <w:p>
      <w:pPr>
        <w:pStyle w:val="Heading2"/>
        <w:spacing w:after="120" w:before="280"/>
      </w:pPr>
      <w:r>
        <w:rPr>
          <w:rFonts w:ascii="Calibri" w:cs="Calibri" w:eastAsia="Calibri" w:hAnsi="Calibri"/>
          <w:b/>
          <w:bCs/>
          <w:color w:val="1A1A1A"/>
          <w:sz w:val="24"/>
          <w:szCs w:val="24"/>
        </w:rPr>
        <w:t xml:space="preserve">1. Architecture textuelle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international</w:t>
      </w:r>
    </w:p>
    <w:p>
      <w:pPr>
        <w:pStyle w:val="ListParagraph"/>
        <w:numPr>
          <w:ilvl w:val="0"/>
          <w:numId w:val="2"/>
        </w:numPr>
        <w:spacing w:after="70" w:line="264"/>
        <w:jc w:val="both"/>
      </w:pPr>
      <w:r>
        <w:rPr>
          <w:rFonts w:ascii="Calibri" w:cs="Calibri" w:eastAsia="Calibri" w:hAnsi="Calibri"/>
          <w:color w:val="1E88E5"/>
          <w:sz w:val="20"/>
          <w:szCs w:val="20"/>
        </w:rPr>
        <w:t xml:space="preserve">art. 1er, 2 et 7 DUDH</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E88E5"/>
          <w:sz w:val="20"/>
          <w:szCs w:val="20"/>
        </w:rPr>
        <w:t xml:space="preserve">art. 2 § 1 et 26 PIDCP</w:t>
      </w:r>
      <w:r>
        <w:rPr>
          <w:rFonts w:ascii="Calibri" w:cs="Calibri" w:eastAsia="Calibri" w:hAnsi="Calibri"/>
          <w:color w:val="1A1A1A"/>
          <w:sz w:val="20"/>
          <w:szCs w:val="20"/>
        </w:rPr>
        <w:t xml:space="preserve"> : l’article 26 est une clause autonome d’égalité devant la loi. Le Pacte évoque aussi l’égalité devant la justice (</w:t>
      </w:r>
      <w:r>
        <w:rPr>
          <w:rFonts w:ascii="Calibri" w:cs="Calibri" w:eastAsia="Calibri" w:hAnsi="Calibri"/>
          <w:color w:val="1E88E5"/>
          <w:sz w:val="20"/>
          <w:szCs w:val="20"/>
        </w:rPr>
        <w:t xml:space="preserve">art. 14</w:t>
      </w:r>
      <w:r>
        <w:rPr>
          <w:rFonts w:ascii="Calibri" w:cs="Calibri" w:eastAsia="Calibri" w:hAnsi="Calibri"/>
          <w:color w:val="1A1A1A"/>
          <w:sz w:val="20"/>
          <w:szCs w:val="20"/>
        </w:rPr>
        <w:t xml:space="preserve">), entre époux (</w:t>
      </w:r>
      <w:r>
        <w:rPr>
          <w:rFonts w:ascii="Calibri" w:cs="Calibri" w:eastAsia="Calibri" w:hAnsi="Calibri"/>
          <w:color w:val="1E88E5"/>
          <w:sz w:val="20"/>
          <w:szCs w:val="20"/>
        </w:rPr>
        <w:t xml:space="preserve">art. 23</w:t>
      </w:r>
      <w:r>
        <w:rPr>
          <w:rFonts w:ascii="Calibri" w:cs="Calibri" w:eastAsia="Calibri" w:hAnsi="Calibri"/>
          <w:color w:val="1A1A1A"/>
          <w:sz w:val="20"/>
          <w:szCs w:val="20"/>
        </w:rPr>
        <w:t xml:space="preserve">), des enfants (</w:t>
      </w:r>
      <w:r>
        <w:rPr>
          <w:rFonts w:ascii="Calibri" w:cs="Calibri" w:eastAsia="Calibri" w:hAnsi="Calibri"/>
          <w:color w:val="1E88E5"/>
          <w:sz w:val="20"/>
          <w:szCs w:val="20"/>
        </w:rPr>
        <w:t xml:space="preserve">art. 24</w:t>
      </w:r>
      <w:r>
        <w:rPr>
          <w:rFonts w:ascii="Calibri" w:cs="Calibri" w:eastAsia="Calibri" w:hAnsi="Calibri"/>
          <w:color w:val="1A1A1A"/>
          <w:sz w:val="20"/>
          <w:szCs w:val="20"/>
        </w:rPr>
        <w:t xml:space="preserve">) et dans les droits politiques (</w:t>
      </w:r>
      <w:r>
        <w:rPr>
          <w:rFonts w:ascii="Calibri" w:cs="Calibri" w:eastAsia="Calibri" w:hAnsi="Calibri"/>
          <w:color w:val="1E88E5"/>
          <w:sz w:val="20"/>
          <w:szCs w:val="20"/>
        </w:rPr>
        <w:t xml:space="preserve">art. 25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Conventions spécialisées : </w:t>
      </w:r>
      <w:r>
        <w:rPr>
          <w:rFonts w:ascii="Calibri" w:cs="Calibri" w:eastAsia="Calibri" w:hAnsi="Calibri"/>
          <w:color w:val="1E88E5"/>
          <w:sz w:val="20"/>
          <w:szCs w:val="20"/>
        </w:rPr>
        <w:t xml:space="preserve">Convention sur l’élimination de toutes les formes de discrimination raciale (21 décembre 1965)</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CEDAW (18 décembre 1979)</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Convention relative aux droits des personnes handicapées (13 décembre 2006)</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conventions OIT n° 100 (1951)</w:t>
      </w:r>
      <w:r>
        <w:rPr>
          <w:rFonts w:ascii="Calibri" w:cs="Calibri" w:eastAsia="Calibri" w:hAnsi="Calibri"/>
          <w:color w:val="1A1A1A"/>
          <w:sz w:val="20"/>
          <w:szCs w:val="20"/>
        </w:rPr>
        <w:t xml:space="preserve"> (égalité de rémunération) et </w:t>
      </w:r>
      <w:r>
        <w:rPr>
          <w:rFonts w:ascii="Calibri" w:cs="Calibri" w:eastAsia="Calibri" w:hAnsi="Calibri"/>
          <w:color w:val="1E88E5"/>
          <w:sz w:val="20"/>
          <w:szCs w:val="20"/>
        </w:rPr>
        <w:t xml:space="preserve">n° 111 (1958)</w:t>
      </w:r>
      <w:r>
        <w:rPr>
          <w:rFonts w:ascii="Calibri" w:cs="Calibri" w:eastAsia="Calibri" w:hAnsi="Calibri"/>
          <w:color w:val="1A1A1A"/>
          <w:sz w:val="20"/>
          <w:szCs w:val="20"/>
        </w:rPr>
        <w:t xml:space="preserve"> (discrimination dans l’emploi).</w:t>
      </w:r>
    </w:p>
    <w:p>
      <w:pPr>
        <w:pStyle w:val="ListParagraph"/>
        <w:numPr>
          <w:ilvl w:val="0"/>
          <w:numId w:val="2"/>
        </w:numPr>
        <w:spacing w:after="70" w:line="264"/>
        <w:jc w:val="both"/>
      </w:pPr>
      <w:r>
        <w:rPr>
          <w:rFonts w:ascii="Calibri" w:cs="Calibri" w:eastAsia="Calibri" w:hAnsi="Calibri"/>
          <w:b/>
          <w:bCs/>
          <w:color w:val="1A1A1A"/>
          <w:sz w:val="20"/>
          <w:szCs w:val="20"/>
        </w:rPr>
        <w:t xml:space="preserve">Droit du Conseil de l’Europe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14 CEDH</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Protocole n° 12</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E de la Charte sociale européenne révisée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de l’Union</w:t>
      </w:r>
    </w:p>
    <w:p>
      <w:pPr>
        <w:pStyle w:val="ListParagraph"/>
        <w:numPr>
          <w:ilvl w:val="0"/>
          <w:numId w:val="2"/>
        </w:numPr>
        <w:spacing w:after="70" w:line="264"/>
        <w:jc w:val="both"/>
      </w:pPr>
      <w:r>
        <w:rPr>
          <w:rFonts w:ascii="Calibri" w:cs="Calibri" w:eastAsia="Calibri" w:hAnsi="Calibri"/>
          <w:color w:val="1A1A1A"/>
          <w:sz w:val="20"/>
          <w:szCs w:val="20"/>
        </w:rPr>
        <w:t xml:space="preserve">Traités : </w:t>
      </w:r>
      <w:r>
        <w:rPr>
          <w:rFonts w:ascii="Calibri" w:cs="Calibri" w:eastAsia="Calibri" w:hAnsi="Calibri"/>
          <w:color w:val="1E88E5"/>
          <w:sz w:val="20"/>
          <w:szCs w:val="20"/>
        </w:rPr>
        <w:t xml:space="preserve">art. 2 et 3 TUE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10, 18 et 19 TFUE</w:t>
      </w:r>
      <w:r>
        <w:rPr>
          <w:rFonts w:ascii="Calibri" w:cs="Calibri" w:eastAsia="Calibri" w:hAnsi="Calibri"/>
          <w:color w:val="1A1A1A"/>
          <w:sz w:val="20"/>
          <w:szCs w:val="20"/>
        </w:rPr>
        <w:t xml:space="preserve"> (l’article 19, issu du traité d’Amsterdam, est la base de compétence) ; </w:t>
      </w:r>
      <w:r>
        <w:rPr>
          <w:rFonts w:ascii="Calibri" w:cs="Calibri" w:eastAsia="Calibri" w:hAnsi="Calibri"/>
          <w:color w:val="1E88E5"/>
          <w:sz w:val="20"/>
          <w:szCs w:val="20"/>
        </w:rPr>
        <w:t xml:space="preserve">art. 157 TFUE</w:t>
      </w:r>
      <w:r>
        <w:rPr>
          <w:rFonts w:ascii="Calibri" w:cs="Calibri" w:eastAsia="Calibri" w:hAnsi="Calibri"/>
          <w:color w:val="1A1A1A"/>
          <w:sz w:val="20"/>
          <w:szCs w:val="20"/>
        </w:rPr>
        <w:t xml:space="preserve"> (égalité de rémunération, ex-article 119 CEE).</w:t>
      </w:r>
    </w:p>
    <w:p>
      <w:pPr>
        <w:pStyle w:val="ListParagraph"/>
        <w:numPr>
          <w:ilvl w:val="0"/>
          <w:numId w:val="2"/>
        </w:numPr>
        <w:spacing w:after="70" w:line="264"/>
        <w:jc w:val="both"/>
      </w:pPr>
      <w:r>
        <w:rPr>
          <w:rFonts w:ascii="Calibri" w:cs="Calibri" w:eastAsia="Calibri" w:hAnsi="Calibri"/>
          <w:color w:val="1A1A1A"/>
          <w:sz w:val="20"/>
          <w:szCs w:val="20"/>
        </w:rPr>
        <w:t xml:space="preserve">Charte : </w:t>
      </w:r>
      <w:r>
        <w:rPr>
          <w:rFonts w:ascii="Calibri" w:cs="Calibri" w:eastAsia="Calibri" w:hAnsi="Calibri"/>
          <w:color w:val="1E88E5"/>
          <w:sz w:val="20"/>
          <w:szCs w:val="20"/>
        </w:rPr>
        <w:t xml:space="preserve">art. 20, 21, 23 et 26 CDFUE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Directives : </w:t>
      </w:r>
      <w:r>
        <w:rPr>
          <w:rFonts w:ascii="Calibri" w:cs="Calibri" w:eastAsia="Calibri" w:hAnsi="Calibri"/>
          <w:color w:val="1E88E5"/>
          <w:sz w:val="20"/>
          <w:szCs w:val="20"/>
        </w:rPr>
        <w:t xml:space="preserve">2000/43</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2000/78</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2004/113 du 13 décembre 2004</w:t>
      </w:r>
      <w:r>
        <w:rPr>
          <w:rFonts w:ascii="Calibri" w:cs="Calibri" w:eastAsia="Calibri" w:hAnsi="Calibri"/>
          <w:color w:val="1A1A1A"/>
          <w:sz w:val="20"/>
          <w:szCs w:val="20"/>
        </w:rPr>
        <w:t xml:space="preserve"> (biens et services) ; </w:t>
      </w:r>
      <w:r>
        <w:rPr>
          <w:rFonts w:ascii="Calibri" w:cs="Calibri" w:eastAsia="Calibri" w:hAnsi="Calibri"/>
          <w:color w:val="1E88E5"/>
          <w:sz w:val="20"/>
          <w:szCs w:val="20"/>
        </w:rPr>
        <w:t xml:space="preserve">2006/54 du 5 juillet 2006</w:t>
      </w:r>
      <w:r>
        <w:rPr>
          <w:rFonts w:ascii="Calibri" w:cs="Calibri" w:eastAsia="Calibri" w:hAnsi="Calibri"/>
          <w:color w:val="1A1A1A"/>
          <w:sz w:val="20"/>
          <w:szCs w:val="20"/>
        </w:rPr>
        <w:t xml:space="preserve"> (refonte de l’égalité hommes-femmes dans l’emploi) ; </w:t>
      </w:r>
      <w:r>
        <w:rPr>
          <w:rFonts w:ascii="Calibri" w:cs="Calibri" w:eastAsia="Calibri" w:hAnsi="Calibri"/>
          <w:color w:val="1E88E5"/>
          <w:sz w:val="20"/>
          <w:szCs w:val="20"/>
        </w:rPr>
        <w:t xml:space="preserve">2023/970 du 10 mai 2023</w:t>
      </w:r>
      <w:r>
        <w:rPr>
          <w:rFonts w:ascii="Calibri" w:cs="Calibri" w:eastAsia="Calibri" w:hAnsi="Calibri"/>
          <w:color w:val="1A1A1A"/>
          <w:sz w:val="20"/>
          <w:szCs w:val="20"/>
        </w:rPr>
        <w:t xml:space="preserve"> (transparence des rémunérations).</w:t>
      </w:r>
    </w:p>
    <w:p>
      <w:pPr>
        <w:pStyle w:val="ListParagraph"/>
        <w:numPr>
          <w:ilvl w:val="0"/>
          <w:numId w:val="2"/>
        </w:numPr>
        <w:spacing w:after="70" w:line="264"/>
        <w:jc w:val="both"/>
      </w:pPr>
      <w:r>
        <w:rPr>
          <w:rFonts w:ascii="Calibri" w:cs="Calibri" w:eastAsia="Calibri" w:hAnsi="Calibri"/>
          <w:b/>
          <w:bCs/>
          <w:color w:val="1A1A1A"/>
          <w:sz w:val="20"/>
          <w:szCs w:val="20"/>
        </w:rPr>
        <w:t xml:space="preserve">Droit constitutionnel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1er, 6 et 13 DDHC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al. 3, 5 et 13 Préambule 1946</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1er Constitution</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71-1</w:t>
      </w:r>
      <w:r>
        <w:rPr>
          <w:rFonts w:ascii="Calibri" w:cs="Calibri" w:eastAsia="Calibri" w:hAnsi="Calibri"/>
          <w:color w:val="1A1A1A"/>
          <w:sz w:val="20"/>
          <w:szCs w:val="20"/>
        </w:rPr>
        <w:t xml:space="preserve"> (Défenseur des droits).</w:t>
      </w:r>
    </w:p>
    <w:p>
      <w:pPr>
        <w:pStyle w:val="ListParagraph"/>
        <w:numPr>
          <w:ilvl w:val="0"/>
          <w:numId w:val="2"/>
        </w:numPr>
        <w:spacing w:after="70" w:line="264"/>
        <w:jc w:val="both"/>
      </w:pPr>
      <w:r>
        <w:rPr>
          <w:rFonts w:ascii="Calibri" w:cs="Calibri" w:eastAsia="Calibri" w:hAnsi="Calibri"/>
          <w:b/>
          <w:bCs/>
          <w:color w:val="1A1A1A"/>
          <w:sz w:val="20"/>
          <w:szCs w:val="20"/>
        </w:rPr>
        <w:t xml:space="preserve">Droit législatif</w:t>
      </w:r>
    </w:p>
    <w:p>
      <w:pPr>
        <w:pStyle w:val="ListParagraph"/>
        <w:numPr>
          <w:ilvl w:val="0"/>
          <w:numId w:val="2"/>
        </w:numPr>
        <w:spacing w:after="70" w:line="264"/>
        <w:jc w:val="both"/>
      </w:pPr>
      <w:r>
        <w:rPr>
          <w:rFonts w:ascii="Calibri" w:cs="Calibri" w:eastAsia="Calibri" w:hAnsi="Calibri"/>
          <w:color w:val="1A1A1A"/>
          <w:sz w:val="20"/>
          <w:szCs w:val="20"/>
        </w:rPr>
        <w:t xml:space="preserve">Texte général : </w:t>
      </w:r>
      <w:r>
        <w:rPr>
          <w:rFonts w:ascii="Calibri" w:cs="Calibri" w:eastAsia="Calibri" w:hAnsi="Calibri"/>
          <w:color w:val="1E88E5"/>
          <w:sz w:val="20"/>
          <w:szCs w:val="20"/>
        </w:rPr>
        <w:t xml:space="preserve">loi du 27 mai 2008</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Droit pénal : </w:t>
      </w:r>
      <w:r>
        <w:rPr>
          <w:rFonts w:ascii="Calibri" w:cs="Calibri" w:eastAsia="Calibri" w:hAnsi="Calibri"/>
          <w:color w:val="1E88E5"/>
          <w:sz w:val="20"/>
          <w:szCs w:val="20"/>
        </w:rPr>
        <w:t xml:space="preserve">art. 225-1 à 225-4</w:t>
      </w:r>
      <w:r>
        <w:rPr>
          <w:rFonts w:ascii="Calibri" w:cs="Calibri" w:eastAsia="Calibri" w:hAnsi="Calibri"/>
          <w:color w:val="1A1A1A"/>
          <w:sz w:val="20"/>
          <w:szCs w:val="20"/>
        </w:rPr>
        <w:t xml:space="preserve"> et </w:t>
      </w:r>
      <w:r>
        <w:rPr>
          <w:rFonts w:ascii="Calibri" w:cs="Calibri" w:eastAsia="Calibri" w:hAnsi="Calibri"/>
          <w:color w:val="1E88E5"/>
          <w:sz w:val="20"/>
          <w:szCs w:val="20"/>
        </w:rPr>
        <w:t xml:space="preserve">art. 432-7 C. pén.</w:t>
      </w:r>
    </w:p>
    <w:p>
      <w:pPr>
        <w:pStyle w:val="ListParagraph"/>
        <w:numPr>
          <w:ilvl w:val="0"/>
          <w:numId w:val="2"/>
        </w:numPr>
        <w:spacing w:after="70" w:line="264"/>
        <w:jc w:val="both"/>
      </w:pPr>
      <w:r>
        <w:rPr>
          <w:rFonts w:ascii="Calibri" w:cs="Calibri" w:eastAsia="Calibri" w:hAnsi="Calibri"/>
          <w:color w:val="1A1A1A"/>
          <w:sz w:val="20"/>
          <w:szCs w:val="20"/>
        </w:rPr>
        <w:t xml:space="preserve">Textes sectoriels : </w:t>
      </w:r>
      <w:r>
        <w:rPr>
          <w:rFonts w:ascii="Calibri" w:cs="Calibri" w:eastAsia="Calibri" w:hAnsi="Calibri"/>
          <w:color w:val="1E88E5"/>
          <w:sz w:val="20"/>
          <w:szCs w:val="20"/>
        </w:rPr>
        <w:t xml:space="preserve">art. L. 1132-1 à L. 1134-5 et L. 1142-1 C. trav.</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du 6 juillet 1989</w:t>
      </w:r>
      <w:r>
        <w:rPr>
          <w:rFonts w:ascii="Calibri" w:cs="Calibri" w:eastAsia="Calibri" w:hAnsi="Calibri"/>
          <w:color w:val="1A1A1A"/>
          <w:sz w:val="20"/>
          <w:szCs w:val="20"/>
        </w:rPr>
        <w:t xml:space="preserve"> (accès au logement locatif) ; </w:t>
      </w:r>
      <w:r>
        <w:rPr>
          <w:rFonts w:ascii="Calibri" w:cs="Calibri" w:eastAsia="Calibri" w:hAnsi="Calibri"/>
          <w:color w:val="1E88E5"/>
          <w:sz w:val="20"/>
          <w:szCs w:val="20"/>
        </w:rPr>
        <w:t xml:space="preserve">art. L. 1110-3 CSP</w:t>
      </w:r>
      <w:r>
        <w:rPr>
          <w:rFonts w:ascii="Calibri" w:cs="Calibri" w:eastAsia="Calibri" w:hAnsi="Calibri"/>
          <w:color w:val="1A1A1A"/>
          <w:sz w:val="20"/>
          <w:szCs w:val="20"/>
        </w:rPr>
        <w:t xml:space="preserve"> (accès aux soins) ; </w:t>
      </w:r>
      <w:r>
        <w:rPr>
          <w:rFonts w:ascii="Calibri" w:cs="Calibri" w:eastAsia="Calibri" w:hAnsi="Calibri"/>
          <w:color w:val="1E88E5"/>
          <w:sz w:val="20"/>
          <w:szCs w:val="20"/>
        </w:rPr>
        <w:t xml:space="preserve">art. L. 111-7 C. assur.</w:t>
      </w:r>
    </w:p>
    <w:p>
      <w:pPr>
        <w:pStyle w:val="ListParagraph"/>
        <w:numPr>
          <w:ilvl w:val="0"/>
          <w:numId w:val="2"/>
        </w:numPr>
        <w:spacing w:after="70" w:line="264"/>
        <w:jc w:val="both"/>
      </w:pPr>
      <w:r>
        <w:rPr>
          <w:rFonts w:ascii="Calibri" w:cs="Calibri" w:eastAsia="Calibri" w:hAnsi="Calibri"/>
          <w:b/>
          <w:bCs/>
          <w:color w:val="1A1A1A"/>
          <w:sz w:val="20"/>
          <w:szCs w:val="20"/>
        </w:rPr>
        <w:t xml:space="preserve">Lecture à retenir</w:t>
      </w:r>
      <w:r>
        <w:rPr>
          <w:rFonts w:ascii="Calibri" w:cs="Calibri" w:eastAsia="Calibri" w:hAnsi="Calibri"/>
          <w:color w:val="1A1A1A"/>
          <w:sz w:val="20"/>
          <w:szCs w:val="20"/>
        </w:rPr>
        <w:t xml:space="preserve"> : le droit français a longtemps protégé l’égalité par des </w:t>
      </w:r>
      <w:r>
        <w:rPr>
          <w:rFonts w:ascii="Calibri" w:cs="Calibri" w:eastAsia="Calibri" w:hAnsi="Calibri"/>
          <w:b/>
          <w:bCs/>
          <w:color w:val="1A1A1A"/>
          <w:sz w:val="20"/>
          <w:szCs w:val="20"/>
        </w:rPr>
        <w:t xml:space="preserve">principes jurisprudentiels</w:t>
      </w:r>
      <w:r>
        <w:rPr>
          <w:rFonts w:ascii="Calibri" w:cs="Calibri" w:eastAsia="Calibri" w:hAnsi="Calibri"/>
          <w:color w:val="1A1A1A"/>
          <w:sz w:val="20"/>
          <w:szCs w:val="20"/>
        </w:rPr>
        <w:t xml:space="preserve"> (principes généraux du droit, décisions du Conseil constitutionnel). Le droit de la non-discrimination lui a été apporté de l’extérieur, par la </w:t>
      </w:r>
      <w:r>
        <w:rPr>
          <w:rFonts w:ascii="Calibri" w:cs="Calibri" w:eastAsia="Calibri" w:hAnsi="Calibri"/>
          <w:b/>
          <w:bCs/>
          <w:color w:val="1A1A1A"/>
          <w:sz w:val="20"/>
          <w:szCs w:val="20"/>
        </w:rPr>
        <w:t xml:space="preserve">transposition des directives</w:t>
      </w:r>
      <w:r>
        <w:rPr>
          <w:rFonts w:ascii="Calibri" w:cs="Calibri" w:eastAsia="Calibri" w:hAnsi="Calibri"/>
          <w:color w:val="1A1A1A"/>
          <w:sz w:val="20"/>
          <w:szCs w:val="20"/>
        </w:rPr>
        <w:t xml:space="preserve">, sur le modèle du </w:t>
      </w:r>
      <w:r>
        <w:rPr>
          <w:rFonts w:ascii="Calibri" w:cs="Calibri" w:eastAsia="Calibri" w:hAnsi="Calibri"/>
          <w:i/>
          <w:iCs/>
          <w:color w:val="1A1A1A"/>
          <w:sz w:val="20"/>
          <w:szCs w:val="20"/>
        </w:rPr>
        <w:t xml:space="preserve">disparate impact</w:t>
      </w:r>
      <w:r>
        <w:rPr>
          <w:rFonts w:ascii="Calibri" w:cs="Calibri" w:eastAsia="Calibri" w:hAnsi="Calibri"/>
          <w:color w:val="1A1A1A"/>
          <w:sz w:val="20"/>
          <w:szCs w:val="20"/>
        </w:rPr>
        <w:t xml:space="preserve"> américain (</w:t>
      </w:r>
      <w:r>
        <w:rPr>
          <w:rFonts w:ascii="Calibri" w:cs="Calibri" w:eastAsia="Calibri" w:hAnsi="Calibri"/>
          <w:color w:val="E91E63"/>
          <w:sz w:val="20"/>
          <w:szCs w:val="20"/>
        </w:rPr>
        <w:t xml:space="preserve">Cour suprême des États-Unis, Griggs v. Duke Power Co., 1971</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2. Les notions</w:t>
      </w:r>
    </w:p>
    <w:p>
      <w:pPr>
        <w:pStyle w:val="Heading3"/>
        <w:spacing w:after="90" w:before="200"/>
      </w:pPr>
      <w:r>
        <w:rPr>
          <w:rFonts w:ascii="Calibri" w:cs="Calibri" w:eastAsia="Calibri" w:hAnsi="Calibri"/>
          <w:b/>
          <w:bCs/>
          <w:i/>
          <w:iCs/>
          <w:color w:val="5A5A5A"/>
          <w:sz w:val="21"/>
          <w:szCs w:val="21"/>
        </w:rPr>
        <w:t xml:space="preserve">2.1. Les formes de discrimination</w:t>
      </w:r>
    </w:p>
    <w:p>
      <w:pPr>
        <w:pStyle w:val="ListParagraph"/>
        <w:numPr>
          <w:ilvl w:val="0"/>
          <w:numId w:val="2"/>
        </w:numPr>
        <w:spacing w:after="70" w:line="264"/>
        <w:jc w:val="both"/>
      </w:pPr>
      <w:r>
        <w:rPr>
          <w:rFonts w:ascii="Calibri" w:cs="Calibri" w:eastAsia="Calibri" w:hAnsi="Calibri"/>
          <w:b/>
          <w:bCs/>
          <w:color w:val="1A1A1A"/>
          <w:sz w:val="20"/>
          <w:szCs w:val="20"/>
        </w:rPr>
        <w:t xml:space="preserve">Directe et indirecte</w:t>
      </w:r>
      <w:r>
        <w:rPr>
          <w:rFonts w:ascii="Calibri" w:cs="Calibri" w:eastAsia="Calibri" w:hAnsi="Calibri"/>
          <w:color w:val="1A1A1A"/>
          <w:sz w:val="20"/>
          <w:szCs w:val="20"/>
        </w:rPr>
        <w:t xml:space="preserve"> : les définitions sont posées par l’</w:t>
      </w:r>
      <w:r>
        <w:rPr>
          <w:rFonts w:ascii="Calibri" w:cs="Calibri" w:eastAsia="Calibri" w:hAnsi="Calibri"/>
          <w:color w:val="1E88E5"/>
          <w:sz w:val="20"/>
          <w:szCs w:val="20"/>
        </w:rPr>
        <w:t xml:space="preserve">art. 1er de la loi de 2008</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La notion de discrimination indirecte vient de la Cour de justice, qui sanctionnait déjà en 1974 un critère de résidence masquant la nationalité (</w:t>
      </w:r>
      <w:r>
        <w:rPr>
          <w:rFonts w:ascii="Calibri" w:cs="Calibri" w:eastAsia="Calibri" w:hAnsi="Calibri"/>
          <w:color w:val="E91E63"/>
          <w:sz w:val="20"/>
          <w:szCs w:val="20"/>
        </w:rPr>
        <w:t xml:space="preserve">CJCE, 12 février 1974, Sotgiu, aff. 152/73</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L’arrêt fondateur en matière de sexe vise le travail à temps partiel, majoritairement féminin (</w:t>
      </w:r>
      <w:r>
        <w:rPr>
          <w:rFonts w:ascii="Calibri" w:cs="Calibri" w:eastAsia="Calibri" w:hAnsi="Calibri"/>
          <w:color w:val="E91E63"/>
          <w:sz w:val="20"/>
          <w:szCs w:val="20"/>
        </w:rPr>
        <w:t xml:space="preserve">CJCE, 13 mai 1986, Bilka, aff. 170/84</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Strasbourg admet la notion dès 2001, en exigeant toutefois plus que des statistiques (</w:t>
      </w:r>
      <w:r>
        <w:rPr>
          <w:rFonts w:ascii="Calibri" w:cs="Calibri" w:eastAsia="Calibri" w:hAnsi="Calibri"/>
          <w:color w:val="E91E63"/>
          <w:sz w:val="20"/>
          <w:szCs w:val="20"/>
        </w:rPr>
        <w:t xml:space="preserve">CEDH, 4 mai 2001, Hugh Jordan c. Royaume-Uni</w:t>
      </w:r>
      <w:r>
        <w:rPr>
          <w:rFonts w:ascii="Calibri" w:cs="Calibri" w:eastAsia="Calibri" w:hAnsi="Calibri"/>
          <w:color w:val="1A1A1A"/>
          <w:sz w:val="20"/>
          <w:szCs w:val="20"/>
        </w:rPr>
        <w:t xml:space="preserve">), puis la consacre pleinement en 2007 (</w:t>
      </w:r>
      <w:r>
        <w:rPr>
          <w:rFonts w:ascii="Calibri" w:cs="Calibri" w:eastAsia="Calibri" w:hAnsi="Calibri"/>
          <w:color w:val="E91E63"/>
          <w:sz w:val="20"/>
          <w:szCs w:val="20"/>
        </w:rPr>
        <w:t xml:space="preserve">D.H.</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Assimilées à des discriminations</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1er loi 2008</w:t>
      </w:r>
      <w:r>
        <w:rPr>
          <w:rFonts w:ascii="Calibri" w:cs="Calibri" w:eastAsia="Calibri" w:hAnsi="Calibri"/>
          <w:color w:val="1A1A1A"/>
          <w:sz w:val="20"/>
          <w:szCs w:val="20"/>
        </w:rPr>
        <w:t xml:space="preserve">) : le harcèlement lié à un critère prohibé et l’injonction de discriminer.</w:t>
      </w:r>
    </w:p>
    <w:p>
      <w:pPr>
        <w:pStyle w:val="ListParagraph"/>
        <w:numPr>
          <w:ilvl w:val="0"/>
          <w:numId w:val="2"/>
        </w:numPr>
        <w:spacing w:after="70" w:line="264"/>
        <w:jc w:val="both"/>
      </w:pPr>
      <w:r>
        <w:rPr>
          <w:rFonts w:ascii="Calibri" w:cs="Calibri" w:eastAsia="Calibri" w:hAnsi="Calibri"/>
          <w:b/>
          <w:bCs/>
          <w:color w:val="1A1A1A"/>
          <w:sz w:val="20"/>
          <w:szCs w:val="20"/>
        </w:rPr>
        <w:t xml:space="preserve">Discrimination par association</w:t>
      </w:r>
      <w:r>
        <w:rPr>
          <w:rFonts w:ascii="Calibri" w:cs="Calibri" w:eastAsia="Calibri" w:hAnsi="Calibri"/>
          <w:color w:val="1A1A1A"/>
          <w:sz w:val="20"/>
          <w:szCs w:val="20"/>
        </w:rPr>
        <w:t xml:space="preserve"> : la victime ne présente pas elle-même le critère. Elle est désavantagée en raison du handicap ou de l’origine d’un proche.</w:t>
      </w:r>
    </w:p>
    <w:p>
      <w:pPr>
        <w:pStyle w:val="ListParagraph"/>
        <w:numPr>
          <w:ilvl w:val="0"/>
          <w:numId w:val="2"/>
        </w:numPr>
        <w:spacing w:after="70" w:line="264"/>
        <w:jc w:val="both"/>
      </w:pPr>
      <w:r>
        <w:rPr>
          <w:rFonts w:ascii="Calibri" w:cs="Calibri" w:eastAsia="Calibri" w:hAnsi="Calibri"/>
          <w:color w:val="1A1A1A"/>
          <w:sz w:val="20"/>
          <w:szCs w:val="20"/>
        </w:rPr>
        <w:t xml:space="preserve">Arrêt fondateur : la mère d’un enfant handicapé (</w:t>
      </w:r>
      <w:r>
        <w:rPr>
          <w:rFonts w:ascii="Calibri" w:cs="Calibri" w:eastAsia="Calibri" w:hAnsi="Calibri"/>
          <w:color w:val="E91E63"/>
          <w:sz w:val="20"/>
          <w:szCs w:val="20"/>
        </w:rPr>
        <w:t xml:space="preserve">CJCE, 17 juillet 2008, Coleman, C-303/06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Extension en 2025 à la discrimination indirecte, avec une </w:t>
      </w:r>
      <w:r>
        <w:rPr>
          <w:rFonts w:ascii="Calibri" w:cs="Calibri" w:eastAsia="Calibri" w:hAnsi="Calibri"/>
          <w:b/>
          <w:bCs/>
          <w:color w:val="1A1A1A"/>
          <w:sz w:val="20"/>
          <w:szCs w:val="20"/>
        </w:rPr>
        <w:t xml:space="preserve">obligation d’aménagement raisonnable</w:t>
      </w:r>
      <w:r>
        <w:rPr>
          <w:rFonts w:ascii="Calibri" w:cs="Calibri" w:eastAsia="Calibri" w:hAnsi="Calibri"/>
          <w:color w:val="1A1A1A"/>
          <w:sz w:val="20"/>
          <w:szCs w:val="20"/>
        </w:rPr>
        <w:t xml:space="preserve"> au profit du salarié aidant (</w:t>
      </w:r>
      <w:r>
        <w:rPr>
          <w:rFonts w:ascii="Calibri" w:cs="Calibri" w:eastAsia="Calibri" w:hAnsi="Calibri"/>
          <w:color w:val="E91E63"/>
          <w:sz w:val="20"/>
          <w:szCs w:val="20"/>
        </w:rPr>
        <w:t xml:space="preserve">CJUE, 11 septembre 2025, Bervidi, C-38/24</w:t>
      </w:r>
      <w:r>
        <w:rPr>
          <w:rFonts w:ascii="Calibri" w:cs="Calibri" w:eastAsia="Calibri" w:hAnsi="Calibri"/>
          <w:color w:val="1A1A1A"/>
          <w:sz w:val="20"/>
          <w:szCs w:val="20"/>
        </w:rPr>
        <w:t xml:space="preserve"> : horaires fixes pour s’occuper d’un enfant gravement handicapé, sauf charge disproportionnée pour l’employeur).</w:t>
      </w:r>
    </w:p>
    <w:p>
      <w:pPr>
        <w:pStyle w:val="ListParagraph"/>
        <w:numPr>
          <w:ilvl w:val="0"/>
          <w:numId w:val="2"/>
        </w:numPr>
        <w:spacing w:after="70" w:line="264"/>
        <w:jc w:val="both"/>
      </w:pPr>
      <w:r>
        <w:rPr>
          <w:rFonts w:ascii="Calibri" w:cs="Calibri" w:eastAsia="Calibri" w:hAnsi="Calibri"/>
          <w:b/>
          <w:bCs/>
          <w:color w:val="1A1A1A"/>
          <w:sz w:val="20"/>
          <w:szCs w:val="20"/>
        </w:rPr>
        <w:t xml:space="preserve">Discrimination multiple ou intersectionnelle</w:t>
      </w:r>
      <w:r>
        <w:rPr>
          <w:rFonts w:ascii="Calibri" w:cs="Calibri" w:eastAsia="Calibri" w:hAnsi="Calibri"/>
          <w:color w:val="1A1A1A"/>
          <w:sz w:val="20"/>
          <w:szCs w:val="20"/>
        </w:rPr>
        <w:t xml:space="preserve"> : le concept est forgé par </w:t>
      </w:r>
      <w:r>
        <w:rPr>
          <w:rFonts w:ascii="Calibri" w:cs="Calibri" w:eastAsia="Calibri" w:hAnsi="Calibri"/>
          <w:color w:val="2E7D32"/>
          <w:sz w:val="20"/>
          <w:szCs w:val="20"/>
        </w:rPr>
        <w:t xml:space="preserve">Kimberlé Crenshaw</w:t>
      </w:r>
      <w:r>
        <w:rPr>
          <w:rFonts w:ascii="Calibri" w:cs="Calibri" w:eastAsia="Calibri" w:hAnsi="Calibri"/>
          <w:color w:val="1A1A1A"/>
          <w:sz w:val="20"/>
          <w:szCs w:val="20"/>
        </w:rPr>
        <w:t xml:space="preserve"> (1989) à propos des femmes noires, invisibles tant dans le droit antiraciste que dans le droit antisexiste.</w:t>
      </w:r>
    </w:p>
    <w:p>
      <w:pPr>
        <w:pStyle w:val="ListParagraph"/>
        <w:numPr>
          <w:ilvl w:val="0"/>
          <w:numId w:val="2"/>
        </w:numPr>
        <w:spacing w:after="70" w:line="264"/>
        <w:jc w:val="both"/>
      </w:pPr>
      <w:r>
        <w:rPr>
          <w:rFonts w:ascii="Calibri" w:cs="Calibri" w:eastAsia="Calibri" w:hAnsi="Calibri"/>
          <w:b/>
          <w:bCs/>
          <w:color w:val="1A1A1A"/>
          <w:sz w:val="20"/>
          <w:szCs w:val="20"/>
        </w:rPr>
        <w:t xml:space="preserve">Critère de substitution (proxy)</w:t>
      </w:r>
      <w:r>
        <w:rPr>
          <w:rFonts w:ascii="Calibri" w:cs="Calibri" w:eastAsia="Calibri" w:hAnsi="Calibri"/>
          <w:color w:val="1A1A1A"/>
          <w:sz w:val="20"/>
          <w:szCs w:val="20"/>
        </w:rPr>
        <w:t xml:space="preserve"> : un critère neutre (nationalité, pays d’origine, code postal) peut servir de substitut à l’origine ethnique.</w:t>
      </w:r>
    </w:p>
    <w:p>
      <w:pPr>
        <w:pStyle w:val="ListParagraph"/>
        <w:numPr>
          <w:ilvl w:val="0"/>
          <w:numId w:val="2"/>
        </w:numPr>
        <w:spacing w:after="70" w:line="264"/>
        <w:jc w:val="both"/>
      </w:pPr>
      <w:r>
        <w:rPr>
          <w:rFonts w:ascii="Calibri" w:cs="Calibri" w:eastAsia="Calibri" w:hAnsi="Calibri"/>
          <w:color w:val="1A1A1A"/>
          <w:sz w:val="20"/>
          <w:szCs w:val="20"/>
        </w:rPr>
        <w:t xml:space="preserve">La loi danoise sur les quartiers dits « ghettos » prévoyait la réduction des logements sociaux dans les zones comptant plus de 50 % d’immigrés « non occidentaux » et de leurs descendants. Le juge national doit rechercher si ce critère révèle une discrimination directe ou indirecte, et en contrôler strictement la justification au regard du droit au domicile (</w:t>
      </w:r>
      <w:r>
        <w:rPr>
          <w:rFonts w:ascii="Calibri" w:cs="Calibri" w:eastAsia="Calibri" w:hAnsi="Calibri"/>
          <w:color w:val="E91E63"/>
          <w:sz w:val="20"/>
          <w:szCs w:val="20"/>
        </w:rPr>
        <w:t xml:space="preserve">CJUE [GC], 18 décembre 2025, Slagelse Almennyttige Boligselskab, C-417/23</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2.2. Les critères prohibés</w:t>
      </w:r>
    </w:p>
    <w:p>
      <w:pPr>
        <w:pStyle w:val="ListParagraph"/>
        <w:numPr>
          <w:ilvl w:val="0"/>
          <w:numId w:val="2"/>
        </w:numPr>
        <w:spacing w:after="70" w:line="264"/>
        <w:jc w:val="both"/>
      </w:pPr>
      <w:r>
        <w:rPr>
          <w:rFonts w:ascii="Calibri" w:cs="Calibri" w:eastAsia="Calibri" w:hAnsi="Calibri"/>
          <w:b/>
          <w:bCs/>
          <w:color w:val="1A1A1A"/>
          <w:sz w:val="20"/>
          <w:szCs w:val="20"/>
        </w:rPr>
        <w:t xml:space="preserve">En droit français, une liste fermée mais toujours plus longue</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225-1 C. pén.</w:t>
      </w:r>
      <w:r>
        <w:rPr>
          <w:rFonts w:ascii="Calibri" w:cs="Calibri" w:eastAsia="Calibri" w:hAnsi="Calibri"/>
          <w:color w:val="1A1A1A"/>
          <w:sz w:val="20"/>
          <w:szCs w:val="20"/>
        </w:rPr>
        <w:t xml:space="preserve"> énumère plus de vingt-cinq critères. Les ajouts récents :</w:t>
      </w:r>
    </w:p>
    <w:p>
      <w:pPr>
        <w:pStyle w:val="ListParagraph"/>
        <w:numPr>
          <w:ilvl w:val="0"/>
          <w:numId w:val="2"/>
        </w:numPr>
        <w:spacing w:after="70" w:line="264"/>
        <w:jc w:val="both"/>
      </w:pPr>
      <w:r>
        <w:rPr>
          <w:rFonts w:ascii="Calibri" w:cs="Calibri" w:eastAsia="Calibri" w:hAnsi="Calibri"/>
          <w:color w:val="1A1A1A"/>
          <w:sz w:val="20"/>
          <w:szCs w:val="20"/>
        </w:rPr>
        <w:t xml:space="preserve">— la « particulière vulnérabilité résultant de sa situation économique » (</w:t>
      </w:r>
      <w:r>
        <w:rPr>
          <w:rFonts w:ascii="Calibri" w:cs="Calibri" w:eastAsia="Calibri" w:hAnsi="Calibri"/>
          <w:color w:val="1E88E5"/>
          <w:sz w:val="20"/>
          <w:szCs w:val="20"/>
        </w:rPr>
        <w:t xml:space="preserve">loi n° 2016-832 du 24 juin 2016</w:t>
      </w:r>
      <w:r>
        <w:rPr>
          <w:rFonts w:ascii="Calibri" w:cs="Calibri" w:eastAsia="Calibri" w:hAnsi="Calibri"/>
          <w:color w:val="1A1A1A"/>
          <w:sz w:val="20"/>
          <w:szCs w:val="20"/>
        </w:rPr>
        <w:t xml:space="preserve">, discrimination pour précarité sociale) ;</w:t>
      </w:r>
    </w:p>
    <w:p>
      <w:pPr>
        <w:pStyle w:val="ListParagraph"/>
        <w:numPr>
          <w:ilvl w:val="0"/>
          <w:numId w:val="2"/>
        </w:numPr>
        <w:spacing w:after="70" w:line="264"/>
        <w:jc w:val="both"/>
      </w:pPr>
      <w:r>
        <w:rPr>
          <w:rFonts w:ascii="Calibri" w:cs="Calibri" w:eastAsia="Calibri" w:hAnsi="Calibri"/>
          <w:color w:val="1A1A1A"/>
          <w:sz w:val="20"/>
          <w:szCs w:val="20"/>
        </w:rPr>
        <w:t xml:space="preserve">— la capacité à s’exprimer dans une langue autre que le français et la domiciliation bancaire (</w:t>
      </w:r>
      <w:r>
        <w:rPr>
          <w:rFonts w:ascii="Calibri" w:cs="Calibri" w:eastAsia="Calibri" w:hAnsi="Calibri"/>
          <w:color w:val="1E88E5"/>
          <w:sz w:val="20"/>
          <w:szCs w:val="20"/>
        </w:rPr>
        <w:t xml:space="preserve">loi du 18 novembre 2016</w:t>
      </w:r>
      <w:r>
        <w:rPr>
          <w:rFonts w:ascii="Calibri" w:cs="Calibri" w:eastAsia="Calibri" w:hAnsi="Calibri"/>
          <w:color w:val="1A1A1A"/>
          <w:sz w:val="20"/>
          <w:szCs w:val="20"/>
        </w:rPr>
        <w:t xml:space="preserve">) ;</w:t>
      </w:r>
    </w:p>
    <w:p>
      <w:pPr>
        <w:pStyle w:val="ListParagraph"/>
        <w:numPr>
          <w:ilvl w:val="0"/>
          <w:numId w:val="2"/>
        </w:numPr>
        <w:spacing w:after="70" w:line="264"/>
        <w:jc w:val="both"/>
      </w:pPr>
      <w:r>
        <w:rPr>
          <w:rFonts w:ascii="Calibri" w:cs="Calibri" w:eastAsia="Calibri" w:hAnsi="Calibri"/>
          <w:color w:val="1A1A1A"/>
          <w:sz w:val="20"/>
          <w:szCs w:val="20"/>
        </w:rPr>
        <w:t xml:space="preserve">— la qualité de lanceur d’alerte (</w:t>
      </w:r>
      <w:r>
        <w:rPr>
          <w:rFonts w:ascii="Calibri" w:cs="Calibri" w:eastAsia="Calibri" w:hAnsi="Calibri"/>
          <w:color w:val="1E88E5"/>
          <w:sz w:val="20"/>
          <w:szCs w:val="20"/>
        </w:rPr>
        <w:t xml:space="preserve">loi du 21 mars 2022</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En droit de l’Union, une liste fermée par directive.</w:t>
      </w:r>
      <w:r>
        <w:rPr>
          <w:rFonts w:ascii="Calibri" w:cs="Calibri" w:eastAsia="Calibri" w:hAnsi="Calibri"/>
          <w:color w:val="1A1A1A"/>
          <w:sz w:val="20"/>
          <w:szCs w:val="20"/>
        </w:rPr>
        <w:t xml:space="preserve"> La Cour refuse d’étendre le champ d’application des directives par analogie : l’obésité n’est pas un motif autonome, mais peut constituer un handicap (</w:t>
      </w:r>
      <w:r>
        <w:rPr>
          <w:rFonts w:ascii="Calibri" w:cs="Calibri" w:eastAsia="Calibri" w:hAnsi="Calibri"/>
          <w:color w:val="E91E63"/>
          <w:sz w:val="20"/>
          <w:szCs w:val="20"/>
        </w:rPr>
        <w:t xml:space="preserve">CJUE, 18 décembre 2014, Kaltoft, C-354/13</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En droit de la Convention, une liste ouverte</w:t>
      </w:r>
      <w:r>
        <w:rPr>
          <w:rFonts w:ascii="Calibri" w:cs="Calibri" w:eastAsia="Calibri" w:hAnsi="Calibri"/>
          <w:color w:val="1A1A1A"/>
          <w:sz w:val="20"/>
          <w:szCs w:val="20"/>
        </w:rPr>
        <w:t xml:space="preserve">, introduite par le mot « notamment » (</w:t>
      </w:r>
      <w:r>
        <w:rPr>
          <w:rFonts w:ascii="Calibri" w:cs="Calibri" w:eastAsia="Calibri" w:hAnsi="Calibri"/>
          <w:color w:val="E91E63"/>
          <w:sz w:val="20"/>
          <w:szCs w:val="20"/>
        </w:rPr>
        <w:t xml:space="preserve">CEDH [GC], 16 mars 2010, Carson c. Royaume-Uni, n° 42184/05</w:t>
      </w:r>
      <w:r>
        <w:rPr>
          <w:rFonts w:ascii="Calibri" w:cs="Calibri" w:eastAsia="Calibri" w:hAnsi="Calibri"/>
          <w:color w:val="1A1A1A"/>
          <w:sz w:val="20"/>
          <w:szCs w:val="20"/>
        </w:rPr>
        <w:t xml:space="preserve"> : la résidence à l’étranger est une « autre situation »).</w:t>
      </w:r>
    </w:p>
    <w:p>
      <w:pPr>
        <w:pStyle w:val="Heading3"/>
        <w:spacing w:after="90" w:before="200"/>
      </w:pPr>
      <w:r>
        <w:rPr>
          <w:rFonts w:ascii="Calibri" w:cs="Calibri" w:eastAsia="Calibri" w:hAnsi="Calibri"/>
          <w:b/>
          <w:bCs/>
          <w:i/>
          <w:iCs/>
          <w:color w:val="5A5A5A"/>
          <w:sz w:val="21"/>
          <w:szCs w:val="21"/>
        </w:rPr>
        <w:t xml:space="preserve">2.3. La grille de contrôle européenne</w:t>
      </w:r>
    </w:p>
    <w:p>
      <w:pPr>
        <w:pStyle w:val="ListParagraph"/>
        <w:numPr>
          <w:ilvl w:val="0"/>
          <w:numId w:val="2"/>
        </w:numPr>
        <w:spacing w:after="70" w:line="264"/>
        <w:jc w:val="both"/>
      </w:pPr>
      <w:r>
        <w:rPr>
          <w:rFonts w:ascii="Calibri" w:cs="Calibri" w:eastAsia="Calibri" w:hAnsi="Calibri"/>
          <w:b/>
          <w:bCs/>
          <w:color w:val="1A1A1A"/>
          <w:sz w:val="20"/>
          <w:szCs w:val="20"/>
        </w:rPr>
        <w:t xml:space="preserve">Les deux étapes</w:t>
      </w:r>
    </w:p>
    <w:p>
      <w:pPr>
        <w:pStyle w:val="ListParagraph"/>
        <w:numPr>
          <w:ilvl w:val="0"/>
          <w:numId w:val="2"/>
        </w:numPr>
        <w:spacing w:after="70" w:line="264"/>
        <w:jc w:val="both"/>
      </w:pPr>
      <w:r>
        <w:rPr>
          <w:rFonts w:ascii="Calibri" w:cs="Calibri" w:eastAsia="Calibri" w:hAnsi="Calibri"/>
          <w:color w:val="1A1A1A"/>
          <w:sz w:val="20"/>
          <w:szCs w:val="20"/>
        </w:rPr>
        <w:t xml:space="preserve">1° Une différence de traitement entre personnes placées dans des situations analogues ou comparables.</w:t>
      </w:r>
    </w:p>
    <w:p>
      <w:pPr>
        <w:pStyle w:val="ListParagraph"/>
        <w:numPr>
          <w:ilvl w:val="0"/>
          <w:numId w:val="2"/>
        </w:numPr>
        <w:spacing w:after="70" w:line="264"/>
        <w:jc w:val="both"/>
      </w:pPr>
      <w:r>
        <w:rPr>
          <w:rFonts w:ascii="Calibri" w:cs="Calibri" w:eastAsia="Calibri" w:hAnsi="Calibri"/>
          <w:color w:val="1A1A1A"/>
          <w:sz w:val="20"/>
          <w:szCs w:val="20"/>
        </w:rPr>
        <w:t xml:space="preserve">2° L’absence de justification objective et raisonnable, c’est-à-dire de but légitime ou de rapport raisonnable de proportionnalité entre les moyens et le but (</w:t>
      </w:r>
      <w:r>
        <w:rPr>
          <w:rFonts w:ascii="Calibri" w:cs="Calibri" w:eastAsia="Calibri" w:hAnsi="Calibri"/>
          <w:color w:val="E91E63"/>
          <w:sz w:val="20"/>
          <w:szCs w:val="20"/>
        </w:rPr>
        <w:t xml:space="preserve">CEDH, 23 juillet 1968, Affaire linguistique belge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Des « considérations très fortes » sont exigées</w:t>
      </w:r>
      <w:r>
        <w:rPr>
          <w:rFonts w:ascii="Calibri" w:cs="Calibri" w:eastAsia="Calibri" w:hAnsi="Calibri"/>
          <w:color w:val="1A1A1A"/>
          <w:sz w:val="20"/>
          <w:szCs w:val="20"/>
        </w:rPr>
        <w:t xml:space="preserve"> pour certains critères :</w:t>
      </w:r>
    </w:p>
    <w:p>
      <w:pPr>
        <w:pStyle w:val="ListParagraph"/>
        <w:numPr>
          <w:ilvl w:val="0"/>
          <w:numId w:val="2"/>
        </w:numPr>
        <w:spacing w:after="70" w:line="264"/>
        <w:jc w:val="both"/>
      </w:pPr>
      <w:r>
        <w:rPr>
          <w:rFonts w:ascii="Calibri" w:cs="Calibri" w:eastAsia="Calibri" w:hAnsi="Calibri"/>
          <w:color w:val="1A1A1A"/>
          <w:sz w:val="20"/>
          <w:szCs w:val="20"/>
        </w:rPr>
        <w:t xml:space="preserve">— le sexe (</w:t>
      </w:r>
      <w:r>
        <w:rPr>
          <w:rFonts w:ascii="Calibri" w:cs="Calibri" w:eastAsia="Calibri" w:hAnsi="Calibri"/>
          <w:color w:val="E91E63"/>
          <w:sz w:val="20"/>
          <w:szCs w:val="20"/>
        </w:rPr>
        <w:t xml:space="preserve">Abdulaziz, Cabales et Balkandali c. Royaume-Uni</w:t>
      </w:r>
      <w:r>
        <w:rPr>
          <w:rFonts w:ascii="Calibri" w:cs="Calibri" w:eastAsia="Calibri" w:hAnsi="Calibri"/>
          <w:color w:val="1A1A1A"/>
          <w:sz w:val="20"/>
          <w:szCs w:val="20"/>
        </w:rPr>
        <w:t xml:space="preserve">, 28 mai 1985) ;</w:t>
      </w:r>
    </w:p>
    <w:p>
      <w:pPr>
        <w:pStyle w:val="ListParagraph"/>
        <w:numPr>
          <w:ilvl w:val="0"/>
          <w:numId w:val="2"/>
        </w:numPr>
        <w:spacing w:after="70" w:line="264"/>
        <w:jc w:val="both"/>
      </w:pPr>
      <w:r>
        <w:rPr>
          <w:rFonts w:ascii="Calibri" w:cs="Calibri" w:eastAsia="Calibri" w:hAnsi="Calibri"/>
          <w:color w:val="1A1A1A"/>
          <w:sz w:val="20"/>
          <w:szCs w:val="20"/>
        </w:rPr>
        <w:t xml:space="preserve">— la naissance hors mariage (</w:t>
      </w:r>
      <w:r>
        <w:rPr>
          <w:rFonts w:ascii="Calibri" w:cs="Calibri" w:eastAsia="Calibri" w:hAnsi="Calibri"/>
          <w:color w:val="E91E63"/>
          <w:sz w:val="20"/>
          <w:szCs w:val="20"/>
        </w:rPr>
        <w:t xml:space="preserve">Mazurek c. France</w:t>
      </w:r>
      <w:r>
        <w:rPr>
          <w:rFonts w:ascii="Calibri" w:cs="Calibri" w:eastAsia="Calibri" w:hAnsi="Calibri"/>
          <w:color w:val="1A1A1A"/>
          <w:sz w:val="20"/>
          <w:szCs w:val="20"/>
        </w:rPr>
        <w:t xml:space="preserve">, 1er février 2000) ;</w:t>
      </w:r>
    </w:p>
    <w:p>
      <w:pPr>
        <w:pStyle w:val="ListParagraph"/>
        <w:numPr>
          <w:ilvl w:val="0"/>
          <w:numId w:val="2"/>
        </w:numPr>
        <w:spacing w:after="70" w:line="264"/>
        <w:jc w:val="both"/>
      </w:pPr>
      <w:r>
        <w:rPr>
          <w:rFonts w:ascii="Calibri" w:cs="Calibri" w:eastAsia="Calibri" w:hAnsi="Calibri"/>
          <w:color w:val="1A1A1A"/>
          <w:sz w:val="20"/>
          <w:szCs w:val="20"/>
        </w:rPr>
        <w:t xml:space="preserve">— la nationalité (</w:t>
      </w:r>
      <w:r>
        <w:rPr>
          <w:rFonts w:ascii="Calibri" w:cs="Calibri" w:eastAsia="Calibri" w:hAnsi="Calibri"/>
          <w:color w:val="E91E63"/>
          <w:sz w:val="20"/>
          <w:szCs w:val="20"/>
        </w:rPr>
        <w:t xml:space="preserve">Gaygusuz c. Autriche</w:t>
      </w:r>
      <w:r>
        <w:rPr>
          <w:rFonts w:ascii="Calibri" w:cs="Calibri" w:eastAsia="Calibri" w:hAnsi="Calibri"/>
          <w:color w:val="1A1A1A"/>
          <w:sz w:val="20"/>
          <w:szCs w:val="20"/>
        </w:rPr>
        <w:t xml:space="preserve">, 16 septembre 1996) ;</w:t>
      </w:r>
    </w:p>
    <w:p>
      <w:pPr>
        <w:pStyle w:val="ListParagraph"/>
        <w:numPr>
          <w:ilvl w:val="0"/>
          <w:numId w:val="2"/>
        </w:numPr>
        <w:spacing w:after="70" w:line="264"/>
        <w:jc w:val="both"/>
      </w:pPr>
      <w:r>
        <w:rPr>
          <w:rFonts w:ascii="Calibri" w:cs="Calibri" w:eastAsia="Calibri" w:hAnsi="Calibri"/>
          <w:color w:val="1A1A1A"/>
          <w:sz w:val="20"/>
          <w:szCs w:val="20"/>
        </w:rPr>
        <w:t xml:space="preserve">— l’orientation sexuelle (</w:t>
      </w:r>
      <w:r>
        <w:rPr>
          <w:rFonts w:ascii="Calibri" w:cs="Calibri" w:eastAsia="Calibri" w:hAnsi="Calibri"/>
          <w:color w:val="E91E63"/>
          <w:sz w:val="20"/>
          <w:szCs w:val="20"/>
        </w:rPr>
        <w:t xml:space="preserve">E.B. c. France</w:t>
      </w:r>
      <w:r>
        <w:rPr>
          <w:rFonts w:ascii="Calibri" w:cs="Calibri" w:eastAsia="Calibri" w:hAnsi="Calibri"/>
          <w:color w:val="1A1A1A"/>
          <w:sz w:val="20"/>
          <w:szCs w:val="20"/>
        </w:rPr>
        <w:t xml:space="preserve">, GC, 22 janvier 2008).</w:t>
      </w:r>
    </w:p>
    <w:p>
      <w:pPr>
        <w:pStyle w:val="ListParagraph"/>
        <w:numPr>
          <w:ilvl w:val="0"/>
          <w:numId w:val="2"/>
        </w:numPr>
        <w:spacing w:after="70" w:line="264"/>
        <w:jc w:val="both"/>
      </w:pPr>
      <w:r>
        <w:rPr>
          <w:rFonts w:ascii="Calibri" w:cs="Calibri" w:eastAsia="Calibri" w:hAnsi="Calibri"/>
          <w:b/>
          <w:bCs/>
          <w:color w:val="1A1A1A"/>
          <w:sz w:val="20"/>
          <w:szCs w:val="20"/>
        </w:rPr>
        <w:t xml:space="preserve">L’origine ethnique appelle le contrôle le plus strict</w:t>
      </w:r>
      <w:r>
        <w:rPr>
          <w:rFonts w:ascii="Calibri" w:cs="Calibri" w:eastAsia="Calibri" w:hAnsi="Calibri"/>
          <w:color w:val="1A1A1A"/>
          <w:sz w:val="20"/>
          <w:szCs w:val="20"/>
        </w:rPr>
        <w:t xml:space="preserve"> : aucune différence de traitement fondée exclusivement ou de manière déterminante sur ce critère ne peut être objectivement justifiée dans une société démocratique (</w:t>
      </w:r>
      <w:r>
        <w:rPr>
          <w:rFonts w:ascii="Calibri" w:cs="Calibri" w:eastAsia="Calibri" w:hAnsi="Calibri"/>
          <w:color w:val="E91E63"/>
          <w:sz w:val="20"/>
          <w:szCs w:val="20"/>
        </w:rPr>
        <w:t xml:space="preserve">Timichev c. Russie</w:t>
      </w:r>
      <w:r>
        <w:rPr>
          <w:rFonts w:ascii="Calibri" w:cs="Calibri" w:eastAsia="Calibri" w:hAnsi="Calibri"/>
          <w:color w:val="1A1A1A"/>
          <w:sz w:val="20"/>
          <w:szCs w:val="20"/>
        </w:rPr>
        <w:t xml:space="preserve">, 13 décembre 2005).</w:t>
      </w:r>
    </w:p>
    <w:p>
      <w:pPr>
        <w:pStyle w:val="Heading2"/>
        <w:spacing w:after="120" w:before="280"/>
      </w:pPr>
      <w:r>
        <w:rPr>
          <w:rFonts w:ascii="Calibri" w:cs="Calibri" w:eastAsia="Calibri" w:hAnsi="Calibri"/>
          <w:b/>
          <w:bCs/>
          <w:color w:val="1A1A1A"/>
          <w:sz w:val="24"/>
          <w:szCs w:val="24"/>
        </w:rPr>
        <w:t xml:space="preserve">3. Le principe d’égalité en droit interne</w:t>
      </w:r>
    </w:p>
    <w:p>
      <w:pPr>
        <w:pStyle w:val="Heading3"/>
        <w:spacing w:after="90" w:before="200"/>
      </w:pPr>
      <w:r>
        <w:rPr>
          <w:rFonts w:ascii="Calibri" w:cs="Calibri" w:eastAsia="Calibri" w:hAnsi="Calibri"/>
          <w:b/>
          <w:bCs/>
          <w:i/>
          <w:iCs/>
          <w:color w:val="5A5A5A"/>
          <w:sz w:val="21"/>
          <w:szCs w:val="21"/>
        </w:rPr>
        <w:t xml:space="preserve">3.1. Le Conseil constitutionnel</w:t>
      </w:r>
    </w:p>
    <w:p>
      <w:pPr>
        <w:pStyle w:val="ListParagraph"/>
        <w:numPr>
          <w:ilvl w:val="0"/>
          <w:numId w:val="2"/>
        </w:numPr>
        <w:spacing w:after="70" w:line="264"/>
        <w:jc w:val="both"/>
      </w:pPr>
      <w:r>
        <w:rPr>
          <w:rFonts w:ascii="Calibri" w:cs="Calibri" w:eastAsia="Calibri" w:hAnsi="Calibri"/>
          <w:b/>
          <w:bCs/>
          <w:color w:val="1A1A1A"/>
          <w:sz w:val="20"/>
          <w:szCs w:val="20"/>
        </w:rPr>
        <w:t xml:space="preserve">Formule de principe</w:t>
      </w:r>
      <w:r>
        <w:rPr>
          <w:rFonts w:ascii="Calibri" w:cs="Calibri" w:eastAsia="Calibri" w:hAnsi="Calibri"/>
          <w:color w:val="1A1A1A"/>
          <w:sz w:val="20"/>
          <w:szCs w:val="20"/>
        </w:rPr>
        <w:t xml:space="preserve"> : le principe d’égalité « ne s’oppose ni à ce que le législateur règle de façon différente des situations différentes, ni à ce qu’il déroge à l’égalité pour des raisons d’intérêt général, pourvu que, dans l’un et l’autre cas, la différence de traitement qui en résulte soit en rapport direct avec l’objet de la loi qui l’établit » (</w:t>
      </w:r>
      <w:r>
        <w:rPr>
          <w:rFonts w:ascii="Calibri" w:cs="Calibri" w:eastAsia="Calibri" w:hAnsi="Calibri"/>
          <w:color w:val="E91E63"/>
          <w:sz w:val="20"/>
          <w:szCs w:val="20"/>
        </w:rPr>
        <w:t xml:space="preserve">87-232 DC, 7 janvier 1988</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2003-487 DC, 18 décembre 2003</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Un contrôle d’intensité variable</w:t>
      </w:r>
    </w:p>
    <w:p>
      <w:pPr>
        <w:pStyle w:val="ListParagraph"/>
        <w:numPr>
          <w:ilvl w:val="0"/>
          <w:numId w:val="2"/>
        </w:numPr>
        <w:spacing w:after="70" w:line="264"/>
        <w:jc w:val="both"/>
      </w:pPr>
      <w:r>
        <w:rPr>
          <w:rFonts w:ascii="Calibri" w:cs="Calibri" w:eastAsia="Calibri" w:hAnsi="Calibri"/>
          <w:color w:val="1A1A1A"/>
          <w:sz w:val="20"/>
          <w:szCs w:val="20"/>
        </w:rPr>
        <w:t xml:space="preserve">— Le contrôle est strict pour l’égalité devant la justice et pour les critères de l’</w:t>
      </w:r>
      <w:r>
        <w:rPr>
          <w:rFonts w:ascii="Calibri" w:cs="Calibri" w:eastAsia="Calibri" w:hAnsi="Calibri"/>
          <w:color w:val="1E88E5"/>
          <w:sz w:val="20"/>
          <w:szCs w:val="20"/>
        </w:rPr>
        <w:t xml:space="preserve">art. 1er Constitution</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Il est souple en matière fiscale : le juge exige seulement des critères objectifs et rationnels (</w:t>
      </w:r>
      <w:r>
        <w:rPr>
          <w:rFonts w:ascii="Calibri" w:cs="Calibri" w:eastAsia="Calibri" w:hAnsi="Calibri"/>
          <w:color w:val="E91E63"/>
          <w:sz w:val="20"/>
          <w:szCs w:val="20"/>
        </w:rPr>
        <w:t xml:space="preserve">2011-121 QPC, 29 avril 2011, Société Unilever France</w:t>
      </w:r>
      <w:r>
        <w:rPr>
          <w:rFonts w:ascii="Calibri" w:cs="Calibri" w:eastAsia="Calibri" w:hAnsi="Calibri"/>
          <w:color w:val="1A1A1A"/>
          <w:sz w:val="20"/>
          <w:szCs w:val="20"/>
        </w:rPr>
        <w:t xml:space="preserve"> : taux de TVA de la margarine).</w:t>
      </w:r>
    </w:p>
    <w:p>
      <w:pPr>
        <w:pStyle w:val="ListParagraph"/>
        <w:numPr>
          <w:ilvl w:val="0"/>
          <w:numId w:val="2"/>
        </w:numPr>
        <w:spacing w:after="70" w:line="264"/>
        <w:jc w:val="both"/>
      </w:pPr>
      <w:r>
        <w:rPr>
          <w:rFonts w:ascii="Calibri" w:cs="Calibri" w:eastAsia="Calibri" w:hAnsi="Calibri"/>
          <w:b/>
          <w:bCs/>
          <w:color w:val="1A1A1A"/>
          <w:sz w:val="20"/>
          <w:szCs w:val="20"/>
        </w:rPr>
        <w:t xml:space="preserve">Des interdits liés à l’unité du peuple</w:t>
      </w:r>
    </w:p>
    <w:p>
      <w:pPr>
        <w:pStyle w:val="ListParagraph"/>
        <w:numPr>
          <w:ilvl w:val="0"/>
          <w:numId w:val="2"/>
        </w:numPr>
        <w:spacing w:after="70" w:line="264"/>
        <w:jc w:val="both"/>
      </w:pPr>
      <w:r>
        <w:rPr>
          <w:rFonts w:ascii="Calibri" w:cs="Calibri" w:eastAsia="Calibri" w:hAnsi="Calibri"/>
          <w:color w:val="1A1A1A"/>
          <w:sz w:val="20"/>
          <w:szCs w:val="20"/>
        </w:rPr>
        <w:t xml:space="preserve">— Refus de la notion de « peuple corse, composante du peuple français » (</w:t>
      </w:r>
      <w:r>
        <w:rPr>
          <w:rFonts w:ascii="Calibri" w:cs="Calibri" w:eastAsia="Calibri" w:hAnsi="Calibri"/>
          <w:color w:val="E91E63"/>
          <w:sz w:val="20"/>
          <w:szCs w:val="20"/>
        </w:rPr>
        <w:t xml:space="preserve">91-290 DC, 9 mai 1991</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Refus de droits collectifs à des groupes définis par une communauté d’origine, de culture, de langue ou de croyance (</w:t>
      </w:r>
      <w:r>
        <w:rPr>
          <w:rFonts w:ascii="Calibri" w:cs="Calibri" w:eastAsia="Calibri" w:hAnsi="Calibri"/>
          <w:color w:val="E91E63"/>
          <w:sz w:val="20"/>
          <w:szCs w:val="20"/>
        </w:rPr>
        <w:t xml:space="preserve">99-412 DC, 15 juin 1999</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Les études sur la diversité ne peuvent reposer sur l’origine ethnique ou la race, mais peuvent porter sur des données objectives ou le ressenti d’appartenance (</w:t>
      </w:r>
      <w:r>
        <w:rPr>
          <w:rFonts w:ascii="Calibri" w:cs="Calibri" w:eastAsia="Calibri" w:hAnsi="Calibri"/>
          <w:color w:val="E91E63"/>
          <w:sz w:val="20"/>
          <w:szCs w:val="20"/>
        </w:rPr>
        <w:t xml:space="preserve">2007-557 DC, 15 novembre 2007</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3.2. Le juge administratif</w:t>
      </w:r>
    </w:p>
    <w:p>
      <w:pPr>
        <w:pStyle w:val="ListParagraph"/>
        <w:numPr>
          <w:ilvl w:val="0"/>
          <w:numId w:val="2"/>
        </w:numPr>
        <w:spacing w:after="70" w:line="264"/>
        <w:jc w:val="both"/>
      </w:pPr>
      <w:r>
        <w:rPr>
          <w:rFonts w:ascii="Calibri" w:cs="Calibri" w:eastAsia="Calibri" w:hAnsi="Calibri"/>
          <w:b/>
          <w:bCs/>
          <w:color w:val="1A1A1A"/>
          <w:sz w:val="20"/>
          <w:szCs w:val="20"/>
        </w:rPr>
        <w:t xml:space="preserve">Principes généraux du droit</w:t>
      </w:r>
    </w:p>
    <w:p>
      <w:pPr>
        <w:pStyle w:val="ListParagraph"/>
        <w:numPr>
          <w:ilvl w:val="0"/>
          <w:numId w:val="2"/>
        </w:numPr>
        <w:spacing w:after="70" w:line="264"/>
        <w:jc w:val="both"/>
      </w:pPr>
      <w:r>
        <w:rPr>
          <w:rFonts w:ascii="Calibri" w:cs="Calibri" w:eastAsia="Calibri" w:hAnsi="Calibri"/>
          <w:color w:val="1A1A1A"/>
          <w:sz w:val="20"/>
          <w:szCs w:val="20"/>
        </w:rPr>
        <w:t xml:space="preserve">— Égalité des usagers devant le service public (</w:t>
      </w:r>
      <w:r>
        <w:rPr>
          <w:rFonts w:ascii="Calibri" w:cs="Calibri" w:eastAsia="Calibri" w:hAnsi="Calibri"/>
          <w:color w:val="E91E63"/>
          <w:sz w:val="20"/>
          <w:szCs w:val="20"/>
        </w:rPr>
        <w:t xml:space="preserve">CE, Sect., 25 juin 1948, Société du journal L’Aurore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Égal accès aux emplois publics : on ne peut écarter des candidats en raison de leurs opinions (</w:t>
      </w:r>
      <w:r>
        <w:rPr>
          <w:rFonts w:ascii="Calibri" w:cs="Calibri" w:eastAsia="Calibri" w:hAnsi="Calibri"/>
          <w:color w:val="E91E63"/>
          <w:sz w:val="20"/>
          <w:szCs w:val="20"/>
        </w:rPr>
        <w:t xml:space="preserve">CE, ass., 28 mai 1954, Barel</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Tarifs différenciés du service public</w:t>
      </w:r>
      <w:r>
        <w:rPr>
          <w:rFonts w:ascii="Calibri" w:cs="Calibri" w:eastAsia="Calibri" w:hAnsi="Calibri"/>
          <w:color w:val="1A1A1A"/>
          <w:sz w:val="20"/>
          <w:szCs w:val="20"/>
        </w:rPr>
        <w:t xml:space="preserve">, admis à trois conditions alternatives : une loi, des différences appréciables de situation, ou une nécessité d’intérêt général en rapport avec les conditions d’exploitation du service (</w:t>
      </w:r>
      <w:r>
        <w:rPr>
          <w:rFonts w:ascii="Calibri" w:cs="Calibri" w:eastAsia="Calibri" w:hAnsi="Calibri"/>
          <w:color w:val="E91E63"/>
          <w:sz w:val="20"/>
          <w:szCs w:val="20"/>
        </w:rPr>
        <w:t xml:space="preserve">CE, Sect., 10 mai 1974, Denoyez et Chorques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Pas d’obligation de traiter différemment des situations différentes</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ass., 28 mars 1997, Baxter</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3.3. Le juge judiciaire</w:t>
      </w:r>
    </w:p>
    <w:p>
      <w:pPr>
        <w:pStyle w:val="ListParagraph"/>
        <w:numPr>
          <w:ilvl w:val="0"/>
          <w:numId w:val="2"/>
        </w:numPr>
        <w:spacing w:after="70" w:line="264"/>
        <w:jc w:val="both"/>
      </w:pPr>
      <w:r>
        <w:rPr>
          <w:rFonts w:ascii="Calibri" w:cs="Calibri" w:eastAsia="Calibri" w:hAnsi="Calibri"/>
          <w:b/>
          <w:bCs/>
          <w:color w:val="1A1A1A"/>
          <w:sz w:val="20"/>
          <w:szCs w:val="20"/>
        </w:rPr>
        <w:t xml:space="preserve">« À travail égal, salaire égal »</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Cass. soc., 29 octobre 1996, Ponsolle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Contrôles d’identité « au faciès »</w:t>
      </w:r>
    </w:p>
    <w:p>
      <w:pPr>
        <w:pStyle w:val="ListParagraph"/>
        <w:numPr>
          <w:ilvl w:val="0"/>
          <w:numId w:val="2"/>
        </w:numPr>
        <w:spacing w:after="70" w:line="264"/>
        <w:jc w:val="both"/>
      </w:pPr>
      <w:r>
        <w:rPr>
          <w:rFonts w:ascii="Calibri" w:cs="Calibri" w:eastAsia="Calibri" w:hAnsi="Calibri"/>
          <w:color w:val="1A1A1A"/>
          <w:sz w:val="20"/>
          <w:szCs w:val="20"/>
        </w:rPr>
        <w:t xml:space="preserve">— Le contrôle discriminatoire constitue une faute lourde de l’État, avec aménagement de la charge de la preuve (</w:t>
      </w:r>
      <w:r>
        <w:rPr>
          <w:rFonts w:ascii="Calibri" w:cs="Calibri" w:eastAsia="Calibri" w:hAnsi="Calibri"/>
          <w:color w:val="E91E63"/>
          <w:sz w:val="20"/>
          <w:szCs w:val="20"/>
        </w:rPr>
        <w:t xml:space="preserve">Cass. civ. 1re, 9 novembre 2016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Saisi d’une action de groupe, le Conseil d’État reconnaît que ces contrôles ne se limitent pas à des cas isolés, mais rejette la demande d’injonction, les mesures sollicitées relevant d’une politique publique (</w:t>
      </w:r>
      <w:r>
        <w:rPr>
          <w:rFonts w:ascii="Calibri" w:cs="Calibri" w:eastAsia="Calibri" w:hAnsi="Calibri"/>
          <w:color w:val="E91E63"/>
          <w:sz w:val="20"/>
          <w:szCs w:val="20"/>
        </w:rPr>
        <w:t xml:space="preserve">CE, ass., 11 octobre 2023, Amnesty International France et autres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Condamnation européenne pour l’un des six requérants, sur le fondement de l’</w:t>
      </w:r>
      <w:r>
        <w:rPr>
          <w:rFonts w:ascii="Calibri" w:cs="Calibri" w:eastAsia="Calibri" w:hAnsi="Calibri"/>
          <w:color w:val="1E88E5"/>
          <w:sz w:val="20"/>
          <w:szCs w:val="20"/>
        </w:rPr>
        <w:t xml:space="preserve">art. 14</w:t>
      </w:r>
      <w:r>
        <w:rPr>
          <w:rFonts w:ascii="Calibri" w:cs="Calibri" w:eastAsia="Calibri" w:hAnsi="Calibri"/>
          <w:color w:val="1A1A1A"/>
          <w:sz w:val="20"/>
          <w:szCs w:val="20"/>
        </w:rPr>
        <w:t xml:space="preserve"> combiné avec l’</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2025, Seydi et autres c. France</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4. Les garanties</w:t>
      </w:r>
    </w:p>
    <w:p>
      <w:pPr>
        <w:pStyle w:val="ListParagraph"/>
        <w:numPr>
          <w:ilvl w:val="0"/>
          <w:numId w:val="2"/>
        </w:numPr>
        <w:spacing w:after="70" w:line="264"/>
        <w:jc w:val="both"/>
      </w:pPr>
      <w:r>
        <w:rPr>
          <w:rFonts w:ascii="Calibri" w:cs="Calibri" w:eastAsia="Calibri" w:hAnsi="Calibri"/>
          <w:b/>
          <w:bCs/>
          <w:color w:val="1A1A1A"/>
          <w:sz w:val="20"/>
          <w:szCs w:val="20"/>
        </w:rPr>
        <w:t xml:space="preserve">Le Défenseur des droits</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71-1 Constitution</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organique du 29 mars 2011</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Il a absorbé la HALDE, créée par la </w:t>
      </w:r>
      <w:r>
        <w:rPr>
          <w:rFonts w:ascii="Calibri" w:cs="Calibri" w:eastAsia="Calibri" w:hAnsi="Calibri"/>
          <w:color w:val="1E88E5"/>
          <w:sz w:val="20"/>
          <w:szCs w:val="20"/>
        </w:rPr>
        <w:t xml:space="preserve">loi du 30 décembre 2004</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Il peut être saisi par la victime, ou par une association conjointement avec elle.</w:t>
      </w:r>
    </w:p>
    <w:p>
      <w:pPr>
        <w:pStyle w:val="ListParagraph"/>
        <w:numPr>
          <w:ilvl w:val="0"/>
          <w:numId w:val="2"/>
        </w:numPr>
        <w:spacing w:after="70" w:line="264"/>
        <w:jc w:val="both"/>
      </w:pPr>
      <w:r>
        <w:rPr>
          <w:rFonts w:ascii="Calibri" w:cs="Calibri" w:eastAsia="Calibri" w:hAnsi="Calibri"/>
          <w:color w:val="1A1A1A"/>
          <w:sz w:val="20"/>
          <w:szCs w:val="20"/>
        </w:rPr>
        <w:t xml:space="preserve">— Ses moyens d’action : médiation, transaction, recommandations, observations devant les juridictions, transmission au parquet. Il ne prononce pas de sanction.</w:t>
      </w:r>
    </w:p>
    <w:p>
      <w:pPr>
        <w:pStyle w:val="ListParagraph"/>
        <w:numPr>
          <w:ilvl w:val="0"/>
          <w:numId w:val="2"/>
        </w:numPr>
        <w:spacing w:after="70" w:line="264"/>
        <w:jc w:val="both"/>
      </w:pPr>
      <w:r>
        <w:rPr>
          <w:rFonts w:ascii="Calibri" w:cs="Calibri" w:eastAsia="Calibri" w:hAnsi="Calibri"/>
          <w:color w:val="1A1A1A"/>
          <w:sz w:val="20"/>
          <w:szCs w:val="20"/>
        </w:rPr>
        <w:t xml:space="preserve">— Titulaire : </w:t>
      </w:r>
      <w:r>
        <w:rPr>
          <w:rFonts w:ascii="Calibri" w:cs="Calibri" w:eastAsia="Calibri" w:hAnsi="Calibri"/>
          <w:b/>
          <w:bCs/>
          <w:color w:val="1A1A1A"/>
          <w:sz w:val="20"/>
          <w:szCs w:val="20"/>
        </w:rPr>
        <w:t xml:space="preserve">François-Noël Buffet</w:t>
      </w:r>
      <w:r>
        <w:rPr>
          <w:rFonts w:ascii="Calibri" w:cs="Calibri" w:eastAsia="Calibri" w:hAnsi="Calibri"/>
          <w:color w:val="1A1A1A"/>
          <w:sz w:val="20"/>
          <w:szCs w:val="20"/>
        </w:rPr>
        <w:t xml:space="preserve">, nommé en juillet 2026, successeur de Claire Hédon.</w:t>
      </w:r>
    </w:p>
    <w:p>
      <w:pPr>
        <w:pStyle w:val="ListParagraph"/>
        <w:numPr>
          <w:ilvl w:val="0"/>
          <w:numId w:val="2"/>
        </w:numPr>
        <w:spacing w:after="70" w:line="264"/>
        <w:jc w:val="both"/>
      </w:pPr>
      <w:r>
        <w:rPr>
          <w:rFonts w:ascii="Calibri" w:cs="Calibri" w:eastAsia="Calibri" w:hAnsi="Calibri"/>
          <w:b/>
          <w:bCs/>
          <w:color w:val="1A1A1A"/>
          <w:sz w:val="20"/>
          <w:szCs w:val="20"/>
        </w:rPr>
        <w:t xml:space="preserve">La preuve</w:t>
      </w:r>
      <w:r>
        <w:rPr>
          <w:rFonts w:ascii="Calibri" w:cs="Calibri" w:eastAsia="Calibri" w:hAnsi="Calibri"/>
          <w:color w:val="1A1A1A"/>
          <w:sz w:val="20"/>
          <w:szCs w:val="20"/>
        </w:rPr>
        <w:t xml:space="preserve"> : la victime présente des éléments de fait laissant supposer la discrimination, puis le défendeur prouve que la mesure est justifiée par des éléments objectifs étrangers à toute discrimination (</w:t>
      </w:r>
      <w:r>
        <w:rPr>
          <w:rFonts w:ascii="Calibri" w:cs="Calibri" w:eastAsia="Calibri" w:hAnsi="Calibri"/>
          <w:color w:val="1E88E5"/>
          <w:sz w:val="20"/>
          <w:szCs w:val="20"/>
        </w:rPr>
        <w:t xml:space="preserve">art. L. 1134-1 C. trav.</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4 loi 2008</w:t>
      </w:r>
      <w:r>
        <w:rPr>
          <w:rFonts w:ascii="Calibri" w:cs="Calibri" w:eastAsia="Calibri" w:hAnsi="Calibri"/>
          <w:color w:val="1A1A1A"/>
          <w:sz w:val="20"/>
          <w:szCs w:val="20"/>
        </w:rPr>
        <w:t xml:space="preserve">). La règle ne s’applique pas en matière pénale.</w:t>
      </w:r>
    </w:p>
    <w:p>
      <w:pPr>
        <w:pStyle w:val="ListParagraph"/>
        <w:numPr>
          <w:ilvl w:val="0"/>
          <w:numId w:val="2"/>
        </w:numPr>
        <w:spacing w:after="70" w:line="264"/>
        <w:jc w:val="both"/>
      </w:pPr>
      <w:r>
        <w:rPr>
          <w:rFonts w:ascii="Calibri" w:cs="Calibri" w:eastAsia="Calibri" w:hAnsi="Calibri"/>
          <w:b/>
          <w:bCs/>
          <w:color w:val="1A1A1A"/>
          <w:sz w:val="20"/>
          <w:szCs w:val="20"/>
        </w:rPr>
        <w:t xml:space="preserve">Le testing</w:t>
      </w:r>
      <w:r>
        <w:rPr>
          <w:rFonts w:ascii="Calibri" w:cs="Calibri" w:eastAsia="Calibri" w:hAnsi="Calibri"/>
          <w:color w:val="1A1A1A"/>
          <w:sz w:val="20"/>
          <w:szCs w:val="20"/>
        </w:rPr>
        <w:t xml:space="preserve"> : admis par le juge pénal (</w:t>
      </w:r>
      <w:r>
        <w:rPr>
          <w:rFonts w:ascii="Calibri" w:cs="Calibri" w:eastAsia="Calibri" w:hAnsi="Calibri"/>
          <w:color w:val="E91E63"/>
          <w:sz w:val="20"/>
          <w:szCs w:val="20"/>
        </w:rPr>
        <w:t xml:space="preserve">Cass. crim., 11 juin 2002</w:t>
      </w:r>
      <w:r>
        <w:rPr>
          <w:rFonts w:ascii="Calibri" w:cs="Calibri" w:eastAsia="Calibri" w:hAnsi="Calibri"/>
          <w:color w:val="1A1A1A"/>
          <w:sz w:val="20"/>
          <w:szCs w:val="20"/>
        </w:rPr>
        <w:t xml:space="preserve">), puis consacré par la </w:t>
      </w:r>
      <w:r>
        <w:rPr>
          <w:rFonts w:ascii="Calibri" w:cs="Calibri" w:eastAsia="Calibri" w:hAnsi="Calibri"/>
          <w:color w:val="1E88E5"/>
          <w:sz w:val="20"/>
          <w:szCs w:val="20"/>
        </w:rPr>
        <w:t xml:space="preserve">loi du 31 mars 2006</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225-3-1 C. pén.</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L’action de groupe</w:t>
      </w:r>
    </w:p>
    <w:p>
      <w:pPr>
        <w:pStyle w:val="ListParagraph"/>
        <w:numPr>
          <w:ilvl w:val="0"/>
          <w:numId w:val="2"/>
        </w:numPr>
        <w:spacing w:after="70" w:line="264"/>
        <w:jc w:val="both"/>
      </w:pPr>
      <w:r>
        <w:rPr>
          <w:rFonts w:ascii="Calibri" w:cs="Calibri" w:eastAsia="Calibri" w:hAnsi="Calibri"/>
          <w:color w:val="1A1A1A"/>
          <w:sz w:val="20"/>
          <w:szCs w:val="20"/>
        </w:rPr>
        <w:t xml:space="preserve">— Elle est d’abord ouverte en matière de discrimination par la </w:t>
      </w:r>
      <w:r>
        <w:rPr>
          <w:rFonts w:ascii="Calibri" w:cs="Calibri" w:eastAsia="Calibri" w:hAnsi="Calibri"/>
          <w:color w:val="1E88E5"/>
          <w:sz w:val="20"/>
          <w:szCs w:val="20"/>
        </w:rPr>
        <w:t xml:space="preserve">loi n° 2016-1547 du 18 novembre 2016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Elle est unifiée par l’</w:t>
      </w:r>
      <w:r>
        <w:rPr>
          <w:rFonts w:ascii="Calibri" w:cs="Calibri" w:eastAsia="Calibri" w:hAnsi="Calibri"/>
          <w:color w:val="1E88E5"/>
          <w:sz w:val="20"/>
          <w:szCs w:val="20"/>
        </w:rPr>
        <w:t xml:space="preserve">art. 16 de la loi n° 2025-391 du 30 avril 2025</w:t>
      </w:r>
      <w:r>
        <w:rPr>
          <w:rFonts w:ascii="Calibri" w:cs="Calibri" w:eastAsia="Calibri" w:hAnsi="Calibri"/>
          <w:color w:val="1A1A1A"/>
          <w:sz w:val="20"/>
          <w:szCs w:val="20"/>
        </w:rPr>
        <w:t xml:space="preserve">, qui l’ouvre aux associations agréées et, en matière de discrimination, aux syndicats représentatifs.</w:t>
      </w:r>
    </w:p>
    <w:p>
      <w:pPr>
        <w:pStyle w:val="ListParagraph"/>
        <w:numPr>
          <w:ilvl w:val="0"/>
          <w:numId w:val="2"/>
        </w:numPr>
        <w:spacing w:after="70" w:line="264"/>
        <w:jc w:val="both"/>
      </w:pPr>
      <w:r>
        <w:rPr>
          <w:rFonts w:ascii="Calibri" w:cs="Calibri" w:eastAsia="Calibri" w:hAnsi="Calibri"/>
          <w:color w:val="1A1A1A"/>
          <w:sz w:val="20"/>
          <w:szCs w:val="20"/>
        </w:rPr>
        <w:t xml:space="preserve">— Pour la seule cessation du manquement, le demandeur n’a à prouver ni un préjudice individuel, ni une faute intentionnelle ou de négligence.</w:t>
      </w:r>
    </w:p>
    <w:p>
      <w:pPr>
        <w:pStyle w:val="ListParagraph"/>
        <w:numPr>
          <w:ilvl w:val="0"/>
          <w:numId w:val="2"/>
        </w:numPr>
        <w:spacing w:after="70" w:line="264"/>
        <w:jc w:val="both"/>
      </w:pPr>
      <w:r>
        <w:rPr>
          <w:rFonts w:ascii="Calibri" w:cs="Calibri" w:eastAsia="Calibri" w:hAnsi="Calibri"/>
          <w:b/>
          <w:bCs/>
          <w:color w:val="1A1A1A"/>
          <w:sz w:val="20"/>
          <w:szCs w:val="20"/>
        </w:rPr>
        <w:t xml:space="preserve">Sanctions civiles</w:t>
      </w:r>
      <w:r>
        <w:rPr>
          <w:rFonts w:ascii="Calibri" w:cs="Calibri" w:eastAsia="Calibri" w:hAnsi="Calibri"/>
          <w:color w:val="1A1A1A"/>
          <w:sz w:val="20"/>
          <w:szCs w:val="20"/>
        </w:rPr>
        <w:t xml:space="preserve"> : nullité de l’acte discriminatoire (</w:t>
      </w:r>
      <w:r>
        <w:rPr>
          <w:rFonts w:ascii="Calibri" w:cs="Calibri" w:eastAsia="Calibri" w:hAnsi="Calibri"/>
          <w:color w:val="1E88E5"/>
          <w:sz w:val="20"/>
          <w:szCs w:val="20"/>
        </w:rPr>
        <w:t xml:space="preserve">art. L. 1132-4 C. trav.</w:t>
      </w:r>
      <w:r>
        <w:rPr>
          <w:rFonts w:ascii="Calibri" w:cs="Calibri" w:eastAsia="Calibri" w:hAnsi="Calibri"/>
          <w:color w:val="1A1A1A"/>
          <w:sz w:val="20"/>
          <w:szCs w:val="20"/>
        </w:rPr>
        <w:t xml:space="preserve">) et réparation intégrale.</w:t>
      </w:r>
    </w:p>
    <w:p>
      <w:pPr>
        <w:pStyle w:val="ListParagraph"/>
        <w:numPr>
          <w:ilvl w:val="0"/>
          <w:numId w:val="2"/>
        </w:numPr>
        <w:spacing w:after="70" w:line="264"/>
        <w:jc w:val="both"/>
      </w:pPr>
      <w:r>
        <w:rPr>
          <w:rFonts w:ascii="Calibri" w:cs="Calibri" w:eastAsia="Calibri" w:hAnsi="Calibri"/>
          <w:b/>
          <w:bCs/>
          <w:color w:val="1A1A1A"/>
          <w:sz w:val="20"/>
          <w:szCs w:val="20"/>
        </w:rPr>
        <w:t xml:space="preserve">Les biais algorithmiques</w:t>
      </w:r>
    </w:p>
    <w:p>
      <w:pPr>
        <w:pStyle w:val="ListParagraph"/>
        <w:numPr>
          <w:ilvl w:val="0"/>
          <w:numId w:val="2"/>
        </w:numPr>
        <w:spacing w:after="70" w:line="264"/>
        <w:jc w:val="both"/>
      </w:pPr>
      <w:r>
        <w:rPr>
          <w:rFonts w:ascii="Calibri" w:cs="Calibri" w:eastAsia="Calibri" w:hAnsi="Calibri"/>
          <w:color w:val="1A1A1A"/>
          <w:sz w:val="20"/>
          <w:szCs w:val="20"/>
        </w:rPr>
        <w:t xml:space="preserve">— Le </w:t>
      </w:r>
      <w:r>
        <w:rPr>
          <w:rFonts w:ascii="Calibri" w:cs="Calibri" w:eastAsia="Calibri" w:hAnsi="Calibri"/>
          <w:color w:val="1E88E5"/>
          <w:sz w:val="20"/>
          <w:szCs w:val="20"/>
        </w:rPr>
        <w:t xml:space="preserve">règlement (UE) 2024/1689 du 13 juin 2024</w:t>
      </w:r>
      <w:r>
        <w:rPr>
          <w:rFonts w:ascii="Calibri" w:cs="Calibri" w:eastAsia="Calibri" w:hAnsi="Calibri"/>
          <w:color w:val="1A1A1A"/>
          <w:sz w:val="20"/>
          <w:szCs w:val="20"/>
        </w:rPr>
        <w:t xml:space="preserve"> sur l’intelligence artificielle classe à haut risque les systèmes utilisés pour l’emploi, le crédit ou l’accès aux prestations, et interdit la notation sociale.</w:t>
      </w:r>
    </w:p>
    <w:p>
      <w:pPr>
        <w:pStyle w:val="ListParagraph"/>
        <w:numPr>
          <w:ilvl w:val="0"/>
          <w:numId w:val="2"/>
        </w:numPr>
        <w:spacing w:after="70" w:line="264"/>
        <w:jc w:val="both"/>
      </w:pPr>
      <w:r>
        <w:rPr>
          <w:rFonts w:ascii="Calibri" w:cs="Calibri" w:eastAsia="Calibri" w:hAnsi="Calibri"/>
          <w:color w:val="1A1A1A"/>
          <w:sz w:val="20"/>
          <w:szCs w:val="20"/>
        </w:rPr>
        <w:t xml:space="preserve">— La Commission a abandonné en février 2025 sa proposition de directive sur la responsabilité en matière d’IA.</w:t>
      </w:r>
    </w:p>
    <w:p>
      <w:pPr>
        <w:pStyle w:val="ListParagraph"/>
        <w:numPr>
          <w:ilvl w:val="0"/>
          <w:numId w:val="2"/>
        </w:numPr>
        <w:spacing w:after="70" w:line="264"/>
        <w:jc w:val="both"/>
      </w:pPr>
      <w:r>
        <w:rPr>
          <w:rFonts w:ascii="Calibri" w:cs="Calibri" w:eastAsia="Calibri" w:hAnsi="Calibri"/>
          <w:color w:val="1A1A1A"/>
          <w:sz w:val="20"/>
          <w:szCs w:val="20"/>
        </w:rPr>
        <w:t xml:space="preserve">— Le droit de la discrimination indirecte, indifférent à l’intention, est l’outil le mieux adapté à des biais non intentionnels par nature.</w:t>
      </w:r>
    </w:p>
    <w:p>
      <w:pPr>
        <w:pStyle w:val="Heading2"/>
        <w:spacing w:after="120" w:before="280"/>
      </w:pPr>
      <w:r>
        <w:rPr>
          <w:rFonts w:ascii="Calibri" w:cs="Calibri" w:eastAsia="Calibri" w:hAnsi="Calibri"/>
          <w:b/>
          <w:bCs/>
          <w:color w:val="1A1A1A"/>
          <w:sz w:val="24"/>
          <w:szCs w:val="24"/>
        </w:rPr>
        <w:t xml:space="preserve">5. Débats doctrinaux et critiques</w:t>
      </w:r>
    </w:p>
    <w:p>
      <w:pPr>
        <w:pStyle w:val="ListParagraph"/>
        <w:numPr>
          <w:ilvl w:val="0"/>
          <w:numId w:val="2"/>
        </w:numPr>
        <w:spacing w:after="70" w:line="264"/>
        <w:jc w:val="both"/>
      </w:pPr>
      <w:r>
        <w:rPr>
          <w:rFonts w:ascii="Calibri" w:cs="Calibri" w:eastAsia="Calibri" w:hAnsi="Calibri"/>
          <w:b/>
          <w:bCs/>
          <w:color w:val="1A1A1A"/>
          <w:sz w:val="20"/>
          <w:szCs w:val="20"/>
        </w:rPr>
        <w:t xml:space="preserve">Égalité ou non-discrimination ?</w:t>
      </w:r>
    </w:p>
    <w:p>
      <w:pPr>
        <w:pStyle w:val="ListParagraph"/>
        <w:numPr>
          <w:ilvl w:val="0"/>
          <w:numId w:val="2"/>
        </w:numPr>
        <w:spacing w:after="70" w:line="264"/>
        <w:jc w:val="both"/>
      </w:pPr>
      <w:r>
        <w:rPr>
          <w:rFonts w:ascii="Calibri" w:cs="Calibri" w:eastAsia="Calibri" w:hAnsi="Calibri"/>
          <w:color w:val="1A1A1A"/>
          <w:sz w:val="20"/>
          <w:szCs w:val="20"/>
        </w:rPr>
        <w:t xml:space="preserve">Pour une partie de la doctrine, il faut dissocier les deux notions, afin de rendre sa cohérence à l’égalité ou de cesser de traiter les mesures correctrices comme des dérogations.</w:t>
      </w:r>
    </w:p>
    <w:p>
      <w:pPr>
        <w:pStyle w:val="ListParagraph"/>
        <w:numPr>
          <w:ilvl w:val="0"/>
          <w:numId w:val="2"/>
        </w:numPr>
        <w:spacing w:after="70" w:line="264"/>
        <w:jc w:val="both"/>
      </w:pPr>
      <w:r>
        <w:rPr>
          <w:rFonts w:ascii="Calibri" w:cs="Calibri" w:eastAsia="Calibri" w:hAnsi="Calibri"/>
          <w:color w:val="1A1A1A"/>
          <w:sz w:val="20"/>
          <w:szCs w:val="20"/>
        </w:rPr>
        <w:t xml:space="preserve">Pour d’autres, le principe d’égalité suffit : le Conseil constitutionnel admet des mesures en faveur de catégories défavorisées (</w:t>
      </w:r>
      <w:r>
        <w:rPr>
          <w:rFonts w:ascii="Calibri" w:cs="Calibri" w:eastAsia="Calibri" w:hAnsi="Calibri"/>
          <w:color w:val="E91E63"/>
          <w:sz w:val="20"/>
          <w:szCs w:val="20"/>
        </w:rPr>
        <w:t xml:space="preserve">86-207 DC</w:t>
      </w:r>
      <w:r>
        <w:rPr>
          <w:rFonts w:ascii="Calibri" w:cs="Calibri" w:eastAsia="Calibri" w:hAnsi="Calibri"/>
          <w:color w:val="1A1A1A"/>
          <w:sz w:val="20"/>
          <w:szCs w:val="20"/>
        </w:rPr>
        <w:t xml:space="preserve">, 25-26 juin 1986 ; </w:t>
      </w:r>
      <w:r>
        <w:rPr>
          <w:rFonts w:ascii="Calibri" w:cs="Calibri" w:eastAsia="Calibri" w:hAnsi="Calibri"/>
          <w:color w:val="E91E63"/>
          <w:sz w:val="20"/>
          <w:szCs w:val="20"/>
        </w:rPr>
        <w:t xml:space="preserve">2005-521 DC</w:t>
      </w:r>
      <w:r>
        <w:rPr>
          <w:rFonts w:ascii="Calibri" w:cs="Calibri" w:eastAsia="Calibri" w:hAnsi="Calibri"/>
          <w:color w:val="1A1A1A"/>
          <w:sz w:val="20"/>
          <w:szCs w:val="20"/>
        </w:rPr>
        <w:t xml:space="preserve">, 22 juillet 2005).</w:t>
      </w:r>
    </w:p>
    <w:p>
      <w:pPr>
        <w:pStyle w:val="ListParagraph"/>
        <w:numPr>
          <w:ilvl w:val="0"/>
          <w:numId w:val="2"/>
        </w:numPr>
        <w:spacing w:after="70" w:line="264"/>
        <w:jc w:val="both"/>
      </w:pPr>
      <w:r>
        <w:rPr>
          <w:rFonts w:ascii="Calibri" w:cs="Calibri" w:eastAsia="Calibri" w:hAnsi="Calibri"/>
          <w:color w:val="1A1A1A"/>
          <w:sz w:val="20"/>
          <w:szCs w:val="20"/>
        </w:rPr>
        <w:t xml:space="preserve">Voir </w:t>
      </w:r>
      <w:r>
        <w:rPr>
          <w:rFonts w:ascii="Calibri" w:cs="Calibri" w:eastAsia="Calibri" w:hAnsi="Calibri"/>
          <w:color w:val="2E7D32"/>
          <w:sz w:val="20"/>
          <w:szCs w:val="20"/>
        </w:rPr>
        <w:t xml:space="preserve">Danièle Lochak</w:t>
      </w:r>
      <w:r>
        <w:rPr>
          <w:rFonts w:ascii="Calibri" w:cs="Calibri" w:eastAsia="Calibri" w:hAnsi="Calibri"/>
          <w:color w:val="1A1A1A"/>
          <w:sz w:val="20"/>
          <w:szCs w:val="20"/>
        </w:rPr>
        <w:t xml:space="preserve"> et </w:t>
      </w:r>
      <w:r>
        <w:rPr>
          <w:rFonts w:ascii="Calibri" w:cs="Calibri" w:eastAsia="Calibri" w:hAnsi="Calibri"/>
          <w:color w:val="2E7D32"/>
          <w:sz w:val="20"/>
          <w:szCs w:val="20"/>
        </w:rPr>
        <w:t xml:space="preserve">Gwénaële Calvès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Modèle républicain contre modèle anglo-saxon</w:t>
      </w:r>
      <w:r>
        <w:rPr>
          <w:rFonts w:ascii="Calibri" w:cs="Calibri" w:eastAsia="Calibri" w:hAnsi="Calibri"/>
          <w:color w:val="1A1A1A"/>
          <w:sz w:val="20"/>
          <w:szCs w:val="20"/>
        </w:rPr>
        <w:t xml:space="preserve"> : l’opposition est historique plus qu’actuelle, puisque le droit de l’Union a importé en France la discrimination indirecte et l’aménagement de la preuve. Le </w:t>
      </w:r>
      <w:r>
        <w:rPr>
          <w:rFonts w:ascii="Calibri" w:cs="Calibri" w:eastAsia="Calibri" w:hAnsi="Calibri"/>
          <w:color w:val="2E7D32"/>
          <w:sz w:val="20"/>
          <w:szCs w:val="20"/>
        </w:rPr>
        <w:t xml:space="preserve">Conseil d’État</w:t>
      </w:r>
      <w:r>
        <w:rPr>
          <w:rFonts w:ascii="Calibri" w:cs="Calibri" w:eastAsia="Calibri" w:hAnsi="Calibri"/>
          <w:color w:val="1A1A1A"/>
          <w:sz w:val="20"/>
          <w:szCs w:val="20"/>
        </w:rPr>
        <w:t xml:space="preserve"> l’avait anticipé dans son rapport public de 1996 « Sur le principe d’égalité ».</w:t>
      </w:r>
    </w:p>
    <w:p>
      <w:pPr>
        <w:pStyle w:val="ListParagraph"/>
        <w:numPr>
          <w:ilvl w:val="0"/>
          <w:numId w:val="2"/>
        </w:numPr>
        <w:spacing w:after="70" w:line="264"/>
        <w:jc w:val="both"/>
      </w:pPr>
      <w:r>
        <w:rPr>
          <w:rFonts w:ascii="Calibri" w:cs="Calibri" w:eastAsia="Calibri" w:hAnsi="Calibri"/>
          <w:b/>
          <w:bCs/>
          <w:color w:val="1A1A1A"/>
          <w:sz w:val="20"/>
          <w:szCs w:val="20"/>
        </w:rPr>
        <w:t xml:space="preserve">Statistiques ethniques</w:t>
      </w:r>
    </w:p>
    <w:p>
      <w:pPr>
        <w:pStyle w:val="ListParagraph"/>
        <w:numPr>
          <w:ilvl w:val="0"/>
          <w:numId w:val="2"/>
        </w:numPr>
        <w:spacing w:after="70" w:line="264"/>
        <w:jc w:val="both"/>
      </w:pPr>
      <w:r>
        <w:rPr>
          <w:rFonts w:ascii="Calibri" w:cs="Calibri" w:eastAsia="Calibri" w:hAnsi="Calibri"/>
          <w:color w:val="1A1A1A"/>
          <w:sz w:val="20"/>
          <w:szCs w:val="20"/>
        </w:rPr>
        <w:t xml:space="preserve">Pour : ce sont l’instrument même de la preuve de la discrimination indirecte (</w:t>
      </w:r>
      <w:r>
        <w:rPr>
          <w:rFonts w:ascii="Calibri" w:cs="Calibri" w:eastAsia="Calibri" w:hAnsi="Calibri"/>
          <w:color w:val="E91E63"/>
          <w:sz w:val="20"/>
          <w:szCs w:val="20"/>
        </w:rPr>
        <w:t xml:space="preserve">D.H.</w:t>
      </w:r>
      <w:r>
        <w:rPr>
          <w:rFonts w:ascii="Calibri" w:cs="Calibri" w:eastAsia="Calibri" w:hAnsi="Calibri"/>
          <w:color w:val="1A1A1A"/>
          <w:sz w:val="20"/>
          <w:szCs w:val="20"/>
        </w:rPr>
        <w:t xml:space="preserve">), et l’expérience québécoise le montre.</w:t>
      </w:r>
    </w:p>
    <w:p>
      <w:pPr>
        <w:pStyle w:val="ListParagraph"/>
        <w:numPr>
          <w:ilvl w:val="0"/>
          <w:numId w:val="2"/>
        </w:numPr>
        <w:spacing w:after="70" w:line="264"/>
        <w:jc w:val="both"/>
      </w:pPr>
      <w:r>
        <w:rPr>
          <w:rFonts w:ascii="Calibri" w:cs="Calibri" w:eastAsia="Calibri" w:hAnsi="Calibri"/>
          <w:color w:val="1A1A1A"/>
          <w:sz w:val="20"/>
          <w:szCs w:val="20"/>
        </w:rPr>
        <w:t xml:space="preserve">Contre : le risque d’essentialiser des catégories raciales que l’</w:t>
      </w:r>
      <w:r>
        <w:rPr>
          <w:rFonts w:ascii="Calibri" w:cs="Calibri" w:eastAsia="Calibri" w:hAnsi="Calibri"/>
          <w:color w:val="1E88E5"/>
          <w:sz w:val="20"/>
          <w:szCs w:val="20"/>
        </w:rPr>
        <w:t xml:space="preserve">art. 1er</w:t>
      </w:r>
      <w:r>
        <w:rPr>
          <w:rFonts w:ascii="Calibri" w:cs="Calibri" w:eastAsia="Calibri" w:hAnsi="Calibri"/>
          <w:color w:val="1A1A1A"/>
          <w:sz w:val="20"/>
          <w:szCs w:val="20"/>
        </w:rPr>
        <w:t xml:space="preserve"> interdit.</w:t>
      </w:r>
    </w:p>
    <w:p>
      <w:pPr>
        <w:pStyle w:val="ListParagraph"/>
        <w:numPr>
          <w:ilvl w:val="0"/>
          <w:numId w:val="2"/>
        </w:numPr>
        <w:spacing w:after="70" w:line="264"/>
        <w:jc w:val="both"/>
      </w:pPr>
      <w:r>
        <w:rPr>
          <w:rFonts w:ascii="Calibri" w:cs="Calibri" w:eastAsia="Calibri" w:hAnsi="Calibri"/>
          <w:color w:val="1A1A1A"/>
          <w:sz w:val="20"/>
          <w:szCs w:val="20"/>
        </w:rPr>
        <w:t xml:space="preserve">Compromis actuel : des enquêtes sur le pays de naissance et l’origine des parents (enquête « Trajectoires et origines »), sans référentiel ethno-racial.</w:t>
      </w:r>
    </w:p>
    <w:p>
      <w:pPr>
        <w:pStyle w:val="Heading2"/>
        <w:spacing w:after="120" w:before="280"/>
      </w:pPr>
      <w:r>
        <w:rPr>
          <w:rFonts w:ascii="Calibri" w:cs="Calibri" w:eastAsia="Calibri" w:hAnsi="Calibri"/>
          <w:b/>
          <w:bCs/>
          <w:color w:val="1A1A1A"/>
          <w:sz w:val="24"/>
          <w:szCs w:val="24"/>
        </w:rPr>
        <w:t xml:space="preserve">6. Dispositif « Grand Oral »</w:t>
      </w:r>
    </w:p>
    <w:p>
      <w:pPr>
        <w:pStyle w:val="Heading3"/>
        <w:spacing w:after="90" w:before="200"/>
      </w:pPr>
      <w:r>
        <w:rPr>
          <w:rFonts w:ascii="Calibri" w:cs="Calibri" w:eastAsia="Calibri" w:hAnsi="Calibri"/>
          <w:b/>
          <w:bCs/>
          <w:i/>
          <w:iCs/>
          <w:color w:val="5A5A5A"/>
          <w:sz w:val="21"/>
          <w:szCs w:val="21"/>
        </w:rPr>
        <w:t xml:space="preserve">6.1.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Toute différence de traitement est-elle une discrimination ? »</w:t>
      </w:r>
      <w:r>
        <w:rPr>
          <w:rFonts w:ascii="Calibri" w:cs="Calibri" w:eastAsia="Calibri" w:hAnsi="Calibri"/>
          <w:color w:val="1A1A1A"/>
          <w:sz w:val="20"/>
          <w:szCs w:val="20"/>
        </w:rPr>
        <w:t xml:space="preserve"> — Non. Le droit sanctionne la différence de traitement fondée sur un critère prohibé et dépourvue de justification objective et raisonnable. Le juge constitutionnel admet en outre les différences fondées sur une différence de situation ou sur l’intérêt général, en rapport avec l’objet de la loi.</w:t>
      </w:r>
    </w:p>
    <w:p>
      <w:pPr>
        <w:pStyle w:val="ListParagraph"/>
        <w:numPr>
          <w:ilvl w:val="0"/>
          <w:numId w:val="2"/>
        </w:numPr>
        <w:spacing w:after="70" w:line="264"/>
        <w:jc w:val="both"/>
      </w:pPr>
      <w:r>
        <w:rPr>
          <w:rFonts w:ascii="Calibri" w:cs="Calibri" w:eastAsia="Calibri" w:hAnsi="Calibri"/>
          <w:b/>
          <w:bCs/>
          <w:color w:val="1A1A1A"/>
          <w:sz w:val="20"/>
          <w:szCs w:val="20"/>
        </w:rPr>
        <w:t xml:space="preserve">« Peut-on être discriminé sans le savoir ? »</w:t>
      </w:r>
      <w:r>
        <w:rPr>
          <w:rFonts w:ascii="Calibri" w:cs="Calibri" w:eastAsia="Calibri" w:hAnsi="Calibri"/>
          <w:color w:val="1A1A1A"/>
          <w:sz w:val="20"/>
          <w:szCs w:val="20"/>
        </w:rPr>
        <w:t xml:space="preserve"> — Oui, c’est même le propre de la discrimination indirecte et algorithmique. D’où l’importance de l’action de groupe, du Défenseur des droits et de la preuve statistique.</w:t>
      </w:r>
    </w:p>
    <w:p>
      <w:pPr>
        <w:pStyle w:val="ListParagraph"/>
        <w:numPr>
          <w:ilvl w:val="0"/>
          <w:numId w:val="2"/>
        </w:numPr>
        <w:spacing w:after="70" w:line="264"/>
        <w:jc w:val="both"/>
      </w:pPr>
      <w:r>
        <w:rPr>
          <w:rFonts w:ascii="Calibri" w:cs="Calibri" w:eastAsia="Calibri" w:hAnsi="Calibri"/>
          <w:b/>
          <w:bCs/>
          <w:color w:val="1A1A1A"/>
          <w:sz w:val="20"/>
          <w:szCs w:val="20"/>
        </w:rPr>
        <w:t xml:space="preserve">« Le Conseil constitutionnel interdit-il de mesurer les discriminations ? »</w:t>
      </w:r>
      <w:r>
        <w:rPr>
          <w:rFonts w:ascii="Calibri" w:cs="Calibri" w:eastAsia="Calibri" w:hAnsi="Calibri"/>
          <w:color w:val="1A1A1A"/>
          <w:sz w:val="20"/>
          <w:szCs w:val="20"/>
        </w:rPr>
        <w:t xml:space="preserve"> — Non. Il interdit de fonder des traitements de données sur la race ou l’origine ethnique, mais admet les données objectives et le ressenti d’appartenance (</w:t>
      </w:r>
      <w:r>
        <w:rPr>
          <w:rFonts w:ascii="Calibri" w:cs="Calibri" w:eastAsia="Calibri" w:hAnsi="Calibri"/>
          <w:color w:val="E91E63"/>
          <w:sz w:val="20"/>
          <w:szCs w:val="20"/>
        </w:rPr>
        <w:t xml:space="preserve">2007-557 DC</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6.2.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L’égalité réelle — La discrimination indirecte — La preuve de la discrimination — Le Défenseur des droits — L’universalisme républicain à l’épreuve de la non-discrimination — Algorithmes et discriminations — Commentaire : </w:t>
      </w:r>
      <w:r>
        <w:rPr>
          <w:rFonts w:ascii="Calibri" w:cs="Calibri" w:eastAsia="Calibri" w:hAnsi="Calibri"/>
          <w:color w:val="E91E63"/>
          <w:sz w:val="20"/>
          <w:szCs w:val="20"/>
        </w:rPr>
        <w:t xml:space="preserve">D.H. et autres c. République tchèque</w:t>
      </w:r>
      <w:r>
        <w:rPr>
          <w:rFonts w:ascii="Calibri" w:cs="Calibri" w:eastAsia="Calibri" w:hAnsi="Calibri"/>
          <w:color w:val="1A1A1A"/>
          <w:sz w:val="20"/>
          <w:szCs w:val="20"/>
        </w:rPr>
        <w:t xml:space="preserve"> (sujet « Pour s’entraîner » du fascicule) — Commentaire : la première QPC (</w:t>
      </w:r>
      <w:r>
        <w:rPr>
          <w:rFonts w:ascii="Calibri" w:cs="Calibri" w:eastAsia="Calibri" w:hAnsi="Calibri"/>
          <w:color w:val="E91E63"/>
          <w:sz w:val="20"/>
          <w:szCs w:val="20"/>
        </w:rPr>
        <w:t xml:space="preserve">2010-1 QPC</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6.3.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Qu’est-ce que l’arrêt Sotgiu ?</w:t>
      </w:r>
      <w:r>
        <w:rPr>
          <w:rFonts w:ascii="Calibri" w:cs="Calibri" w:eastAsia="Calibri" w:hAnsi="Calibri"/>
          <w:color w:val="1A1A1A"/>
          <w:sz w:val="20"/>
          <w:szCs w:val="20"/>
        </w:rPr>
        <w:t xml:space="preserve"> — Le premier arrêt de la Cour de justice à sanctionner une discrimination indirecte : un critère de résidence produisant les mêmes effets qu’un critère de nationalité (</w:t>
      </w:r>
      <w:r>
        <w:rPr>
          <w:rFonts w:ascii="Calibri" w:cs="Calibri" w:eastAsia="Calibri" w:hAnsi="Calibri"/>
          <w:color w:val="E91E63"/>
          <w:sz w:val="20"/>
          <w:szCs w:val="20"/>
        </w:rPr>
        <w:t xml:space="preserve">CJCE, 12 février 1974</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Combien de voix pour la violation dans D.H. ?</w:t>
      </w:r>
      <w:r>
        <w:rPr>
          <w:rFonts w:ascii="Calibri" w:cs="Calibri" w:eastAsia="Calibri" w:hAnsi="Calibri"/>
          <w:color w:val="1A1A1A"/>
          <w:sz w:val="20"/>
          <w:szCs w:val="20"/>
        </w:rPr>
        <w:t xml:space="preserve"> — Treize contre quatre, alors que la chambre avait conclu à la non-violation par six voix contre une.</w:t>
      </w:r>
    </w:p>
    <w:p>
      <w:pPr>
        <w:pStyle w:val="ListParagraph"/>
        <w:numPr>
          <w:ilvl w:val="0"/>
          <w:numId w:val="2"/>
        </w:numPr>
        <w:spacing w:after="70" w:line="264"/>
        <w:jc w:val="both"/>
      </w:pPr>
      <w:r>
        <w:rPr>
          <w:rFonts w:ascii="Calibri" w:cs="Calibri" w:eastAsia="Calibri" w:hAnsi="Calibri"/>
          <w:b/>
          <w:bCs/>
          <w:color w:val="1A1A1A"/>
          <w:sz w:val="20"/>
          <w:szCs w:val="20"/>
        </w:rPr>
        <w:t xml:space="preserve">Q. Qu’est-ce que la discrimination par association ?</w:t>
      </w:r>
      <w:r>
        <w:rPr>
          <w:rFonts w:ascii="Calibri" w:cs="Calibri" w:eastAsia="Calibri" w:hAnsi="Calibri"/>
          <w:color w:val="1A1A1A"/>
          <w:sz w:val="20"/>
          <w:szCs w:val="20"/>
        </w:rPr>
        <w:t xml:space="preserve"> — Celle que subit une personne en raison de la caractéristique protégée d’un proche (</w:t>
      </w:r>
      <w:r>
        <w:rPr>
          <w:rFonts w:ascii="Calibri" w:cs="Calibri" w:eastAsia="Calibri" w:hAnsi="Calibri"/>
          <w:color w:val="E91E63"/>
          <w:sz w:val="20"/>
          <w:szCs w:val="20"/>
        </w:rPr>
        <w:t xml:space="preserve">Coleman</w:t>
      </w:r>
      <w:r>
        <w:rPr>
          <w:rFonts w:ascii="Calibri" w:cs="Calibri" w:eastAsia="Calibri" w:hAnsi="Calibri"/>
          <w:color w:val="1A1A1A"/>
          <w:sz w:val="20"/>
          <w:szCs w:val="20"/>
        </w:rPr>
        <w:t xml:space="preserve">, 2008 ; </w:t>
      </w:r>
      <w:r>
        <w:rPr>
          <w:rFonts w:ascii="Calibri" w:cs="Calibri" w:eastAsia="Calibri" w:hAnsi="Calibri"/>
          <w:color w:val="E91E63"/>
          <w:sz w:val="20"/>
          <w:szCs w:val="20"/>
        </w:rPr>
        <w:t xml:space="preserve">Bervidi</w:t>
      </w:r>
      <w:r>
        <w:rPr>
          <w:rFonts w:ascii="Calibri" w:cs="Calibri" w:eastAsia="Calibri" w:hAnsi="Calibri"/>
          <w:color w:val="1A1A1A"/>
          <w:sz w:val="20"/>
          <w:szCs w:val="20"/>
        </w:rPr>
        <w:t xml:space="preserve">, 2025).</w:t>
      </w:r>
    </w:p>
    <w:p>
      <w:pPr>
        <w:pStyle w:val="ListParagraph"/>
        <w:numPr>
          <w:ilvl w:val="0"/>
          <w:numId w:val="2"/>
        </w:numPr>
        <w:spacing w:after="70" w:line="264"/>
        <w:jc w:val="both"/>
      </w:pPr>
      <w:r>
        <w:rPr>
          <w:rFonts w:ascii="Calibri" w:cs="Calibri" w:eastAsia="Calibri" w:hAnsi="Calibri"/>
          <w:b/>
          <w:bCs/>
          <w:color w:val="1A1A1A"/>
          <w:sz w:val="20"/>
          <w:szCs w:val="20"/>
        </w:rPr>
        <w:t xml:space="preserve">Q. Quel est l’apport de Thlimmenos ?</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14</w:t>
      </w:r>
      <w:r>
        <w:rPr>
          <w:rFonts w:ascii="Calibri" w:cs="Calibri" w:eastAsia="Calibri" w:hAnsi="Calibri"/>
          <w:color w:val="1A1A1A"/>
          <w:sz w:val="20"/>
          <w:szCs w:val="20"/>
        </w:rPr>
        <w:t xml:space="preserve"> est aussi violé lorsque l’État, sans justification, ne traite pas différemment des personnes dont les situations sont sensiblement différentes. Dans l’espèce, un témoin de Jéhovah condamné pour insoumission avait été exclu de la profession d’expert-comptable.</w:t>
      </w:r>
    </w:p>
    <w:p>
      <w:pPr>
        <w:pStyle w:val="ListParagraph"/>
        <w:numPr>
          <w:ilvl w:val="0"/>
          <w:numId w:val="2"/>
        </w:numPr>
        <w:spacing w:after="70" w:line="264"/>
        <w:jc w:val="both"/>
      </w:pPr>
      <w:r>
        <w:rPr>
          <w:rFonts w:ascii="Calibri" w:cs="Calibri" w:eastAsia="Calibri" w:hAnsi="Calibri"/>
          <w:b/>
          <w:bCs/>
          <w:color w:val="1A1A1A"/>
          <w:sz w:val="20"/>
          <w:szCs w:val="20"/>
        </w:rPr>
        <w:t xml:space="preserve">Q. L’âge est-il un critère comme les autres ?</w:t>
      </w:r>
      <w:r>
        <w:rPr>
          <w:rFonts w:ascii="Calibri" w:cs="Calibri" w:eastAsia="Calibri" w:hAnsi="Calibri"/>
          <w:color w:val="1A1A1A"/>
          <w:sz w:val="20"/>
          <w:szCs w:val="20"/>
        </w:rPr>
        <w:t xml:space="preserve"> — Non : c’est le critère dont les justifications sont le plus largement admises. Mais il a fondé un principe général du droit de l’Union d’effet horizontal (</w:t>
      </w:r>
      <w:r>
        <w:rPr>
          <w:rFonts w:ascii="Calibri" w:cs="Calibri" w:eastAsia="Calibri" w:hAnsi="Calibri"/>
          <w:color w:val="E91E63"/>
          <w:sz w:val="20"/>
          <w:szCs w:val="20"/>
        </w:rPr>
        <w:t xml:space="preserve">Mangold</w:t>
      </w:r>
      <w:r>
        <w:rPr>
          <w:rFonts w:ascii="Calibri" w:cs="Calibri" w:eastAsia="Calibri" w:hAnsi="Calibri"/>
          <w:color w:val="1A1A1A"/>
          <w:sz w:val="20"/>
          <w:szCs w:val="20"/>
        </w:rPr>
        <w:t xml:space="preserve">, 22 novembre 2005 ; </w:t>
      </w:r>
      <w:r>
        <w:rPr>
          <w:rFonts w:ascii="Calibri" w:cs="Calibri" w:eastAsia="Calibri" w:hAnsi="Calibri"/>
          <w:color w:val="E91E63"/>
          <w:sz w:val="20"/>
          <w:szCs w:val="20"/>
        </w:rPr>
        <w:t xml:space="preserve">Kücükdeveci</w:t>
      </w:r>
      <w:r>
        <w:rPr>
          <w:rFonts w:ascii="Calibri" w:cs="Calibri" w:eastAsia="Calibri" w:hAnsi="Calibri"/>
          <w:color w:val="1A1A1A"/>
          <w:sz w:val="20"/>
          <w:szCs w:val="20"/>
        </w:rPr>
        <w:t xml:space="preserve">, 19 janvier 2010).</w:t>
      </w:r>
    </w:p>
    <w:p>
      <w:pPr>
        <w:pStyle w:val="ListParagraph"/>
        <w:numPr>
          <w:ilvl w:val="0"/>
          <w:numId w:val="2"/>
        </w:numPr>
        <w:spacing w:after="70" w:line="264"/>
        <w:jc w:val="both"/>
      </w:pPr>
      <w:r>
        <w:rPr>
          <w:rFonts w:ascii="Calibri" w:cs="Calibri" w:eastAsia="Calibri" w:hAnsi="Calibri"/>
          <w:b/>
          <w:bCs/>
          <w:color w:val="1A1A1A"/>
          <w:sz w:val="20"/>
          <w:szCs w:val="20"/>
        </w:rPr>
        <w:t xml:space="preserve">Q. Pourquoi la France n’a-t-elle pas ratifié le Protocole n° 12 ?</w:t>
      </w:r>
      <w:r>
        <w:rPr>
          <w:rFonts w:ascii="Calibri" w:cs="Calibri" w:eastAsia="Calibri" w:hAnsi="Calibri"/>
          <w:color w:val="1A1A1A"/>
          <w:sz w:val="20"/>
          <w:szCs w:val="20"/>
        </w:rPr>
        <w:t xml:space="preserve"> — Par crainte d’une clause générale d’égalité, applicable à tout droit prévu par la loi, qui ouvrirait un contrôle européen illimité du principe d’égalité, notamment en matière fiscale et sociale.</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55 — LA PRISE EN COMPTE DES VULNÉRABILITÉS</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A1A1A"/>
          <w:sz w:val="20"/>
          <w:szCs w:val="20"/>
        </w:rPr>
        <w:t xml:space="preserve">Valentin Câmpeanu, jeune rom orphelin, séropositif et atteint d’un grave handicap mental, meurt à dix-huit ans en 2004 dans un hôpital psychiatrique roumain, sans famille ni représentant. Dix ans plus tard, la Grande Chambre admet la requête d’une ONG agissant en son nom (</w:t>
      </w:r>
      <w:r>
        <w:rPr>
          <w:rFonts w:ascii="Calibri" w:cs="Calibri" w:eastAsia="Calibri" w:hAnsi="Calibri"/>
          <w:color w:val="E91E63"/>
          <w:sz w:val="20"/>
          <w:szCs w:val="20"/>
        </w:rPr>
        <w:t xml:space="preserve">Câmpeanu c. Roumanie</w:t>
      </w:r>
      <w:r>
        <w:rPr>
          <w:rFonts w:ascii="Calibri" w:cs="Calibri" w:eastAsia="Calibri" w:hAnsi="Calibri"/>
          <w:color w:val="1A1A1A"/>
          <w:sz w:val="20"/>
          <w:szCs w:val="20"/>
        </w:rPr>
        <w:t xml:space="preserve">, 2014) : </w:t>
      </w:r>
      <w:r>
        <w:rPr>
          <w:rFonts w:ascii="Calibri" w:cs="Calibri" w:eastAsia="Calibri" w:hAnsi="Calibri"/>
          <w:b/>
          <w:bCs/>
          <w:color w:val="1A1A1A"/>
          <w:sz w:val="20"/>
          <w:szCs w:val="20"/>
        </w:rPr>
        <w:t xml:space="preserve">la vulnérabilité ouvre jusqu’aux portes du prétoire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pour </w:t>
      </w:r>
      <w:r>
        <w:rPr>
          <w:rFonts w:ascii="Calibri" w:cs="Calibri" w:eastAsia="Calibri" w:hAnsi="Calibri"/>
          <w:color w:val="2E7D32"/>
          <w:sz w:val="20"/>
          <w:szCs w:val="20"/>
        </w:rPr>
        <w:t xml:space="preserve">Martha Fineman</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The Vulnerable Subject</w:t>
      </w:r>
      <w:r>
        <w:rPr>
          <w:rFonts w:ascii="Calibri" w:cs="Calibri" w:eastAsia="Calibri" w:hAnsi="Calibri"/>
          <w:color w:val="1A1A1A"/>
          <w:sz w:val="20"/>
          <w:szCs w:val="20"/>
        </w:rPr>
        <w:t xml:space="preserve">, 2008), la vulnérabilité n’est pas l’attribut de quelques catégories fragiles mais la </w:t>
      </w:r>
      <w:r>
        <w:rPr>
          <w:rFonts w:ascii="Calibri" w:cs="Calibri" w:eastAsia="Calibri" w:hAnsi="Calibri"/>
          <w:b/>
          <w:bCs/>
          <w:color w:val="1A1A1A"/>
          <w:sz w:val="20"/>
          <w:szCs w:val="20"/>
        </w:rPr>
        <w:t xml:space="preserve">condition universelle</w:t>
      </w:r>
      <w:r>
        <w:rPr>
          <w:rFonts w:ascii="Calibri" w:cs="Calibri" w:eastAsia="Calibri" w:hAnsi="Calibri"/>
          <w:color w:val="1A1A1A"/>
          <w:sz w:val="20"/>
          <w:szCs w:val="20"/>
        </w:rPr>
        <w:t xml:space="preserve"> de l’être humain. Le droit positif oscille entre cette vision universelle et une approche par groupes : enfants, majeurs protégés, personnes handicapées, Roms, demandeurs d’asile.</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color w:val="1A1A1A"/>
          <w:sz w:val="20"/>
          <w:szCs w:val="20"/>
        </w:rPr>
        <w:t xml:space="preserve">La vulnérabilité désigne une situation de fragilité qui expose une personne à des atteintes à ses droits et appelle une protection renforcée. Cette fragilité tient soit à la </w:t>
      </w:r>
      <w:r>
        <w:rPr>
          <w:rFonts w:ascii="Calibri" w:cs="Calibri" w:eastAsia="Calibri" w:hAnsi="Calibri"/>
          <w:b/>
          <w:bCs/>
          <w:color w:val="1A1A1A"/>
          <w:sz w:val="20"/>
          <w:szCs w:val="20"/>
        </w:rPr>
        <w:t xml:space="preserve">personne</w:t>
      </w:r>
      <w:r>
        <w:rPr>
          <w:rFonts w:ascii="Calibri" w:cs="Calibri" w:eastAsia="Calibri" w:hAnsi="Calibri"/>
          <w:color w:val="1A1A1A"/>
          <w:sz w:val="20"/>
          <w:szCs w:val="20"/>
        </w:rPr>
        <w:t xml:space="preserve"> (âge, maladie, handicap, grossesse), soit à sa </w:t>
      </w:r>
      <w:r>
        <w:rPr>
          <w:rFonts w:ascii="Calibri" w:cs="Calibri" w:eastAsia="Calibri" w:hAnsi="Calibri"/>
          <w:b/>
          <w:bCs/>
          <w:color w:val="1A1A1A"/>
          <w:sz w:val="20"/>
          <w:szCs w:val="20"/>
        </w:rPr>
        <w:t xml:space="preserve">situation</w:t>
      </w:r>
      <w:r>
        <w:rPr>
          <w:rFonts w:ascii="Calibri" w:cs="Calibri" w:eastAsia="Calibri" w:hAnsi="Calibri"/>
          <w:color w:val="1A1A1A"/>
          <w:sz w:val="20"/>
          <w:szCs w:val="20"/>
        </w:rPr>
        <w:t xml:space="preserve"> (dépendance, précarité, exil, appartenance à un groupe stigmatisé).</w:t>
      </w:r>
    </w:p>
    <w:p>
      <w:pPr>
        <w:pStyle w:val="ListParagraph"/>
        <w:numPr>
          <w:ilvl w:val="0"/>
          <w:numId w:val="2"/>
        </w:numPr>
        <w:spacing w:after="70" w:line="264"/>
        <w:jc w:val="both"/>
      </w:pPr>
      <w:r>
        <w:rPr>
          <w:rFonts w:ascii="Calibri" w:cs="Calibri" w:eastAsia="Calibri" w:hAnsi="Calibri"/>
          <w:color w:val="1A1A1A"/>
          <w:sz w:val="20"/>
          <w:szCs w:val="20"/>
        </w:rPr>
        <w:t xml:space="preserve">C’est une </w:t>
      </w:r>
      <w:r>
        <w:rPr>
          <w:rFonts w:ascii="Calibri" w:cs="Calibri" w:eastAsia="Calibri" w:hAnsi="Calibri"/>
          <w:b/>
          <w:bCs/>
          <w:color w:val="1A1A1A"/>
          <w:sz w:val="20"/>
          <w:szCs w:val="20"/>
        </w:rPr>
        <w:t xml:space="preserve">notion fonctionnelle</w:t>
      </w:r>
      <w:r>
        <w:rPr>
          <w:rFonts w:ascii="Calibri" w:cs="Calibri" w:eastAsia="Calibri" w:hAnsi="Calibri"/>
          <w:color w:val="1A1A1A"/>
          <w:sz w:val="20"/>
          <w:szCs w:val="20"/>
        </w:rPr>
        <w:t xml:space="preserve"> et non un statut, aux effets multiples :</w:t>
      </w:r>
    </w:p>
    <w:p>
      <w:pPr>
        <w:pStyle w:val="ListParagraph"/>
        <w:numPr>
          <w:ilvl w:val="0"/>
          <w:numId w:val="2"/>
        </w:numPr>
        <w:spacing w:after="70" w:line="264"/>
        <w:jc w:val="both"/>
      </w:pPr>
      <w:r>
        <w:rPr>
          <w:rFonts w:ascii="Calibri" w:cs="Calibri" w:eastAsia="Calibri" w:hAnsi="Calibri"/>
          <w:color w:val="1A1A1A"/>
          <w:sz w:val="20"/>
          <w:szCs w:val="20"/>
        </w:rPr>
        <w:t xml:space="preserve">— elle aggrave la répression pénale ;</w:t>
      </w:r>
    </w:p>
    <w:p>
      <w:pPr>
        <w:pStyle w:val="ListParagraph"/>
        <w:numPr>
          <w:ilvl w:val="0"/>
          <w:numId w:val="2"/>
        </w:numPr>
        <w:spacing w:after="70" w:line="264"/>
        <w:jc w:val="both"/>
      </w:pPr>
      <w:r>
        <w:rPr>
          <w:rFonts w:ascii="Calibri" w:cs="Calibri" w:eastAsia="Calibri" w:hAnsi="Calibri"/>
          <w:color w:val="1A1A1A"/>
          <w:sz w:val="20"/>
          <w:szCs w:val="20"/>
        </w:rPr>
        <w:t xml:space="preserve">— elle fonde les incapacités protectrices ;</w:t>
      </w:r>
    </w:p>
    <w:p>
      <w:pPr>
        <w:pStyle w:val="ListParagraph"/>
        <w:numPr>
          <w:ilvl w:val="0"/>
          <w:numId w:val="2"/>
        </w:numPr>
        <w:spacing w:after="70" w:line="264"/>
        <w:jc w:val="both"/>
      </w:pPr>
      <w:r>
        <w:rPr>
          <w:rFonts w:ascii="Calibri" w:cs="Calibri" w:eastAsia="Calibri" w:hAnsi="Calibri"/>
          <w:color w:val="1A1A1A"/>
          <w:sz w:val="20"/>
          <w:szCs w:val="20"/>
        </w:rPr>
        <w:t xml:space="preserve">— elle </w:t>
      </w:r>
      <w:r>
        <w:rPr>
          <w:rFonts w:ascii="Calibri" w:cs="Calibri" w:eastAsia="Calibri" w:hAnsi="Calibri"/>
          <w:b/>
          <w:bCs/>
          <w:color w:val="1A1A1A"/>
          <w:sz w:val="20"/>
          <w:szCs w:val="20"/>
        </w:rPr>
        <w:t xml:space="preserve">renforce les obligations positives</w:t>
      </w:r>
      <w:r>
        <w:rPr>
          <w:rFonts w:ascii="Calibri" w:cs="Calibri" w:eastAsia="Calibri" w:hAnsi="Calibri"/>
          <w:color w:val="1A1A1A"/>
          <w:sz w:val="20"/>
          <w:szCs w:val="20"/>
        </w:rPr>
        <w:t xml:space="preserve"> de l’État et </w:t>
      </w:r>
      <w:r>
        <w:rPr>
          <w:rFonts w:ascii="Calibri" w:cs="Calibri" w:eastAsia="Calibri" w:hAnsi="Calibri"/>
          <w:b/>
          <w:bCs/>
          <w:color w:val="1A1A1A"/>
          <w:sz w:val="20"/>
          <w:szCs w:val="20"/>
        </w:rPr>
        <w:t xml:space="preserve">réduit sa marge d’appréciation</w:t>
      </w:r>
      <w:r>
        <w:rPr>
          <w:rFonts w:ascii="Calibri" w:cs="Calibri" w:eastAsia="Calibri" w:hAnsi="Calibri"/>
          <w:color w:val="1A1A1A"/>
          <w:sz w:val="20"/>
          <w:szCs w:val="20"/>
        </w:rPr>
        <w:t xml:space="preserve"> ;</w:t>
      </w:r>
    </w:p>
    <w:p>
      <w:pPr>
        <w:pStyle w:val="ListParagraph"/>
        <w:numPr>
          <w:ilvl w:val="0"/>
          <w:numId w:val="2"/>
        </w:numPr>
        <w:spacing w:after="70" w:line="264"/>
        <w:jc w:val="both"/>
      </w:pPr>
      <w:r>
        <w:rPr>
          <w:rFonts w:ascii="Calibri" w:cs="Calibri" w:eastAsia="Calibri" w:hAnsi="Calibri"/>
          <w:color w:val="1A1A1A"/>
          <w:sz w:val="20"/>
          <w:szCs w:val="20"/>
        </w:rPr>
        <w:t xml:space="preserve">— elle justifie des mesures de compensation.</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221-4, 3° C. pén.</w:t>
      </w:r>
      <w:r>
        <w:rPr>
          <w:rFonts w:ascii="Calibri" w:cs="Calibri" w:eastAsia="Calibri" w:hAnsi="Calibri"/>
          <w:color w:val="1A1A1A"/>
          <w:sz w:val="20"/>
          <w:szCs w:val="20"/>
        </w:rPr>
        <w:t xml:space="preserve"> (la personne dont la « particulière vulnérabilité, due à son âge, à une maladie, à une infirmité, à une déficience physique ou psychique ou à un état de grossesse, est apparente ou connue de son auteur ») ; </w:t>
      </w:r>
      <w:r>
        <w:rPr>
          <w:rFonts w:ascii="Calibri" w:cs="Calibri" w:eastAsia="Calibri" w:hAnsi="Calibri"/>
          <w:color w:val="1E88E5"/>
          <w:sz w:val="20"/>
          <w:szCs w:val="20"/>
        </w:rPr>
        <w:t xml:space="preserve">art. 223-15-2 C. pén.</w:t>
      </w:r>
      <w:r>
        <w:rPr>
          <w:rFonts w:ascii="Calibri" w:cs="Calibri" w:eastAsia="Calibri" w:hAnsi="Calibri"/>
          <w:color w:val="1A1A1A"/>
          <w:sz w:val="20"/>
          <w:szCs w:val="20"/>
        </w:rPr>
        <w:t xml:space="preserve"> (abus de faiblesse) ; </w:t>
      </w:r>
      <w:r>
        <w:rPr>
          <w:rFonts w:ascii="Calibri" w:cs="Calibri" w:eastAsia="Calibri" w:hAnsi="Calibri"/>
          <w:color w:val="1E88E5"/>
          <w:sz w:val="20"/>
          <w:szCs w:val="20"/>
        </w:rPr>
        <w:t xml:space="preserve">art. 415 et 425 C. civ.</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Convention relative aux droits des personnes handicapées (13 décembre 2006)</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n° 2005-102 du 11 février 2005</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L. 114-1 CASF</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21 janvier 2011, M.S.S. c. Belgique et Grèce, n° 30696/09</w:t>
      </w:r>
      <w:r>
        <w:rPr>
          <w:rFonts w:ascii="Calibri" w:cs="Calibri" w:eastAsia="Calibri" w:hAnsi="Calibri"/>
          <w:color w:val="1A1A1A"/>
          <w:sz w:val="20"/>
          <w:szCs w:val="20"/>
        </w:rPr>
        <w:t xml:space="preserve"> : le demandeur d’asile appartient à un groupe « particulièrement défavorisé et vulnérable » qui a besoin d’une protection spéciale.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17 juillet 2014, Centre de ressources juridiques au nom de Valentin Câmpeanu c. Roumanie, n° 47848/08</w:t>
      </w:r>
      <w:r>
        <w:rPr>
          <w:rFonts w:ascii="Calibri" w:cs="Calibri" w:eastAsia="Calibri" w:hAnsi="Calibri"/>
          <w:color w:val="1A1A1A"/>
          <w:sz w:val="20"/>
          <w:szCs w:val="20"/>
        </w:rPr>
        <w:t xml:space="preserve"> : qualité pour agir d’une ONG au nom d’une victime extrêmement vulnérable et décédée.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16 juillet 2026, S.T. c. République tchèque, n° 28273/23</w:t>
      </w:r>
      <w:r>
        <w:rPr>
          <w:rFonts w:ascii="Calibri" w:cs="Calibri" w:eastAsia="Calibri" w:hAnsi="Calibri"/>
          <w:color w:val="1A1A1A"/>
          <w:sz w:val="20"/>
          <w:szCs w:val="20"/>
        </w:rPr>
        <w:t xml:space="preserve"> : décès d’un homme rom immobilisé par la police. Le </w:t>
      </w:r>
      <w:r>
        <w:rPr>
          <w:rFonts w:ascii="Calibri" w:cs="Calibri" w:eastAsia="Calibri" w:hAnsi="Calibri"/>
          <w:b/>
          <w:bCs/>
          <w:color w:val="1A1A1A"/>
          <w:sz w:val="20"/>
          <w:szCs w:val="20"/>
        </w:rPr>
        <w:t xml:space="preserve">cumul des facteurs de vulnérabilité</w:t>
      </w:r>
      <w:r>
        <w:rPr>
          <w:rFonts w:ascii="Calibri" w:cs="Calibri" w:eastAsia="Calibri" w:hAnsi="Calibri"/>
          <w:color w:val="1A1A1A"/>
          <w:sz w:val="20"/>
          <w:szCs w:val="20"/>
        </w:rPr>
        <w:t xml:space="preserve"> emporte violation des </w:t>
      </w:r>
      <w:r>
        <w:rPr>
          <w:rFonts w:ascii="Calibri" w:cs="Calibri" w:eastAsia="Calibri" w:hAnsi="Calibri"/>
          <w:color w:val="1E88E5"/>
          <w:sz w:val="20"/>
          <w:szCs w:val="20"/>
        </w:rPr>
        <w:t xml:space="preserve">art. 2</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3</w:t>
      </w:r>
      <w:r>
        <w:rPr>
          <w:rFonts w:ascii="Calibri" w:cs="Calibri" w:eastAsia="Calibri" w:hAnsi="Calibri"/>
          <w:color w:val="1A1A1A"/>
          <w:sz w:val="20"/>
          <w:szCs w:val="20"/>
        </w:rPr>
        <w:t xml:space="preserve"> et </w:t>
      </w:r>
      <w:r>
        <w:rPr>
          <w:rFonts w:ascii="Calibri" w:cs="Calibri" w:eastAsia="Calibri" w:hAnsi="Calibri"/>
          <w:color w:val="1E88E5"/>
          <w:sz w:val="20"/>
          <w:szCs w:val="20"/>
        </w:rPr>
        <w:t xml:space="preserve">14</w:t>
      </w:r>
      <w:r>
        <w:rPr>
          <w:rFonts w:ascii="Calibri" w:cs="Calibri" w:eastAsia="Calibri" w:hAnsi="Calibri"/>
          <w:color w:val="1A1A1A"/>
          <w:sz w:val="20"/>
          <w:szCs w:val="20"/>
        </w:rPr>
        <w:t xml:space="preserve">, faute d’enquête sur un mobile raciste.</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La vulnérabilité, notion juridique ?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Une notion diffuse</w:t>
      </w:r>
      <w:r>
        <w:rPr>
          <w:rFonts w:ascii="Calibri" w:cs="Calibri" w:eastAsia="Calibri" w:hAnsi="Calibri"/>
          <w:color w:val="1A1A1A"/>
          <w:sz w:val="20"/>
          <w:szCs w:val="20"/>
        </w:rPr>
        <w:t xml:space="preserve"> (A. L’absence de définition générale : formules du Code pénal ; </w:t>
      </w:r>
      <w:r>
        <w:rPr>
          <w:rFonts w:ascii="Calibri" w:cs="Calibri" w:eastAsia="Calibri" w:hAnsi="Calibri"/>
          <w:color w:val="1E88E5"/>
          <w:sz w:val="20"/>
          <w:szCs w:val="20"/>
        </w:rPr>
        <w:t xml:space="preserve">art. L. 522-3 CESEDA</w:t>
      </w:r>
      <w:r>
        <w:rPr>
          <w:rFonts w:ascii="Calibri" w:cs="Calibri" w:eastAsia="Calibri" w:hAnsi="Calibri"/>
          <w:color w:val="1A1A1A"/>
          <w:sz w:val="20"/>
          <w:szCs w:val="20"/>
        </w:rPr>
        <w:t xml:space="preserve"> ; Code civil ; B. Une notion à géométrie variable : personne, groupe ou situation (</w:t>
      </w:r>
      <w:r>
        <w:rPr>
          <w:rFonts w:ascii="Calibri" w:cs="Calibri" w:eastAsia="Calibri" w:hAnsi="Calibri"/>
          <w:color w:val="E91E63"/>
          <w:sz w:val="20"/>
          <w:szCs w:val="20"/>
        </w:rPr>
        <w:t xml:space="preserve">Chapman</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D.H.</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M.S.S.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II. Une notion opératoire</w:t>
      </w:r>
      <w:r>
        <w:rPr>
          <w:rFonts w:ascii="Calibri" w:cs="Calibri" w:eastAsia="Calibri" w:hAnsi="Calibri"/>
          <w:color w:val="1A1A1A"/>
          <w:sz w:val="20"/>
          <w:szCs w:val="20"/>
        </w:rPr>
        <w:t xml:space="preserve"> (A. Un multiplicateur d’obligations positives : </w:t>
      </w:r>
      <w:r>
        <w:rPr>
          <w:rFonts w:ascii="Calibri" w:cs="Calibri" w:eastAsia="Calibri" w:hAnsi="Calibri"/>
          <w:color w:val="E91E63"/>
          <w:sz w:val="20"/>
          <w:szCs w:val="20"/>
        </w:rPr>
        <w:t xml:space="preserve">Opuz</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Câmpeanu</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S.T.</w:t>
      </w:r>
      <w:r>
        <w:rPr>
          <w:rFonts w:ascii="Calibri" w:cs="Calibri" w:eastAsia="Calibri" w:hAnsi="Calibri"/>
          <w:color w:val="1A1A1A"/>
          <w:sz w:val="20"/>
          <w:szCs w:val="20"/>
        </w:rPr>
        <w:t xml:space="preserve"> ; B. Le risque du paternalisme : </w:t>
      </w:r>
      <w:r>
        <w:rPr>
          <w:rFonts w:ascii="Calibri" w:cs="Calibri" w:eastAsia="Calibri" w:hAnsi="Calibri"/>
          <w:color w:val="E91E63"/>
          <w:sz w:val="20"/>
          <w:szCs w:val="20"/>
        </w:rPr>
        <w:t xml:space="preserve">2020-888 QPC</w:t>
      </w:r>
      <w:r>
        <w:rPr>
          <w:rFonts w:ascii="Calibri" w:cs="Calibri" w:eastAsia="Calibri" w:hAnsi="Calibri"/>
          <w:color w:val="1A1A1A"/>
          <w:sz w:val="20"/>
          <w:szCs w:val="20"/>
        </w:rPr>
        <w:t xml:space="preserve"> ; droit de vote des majeurs en tutelle (</w:t>
      </w:r>
      <w:r>
        <w:rPr>
          <w:rFonts w:ascii="Calibri" w:cs="Calibri" w:eastAsia="Calibri" w:hAnsi="Calibri"/>
          <w:color w:val="1E88E5"/>
          <w:sz w:val="20"/>
          <w:szCs w:val="20"/>
        </w:rPr>
        <w:t xml:space="preserve">loi du 23 mars 2019</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Protéger les personnes vulnérables sans les priver de leurs droits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La logique de protection</w:t>
      </w:r>
      <w:r>
        <w:rPr>
          <w:rFonts w:ascii="Calibri" w:cs="Calibri" w:eastAsia="Calibri" w:hAnsi="Calibri"/>
          <w:color w:val="1A1A1A"/>
          <w:sz w:val="20"/>
          <w:szCs w:val="20"/>
        </w:rPr>
        <w:t xml:space="preserve"> (A. Les incapacités : mineurs, majeurs protégés ; B. La répression : circonstances aggravantes, abus de faiblesse, exploitation de la mendicité) / </w:t>
      </w:r>
      <w:r>
        <w:rPr>
          <w:rFonts w:ascii="Calibri" w:cs="Calibri" w:eastAsia="Calibri" w:hAnsi="Calibri"/>
          <w:b/>
          <w:bCs/>
          <w:color w:val="1A1A1A"/>
          <w:sz w:val="20"/>
          <w:szCs w:val="20"/>
        </w:rPr>
        <w:t xml:space="preserve">II. La logique d’autonomie</w:t>
      </w:r>
      <w:r>
        <w:rPr>
          <w:rFonts w:ascii="Calibri" w:cs="Calibri" w:eastAsia="Calibri" w:hAnsi="Calibri"/>
          <w:color w:val="1A1A1A"/>
          <w:sz w:val="20"/>
          <w:szCs w:val="20"/>
        </w:rPr>
        <w:t xml:space="preserve"> (A. Une capacité juridique égale : </w:t>
      </w:r>
      <w:r>
        <w:rPr>
          <w:rFonts w:ascii="Calibri" w:cs="Calibri" w:eastAsia="Calibri" w:hAnsi="Calibri"/>
          <w:color w:val="1E88E5"/>
          <w:sz w:val="20"/>
          <w:szCs w:val="20"/>
        </w:rPr>
        <w:t xml:space="preserve">art. 12 CRPD</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Alajos Kiss c. Hongrie</w:t>
      </w:r>
      <w:r>
        <w:rPr>
          <w:rFonts w:ascii="Calibri" w:cs="Calibri" w:eastAsia="Calibri" w:hAnsi="Calibri"/>
          <w:color w:val="1A1A1A"/>
          <w:sz w:val="20"/>
          <w:szCs w:val="20"/>
        </w:rPr>
        <w:t xml:space="preserve"> ; B. Une autodétermination préservée : </w:t>
      </w:r>
      <w:r>
        <w:rPr>
          <w:rFonts w:ascii="Calibri" w:cs="Calibri" w:eastAsia="Calibri" w:hAnsi="Calibri"/>
          <w:color w:val="E91E63"/>
          <w:sz w:val="20"/>
          <w:szCs w:val="20"/>
        </w:rPr>
        <w:t xml:space="preserve">W.W. c. Pologne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Lacatus c. Suisse</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La vulnérabilité n’est pas un motif de discrimination.</w:t>
      </w:r>
      <w:r>
        <w:rPr>
          <w:rFonts w:ascii="Calibri" w:cs="Calibri" w:eastAsia="Calibri" w:hAnsi="Calibri"/>
          <w:color w:val="1A1A1A"/>
          <w:sz w:val="20"/>
          <w:szCs w:val="20"/>
        </w:rPr>
        <w:t xml:space="preserve"> L’</w:t>
      </w:r>
      <w:r>
        <w:rPr>
          <w:rFonts w:ascii="Calibri" w:cs="Calibri" w:eastAsia="Calibri" w:hAnsi="Calibri"/>
          <w:color w:val="1E88E5"/>
          <w:sz w:val="20"/>
          <w:szCs w:val="20"/>
        </w:rPr>
        <w:t xml:space="preserve">art. 14</w:t>
      </w:r>
      <w:r>
        <w:rPr>
          <w:rFonts w:ascii="Calibri" w:cs="Calibri" w:eastAsia="Calibri" w:hAnsi="Calibri"/>
          <w:color w:val="1A1A1A"/>
          <w:sz w:val="20"/>
          <w:szCs w:val="20"/>
        </w:rPr>
        <w:t xml:space="preserve"> énumère des critères ; la vulnérabilité est un </w:t>
      </w:r>
      <w:r>
        <w:rPr>
          <w:rFonts w:ascii="Calibri" w:cs="Calibri" w:eastAsia="Calibri" w:hAnsi="Calibri"/>
          <w:b/>
          <w:bCs/>
          <w:color w:val="1A1A1A"/>
          <w:sz w:val="20"/>
          <w:szCs w:val="20"/>
        </w:rPr>
        <w:t xml:space="preserve">facteur d’intensité du contrôle</w:t>
      </w:r>
      <w:r>
        <w:rPr>
          <w:rFonts w:ascii="Calibri" w:cs="Calibri" w:eastAsia="Calibri" w:hAnsi="Calibri"/>
          <w:color w:val="1A1A1A"/>
          <w:sz w:val="20"/>
          <w:szCs w:val="20"/>
        </w:rPr>
        <w:t xml:space="preserve">. Les deux peuvent se rejoindre (Roms, personnes séropositives), mais ne se confondent pas.</w:t>
      </w:r>
    </w:p>
    <w:p>
      <w:pPr>
        <w:pStyle w:val="ListParagraph"/>
        <w:numPr>
          <w:ilvl w:val="0"/>
          <w:numId w:val="2"/>
        </w:numPr>
        <w:spacing w:after="70" w:line="264"/>
        <w:jc w:val="both"/>
      </w:pPr>
      <w:r>
        <w:rPr>
          <w:rFonts w:ascii="Calibri" w:cs="Calibri" w:eastAsia="Calibri" w:hAnsi="Calibri"/>
          <w:b/>
          <w:bCs/>
          <w:color w:val="1A1A1A"/>
          <w:sz w:val="20"/>
          <w:szCs w:val="20"/>
        </w:rPr>
        <w:t xml:space="preserve">La France ne reconnaît pas de minorités.</w:t>
      </w:r>
      <w:r>
        <w:rPr>
          <w:rFonts w:ascii="Calibri" w:cs="Calibri" w:eastAsia="Calibri" w:hAnsi="Calibri"/>
          <w:color w:val="1A1A1A"/>
          <w:sz w:val="20"/>
          <w:szCs w:val="20"/>
        </w:rPr>
        <w:t xml:space="preserve"> Pour le Conseil constitutionnel, l’</w:t>
      </w:r>
      <w:r>
        <w:rPr>
          <w:rFonts w:ascii="Calibri" w:cs="Calibri" w:eastAsia="Calibri" w:hAnsi="Calibri"/>
          <w:color w:val="1E88E5"/>
          <w:sz w:val="20"/>
          <w:szCs w:val="20"/>
        </w:rPr>
        <w:t xml:space="preserve">art. 1er Constitution</w:t>
      </w:r>
      <w:r>
        <w:rPr>
          <w:rFonts w:ascii="Calibri" w:cs="Calibri" w:eastAsia="Calibri" w:hAnsi="Calibri"/>
          <w:color w:val="1A1A1A"/>
          <w:sz w:val="20"/>
          <w:szCs w:val="20"/>
        </w:rPr>
        <w:t xml:space="preserve"> s’oppose à la reconnaissance de droits collectifs (</w:t>
      </w:r>
      <w:r>
        <w:rPr>
          <w:rFonts w:ascii="Calibri" w:cs="Calibri" w:eastAsia="Calibri" w:hAnsi="Calibri"/>
          <w:color w:val="E91E63"/>
          <w:sz w:val="20"/>
          <w:szCs w:val="20"/>
        </w:rPr>
        <w:t xml:space="preserve">99-412 DC</w:t>
      </w:r>
      <w:r>
        <w:rPr>
          <w:rFonts w:ascii="Calibri" w:cs="Calibri" w:eastAsia="Calibri" w:hAnsi="Calibri"/>
          <w:color w:val="1A1A1A"/>
          <w:sz w:val="20"/>
          <w:szCs w:val="20"/>
        </w:rPr>
        <w:t xml:space="preserve">). La France a déclaré que l’</w:t>
      </w:r>
      <w:r>
        <w:rPr>
          <w:rFonts w:ascii="Calibri" w:cs="Calibri" w:eastAsia="Calibri" w:hAnsi="Calibri"/>
          <w:color w:val="1E88E5"/>
          <w:sz w:val="20"/>
          <w:szCs w:val="20"/>
        </w:rPr>
        <w:t xml:space="preserve">art. 27 PIDCP</w:t>
      </w:r>
      <w:r>
        <w:rPr>
          <w:rFonts w:ascii="Calibri" w:cs="Calibri" w:eastAsia="Calibri" w:hAnsi="Calibri"/>
          <w:color w:val="1A1A1A"/>
          <w:sz w:val="20"/>
          <w:szCs w:val="20"/>
        </w:rPr>
        <w:t xml:space="preserve"> n’avait « pas lieu de s’appliquer » en ce qui la concerne, et elle n’a ni signé ni ratifié la </w:t>
      </w:r>
      <w:r>
        <w:rPr>
          <w:rFonts w:ascii="Calibri" w:cs="Calibri" w:eastAsia="Calibri" w:hAnsi="Calibri"/>
          <w:color w:val="1E88E5"/>
          <w:sz w:val="20"/>
          <w:szCs w:val="20"/>
        </w:rPr>
        <w:t xml:space="preserve">Convention-cadre pour la protection des minorités nationales (1er février 1995)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La liste de l’article L. 522-3 CESEDA n’est pas exhaustive.</w:t>
      </w:r>
      <w:r>
        <w:rPr>
          <w:rFonts w:ascii="Calibri" w:cs="Calibri" w:eastAsia="Calibri" w:hAnsi="Calibri"/>
          <w:color w:val="1A1A1A"/>
          <w:sz w:val="20"/>
          <w:szCs w:val="20"/>
        </w:rPr>
        <w:t xml:space="preserve"> Elle commence par « en particulier » ; le fascicule la dit à tort « exhaustive ». La Cour européenne refuse elle aussi de fixer des critères abstraits et apprécie la vulnérabilité au cas par cas (</w:t>
      </w:r>
      <w:r>
        <w:rPr>
          <w:rFonts w:ascii="Calibri" w:cs="Calibri" w:eastAsia="Calibri" w:hAnsi="Calibri"/>
          <w:color w:val="E91E63"/>
          <w:sz w:val="20"/>
          <w:szCs w:val="20"/>
        </w:rPr>
        <w:t xml:space="preserve">Ilias et Ahmed c. Hongrie</w:t>
      </w:r>
      <w:r>
        <w:rPr>
          <w:rFonts w:ascii="Calibri" w:cs="Calibri" w:eastAsia="Calibri" w:hAnsi="Calibri"/>
          <w:color w:val="1A1A1A"/>
          <w:sz w:val="20"/>
          <w:szCs w:val="20"/>
        </w:rPr>
        <w:t xml:space="preserve">, GC, 21 novembre 2019).</w:t>
      </w:r>
    </w:p>
    <w:p>
      <w:r>
        <w:br w:type="page"/>
      </w:r>
    </w:p>
    <w:p>
      <w:pPr>
        <w:pStyle w:val="Heading2"/>
        <w:spacing w:after="120" w:before="280"/>
      </w:pPr>
      <w:r>
        <w:rPr>
          <w:rFonts w:ascii="Calibri" w:cs="Calibri" w:eastAsia="Calibri" w:hAnsi="Calibri"/>
          <w:b/>
          <w:bCs/>
          <w:color w:val="1A1A1A"/>
          <w:sz w:val="24"/>
          <w:szCs w:val="24"/>
        </w:rPr>
        <w:t xml:space="preserve">1. La notion et ses fondements</w:t>
      </w:r>
    </w:p>
    <w:p>
      <w:pPr>
        <w:pStyle w:val="ListParagraph"/>
        <w:numPr>
          <w:ilvl w:val="0"/>
          <w:numId w:val="2"/>
        </w:numPr>
        <w:spacing w:after="70" w:line="264"/>
        <w:jc w:val="both"/>
      </w:pPr>
      <w:r>
        <w:rPr>
          <w:rFonts w:ascii="Calibri" w:cs="Calibri" w:eastAsia="Calibri" w:hAnsi="Calibri"/>
          <w:b/>
          <w:bCs/>
          <w:color w:val="1A1A1A"/>
          <w:sz w:val="20"/>
          <w:szCs w:val="20"/>
        </w:rPr>
        <w:t xml:space="preserve">Origine</w:t>
      </w:r>
      <w:r>
        <w:rPr>
          <w:rFonts w:ascii="Calibri" w:cs="Calibri" w:eastAsia="Calibri" w:hAnsi="Calibri"/>
          <w:color w:val="1A1A1A"/>
          <w:sz w:val="20"/>
          <w:szCs w:val="20"/>
        </w:rPr>
        <w:t xml:space="preserve"> : du latin </w:t>
      </w:r>
      <w:r>
        <w:rPr>
          <w:rFonts w:ascii="Calibri" w:cs="Calibri" w:eastAsia="Calibri" w:hAnsi="Calibri"/>
          <w:i/>
          <w:iCs/>
          <w:color w:val="1A1A1A"/>
          <w:sz w:val="20"/>
          <w:szCs w:val="20"/>
        </w:rPr>
        <w:t xml:space="preserve">vulnerare</w:t>
      </w:r>
      <w:r>
        <w:rPr>
          <w:rFonts w:ascii="Calibri" w:cs="Calibri" w:eastAsia="Calibri" w:hAnsi="Calibri"/>
          <w:color w:val="1A1A1A"/>
          <w:sz w:val="20"/>
          <w:szCs w:val="20"/>
        </w:rPr>
        <w:t xml:space="preserve">, blesser. La notion vient de l’</w:t>
      </w:r>
      <w:r>
        <w:rPr>
          <w:rFonts w:ascii="Calibri" w:cs="Calibri" w:eastAsia="Calibri" w:hAnsi="Calibri"/>
          <w:b/>
          <w:bCs/>
          <w:color w:val="1A1A1A"/>
          <w:sz w:val="20"/>
          <w:szCs w:val="20"/>
        </w:rPr>
        <w:t xml:space="preserve">éthique du care</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Carol Gilligan</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In a Different Voice</w:t>
      </w:r>
      <w:r>
        <w:rPr>
          <w:rFonts w:ascii="Calibri" w:cs="Calibri" w:eastAsia="Calibri" w:hAnsi="Calibri"/>
          <w:color w:val="1A1A1A"/>
          <w:sz w:val="20"/>
          <w:szCs w:val="20"/>
        </w:rPr>
        <w:t xml:space="preserve">, 1982 ; </w:t>
      </w:r>
      <w:r>
        <w:rPr>
          <w:rFonts w:ascii="Calibri" w:cs="Calibri" w:eastAsia="Calibri" w:hAnsi="Calibri"/>
          <w:color w:val="2E7D32"/>
          <w:sz w:val="20"/>
          <w:szCs w:val="20"/>
        </w:rPr>
        <w:t xml:space="preserve">Joan Tronto</w:t>
      </w:r>
      <w:r>
        <w:rPr>
          <w:rFonts w:ascii="Calibri" w:cs="Calibri" w:eastAsia="Calibri" w:hAnsi="Calibri"/>
          <w:color w:val="1A1A1A"/>
          <w:sz w:val="20"/>
          <w:szCs w:val="20"/>
        </w:rPr>
        <w:t xml:space="preserve">) et de la théorie du </w:t>
      </w:r>
      <w:r>
        <w:rPr>
          <w:rFonts w:ascii="Calibri" w:cs="Calibri" w:eastAsia="Calibri" w:hAnsi="Calibri"/>
          <w:i/>
          <w:iCs/>
          <w:color w:val="1A1A1A"/>
          <w:sz w:val="20"/>
          <w:szCs w:val="20"/>
        </w:rPr>
        <w:t xml:space="preserve">vulnerable subject</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Martha Fineman</w:t>
      </w:r>
      <w:r>
        <w:rPr>
          <w:rFonts w:ascii="Calibri" w:cs="Calibri" w:eastAsia="Calibri" w:hAnsi="Calibri"/>
          <w:color w:val="1A1A1A"/>
          <w:sz w:val="20"/>
          <w:szCs w:val="20"/>
        </w:rPr>
        <w:t xml:space="preserve">, 2008).</w:t>
      </w:r>
    </w:p>
    <w:p>
      <w:pPr>
        <w:pStyle w:val="ListParagraph"/>
        <w:numPr>
          <w:ilvl w:val="0"/>
          <w:numId w:val="2"/>
        </w:numPr>
        <w:spacing w:after="70" w:line="264"/>
        <w:jc w:val="both"/>
      </w:pPr>
      <w:r>
        <w:rPr>
          <w:rFonts w:ascii="Calibri" w:cs="Calibri" w:eastAsia="Calibri" w:hAnsi="Calibri"/>
          <w:color w:val="1A1A1A"/>
          <w:sz w:val="20"/>
          <w:szCs w:val="20"/>
        </w:rPr>
        <w:t xml:space="preserve">En droit européen, l’analyse de référence est celle de </w:t>
      </w:r>
      <w:r>
        <w:rPr>
          <w:rFonts w:ascii="Calibri" w:cs="Calibri" w:eastAsia="Calibri" w:hAnsi="Calibri"/>
          <w:color w:val="2E7D32"/>
          <w:sz w:val="20"/>
          <w:szCs w:val="20"/>
        </w:rPr>
        <w:t xml:space="preserve">Lourdes Peroni</w:t>
      </w:r>
      <w:r>
        <w:rPr>
          <w:rFonts w:ascii="Calibri" w:cs="Calibri" w:eastAsia="Calibri" w:hAnsi="Calibri"/>
          <w:color w:val="1A1A1A"/>
          <w:sz w:val="20"/>
          <w:szCs w:val="20"/>
        </w:rPr>
        <w:t xml:space="preserve"> et </w:t>
      </w:r>
      <w:r>
        <w:rPr>
          <w:rFonts w:ascii="Calibri" w:cs="Calibri" w:eastAsia="Calibri" w:hAnsi="Calibri"/>
          <w:color w:val="2E7D32"/>
          <w:sz w:val="20"/>
          <w:szCs w:val="20"/>
        </w:rPr>
        <w:t xml:space="preserve">Alexandra Timmer</w:t>
      </w:r>
      <w:r>
        <w:rPr>
          <w:rFonts w:ascii="Calibri" w:cs="Calibri" w:eastAsia="Calibri" w:hAnsi="Calibri"/>
          <w:color w:val="1A1A1A"/>
          <w:sz w:val="20"/>
          <w:szCs w:val="20"/>
        </w:rPr>
        <w:t xml:space="preserve"> (« Vulnerable groups: the promise of an emerging concept in European Human Rights Convention law », </w:t>
      </w:r>
      <w:r>
        <w:rPr>
          <w:rFonts w:ascii="Calibri" w:cs="Calibri" w:eastAsia="Calibri" w:hAnsi="Calibri"/>
          <w:color w:val="2E7D32"/>
          <w:sz w:val="20"/>
          <w:szCs w:val="20"/>
        </w:rPr>
        <w:t xml:space="preserve">I·CON</w:t>
      </w:r>
      <w:r>
        <w:rPr>
          <w:rFonts w:ascii="Calibri" w:cs="Calibri" w:eastAsia="Calibri" w:hAnsi="Calibri"/>
          <w:color w:val="1A1A1A"/>
          <w:sz w:val="20"/>
          <w:szCs w:val="20"/>
        </w:rPr>
        <w:t xml:space="preserve">, 2013). Voir aussi </w:t>
      </w:r>
      <w:r>
        <w:rPr>
          <w:rFonts w:ascii="Calibri" w:cs="Calibri" w:eastAsia="Calibri" w:hAnsi="Calibri"/>
          <w:color w:val="2E7D32"/>
          <w:sz w:val="20"/>
          <w:szCs w:val="20"/>
        </w:rPr>
        <w:t xml:space="preserve">Laurence Burgorgue-Larsen</w:t>
      </w:r>
      <w:r>
        <w:rPr>
          <w:rFonts w:ascii="Calibri" w:cs="Calibri" w:eastAsia="Calibri" w:hAnsi="Calibri"/>
          <w:color w:val="1A1A1A"/>
          <w:sz w:val="20"/>
          <w:szCs w:val="20"/>
        </w:rPr>
        <w:t xml:space="preserve"> (dir.), </w:t>
      </w:r>
      <w:r>
        <w:rPr>
          <w:rFonts w:ascii="Calibri" w:cs="Calibri" w:eastAsia="Calibri" w:hAnsi="Calibri"/>
          <w:color w:val="2E7D32"/>
          <w:sz w:val="20"/>
          <w:szCs w:val="20"/>
        </w:rPr>
        <w:t xml:space="preserve">La vulnérabilité saisie par les juges en Europe</w:t>
      </w:r>
      <w:r>
        <w:rPr>
          <w:rFonts w:ascii="Calibri" w:cs="Calibri" w:eastAsia="Calibri" w:hAnsi="Calibri"/>
          <w:color w:val="1A1A1A"/>
          <w:sz w:val="20"/>
          <w:szCs w:val="20"/>
        </w:rPr>
        <w:t xml:space="preserve">, 2014.</w:t>
      </w:r>
    </w:p>
    <w:p>
      <w:pPr>
        <w:pStyle w:val="ListParagraph"/>
        <w:numPr>
          <w:ilvl w:val="0"/>
          <w:numId w:val="2"/>
        </w:numPr>
        <w:spacing w:after="70" w:line="264"/>
        <w:jc w:val="both"/>
      </w:pPr>
      <w:r>
        <w:rPr>
          <w:rFonts w:ascii="Calibri" w:cs="Calibri" w:eastAsia="Calibri" w:hAnsi="Calibri"/>
          <w:b/>
          <w:bCs/>
          <w:color w:val="1A1A1A"/>
          <w:sz w:val="20"/>
          <w:szCs w:val="20"/>
        </w:rPr>
        <w:t xml:space="preserve">Aucun texte général</w:t>
      </w:r>
      <w:r>
        <w:rPr>
          <w:rFonts w:ascii="Calibri" w:cs="Calibri" w:eastAsia="Calibri" w:hAnsi="Calibri"/>
          <w:color w:val="1A1A1A"/>
          <w:sz w:val="20"/>
          <w:szCs w:val="20"/>
        </w:rPr>
        <w:t xml:space="preserve"> : la notion est disséminée dans les textes.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al. 10 et 11 Préambule 1946</w:t>
      </w:r>
      <w:r>
        <w:rPr>
          <w:rFonts w:ascii="Calibri" w:cs="Calibri" w:eastAsia="Calibri" w:hAnsi="Calibri"/>
          <w:color w:val="1A1A1A"/>
          <w:sz w:val="20"/>
          <w:szCs w:val="20"/>
        </w:rPr>
        <w:t xml:space="preserve"> : protection de la santé de l’enfant, de la mère et des vieux travailleurs. « Tout être humain qui, en raison de son âge, de son état physique ou mental, de la situation économique, se trouve dans l’incapacité de travailler a le droit d’obtenir de la collectivité des moyens convenables d’existence ».</w:t>
      </w:r>
    </w:p>
    <w:p>
      <w:pPr>
        <w:pStyle w:val="ListParagraph"/>
        <w:numPr>
          <w:ilvl w:val="0"/>
          <w:numId w:val="2"/>
        </w:numPr>
        <w:spacing w:after="70" w:line="264"/>
        <w:jc w:val="both"/>
      </w:pPr>
      <w:r>
        <w:rPr>
          <w:rFonts w:ascii="Calibri" w:cs="Calibri" w:eastAsia="Calibri" w:hAnsi="Calibri"/>
          <w:color w:val="1A1A1A"/>
          <w:sz w:val="20"/>
          <w:szCs w:val="20"/>
        </w:rPr>
        <w:t xml:space="preserve">— Le préambule de la </w:t>
      </w:r>
      <w:r>
        <w:rPr>
          <w:rFonts w:ascii="Calibri" w:cs="Calibri" w:eastAsia="Calibri" w:hAnsi="Calibri"/>
          <w:color w:val="1E88E5"/>
          <w:sz w:val="20"/>
          <w:szCs w:val="20"/>
        </w:rPr>
        <w:t xml:space="preserve">Convention internationale des droits de l’enfant (20 novembre 1989)</w:t>
      </w:r>
      <w:r>
        <w:rPr>
          <w:rFonts w:ascii="Calibri" w:cs="Calibri" w:eastAsia="Calibri" w:hAnsi="Calibri"/>
          <w:color w:val="1A1A1A"/>
          <w:sz w:val="20"/>
          <w:szCs w:val="20"/>
        </w:rPr>
        <w:t xml:space="preserve"> reprend la Déclaration de 1959 : l’enfant « a besoin d’une protection spéciale ».</w:t>
      </w:r>
    </w:p>
    <w:p>
      <w:pPr>
        <w:pStyle w:val="ListParagraph"/>
        <w:numPr>
          <w:ilvl w:val="0"/>
          <w:numId w:val="2"/>
        </w:numPr>
        <w:spacing w:after="70" w:line="264"/>
        <w:jc w:val="both"/>
      </w:pPr>
      <w:r>
        <w:rPr>
          <w:rFonts w:ascii="Calibri" w:cs="Calibri" w:eastAsia="Calibri" w:hAnsi="Calibri"/>
          <w:color w:val="1A1A1A"/>
          <w:sz w:val="20"/>
          <w:szCs w:val="20"/>
        </w:rPr>
        <w:t xml:space="preserve">— Le Code pénal, le Code civil, le CASF et le CESEDA.</w:t>
      </w:r>
    </w:p>
    <w:p>
      <w:pPr>
        <w:pStyle w:val="ListParagraph"/>
        <w:numPr>
          <w:ilvl w:val="0"/>
          <w:numId w:val="2"/>
        </w:numPr>
        <w:spacing w:after="70" w:line="264"/>
        <w:jc w:val="both"/>
      </w:pPr>
      <w:r>
        <w:rPr>
          <w:rFonts w:ascii="Calibri" w:cs="Calibri" w:eastAsia="Calibri" w:hAnsi="Calibri"/>
          <w:b/>
          <w:bCs/>
          <w:color w:val="1A1A1A"/>
          <w:sz w:val="20"/>
          <w:szCs w:val="20"/>
        </w:rPr>
        <w:t xml:space="preserve">Système interaméricain</w:t>
      </w:r>
      <w:r>
        <w:rPr>
          <w:rFonts w:ascii="Calibri" w:cs="Calibri" w:eastAsia="Calibri" w:hAnsi="Calibri"/>
          <w:color w:val="1A1A1A"/>
          <w:sz w:val="20"/>
          <w:szCs w:val="20"/>
        </w:rPr>
        <w:t xml:space="preserve"> : « toute personne en situation de vulnérabilité a droit à une protection spéciale » (</w:t>
      </w:r>
      <w:r>
        <w:rPr>
          <w:rFonts w:ascii="Calibri" w:cs="Calibri" w:eastAsia="Calibri" w:hAnsi="Calibri"/>
          <w:color w:val="E91E63"/>
          <w:sz w:val="20"/>
          <w:szCs w:val="20"/>
        </w:rPr>
        <w:t xml:space="preserve">Cour IDH, 4 juillet 2006, Ximenes Lopes c. Brésil</w:t>
      </w:r>
      <w:r>
        <w:rPr>
          <w:rFonts w:ascii="Calibri" w:cs="Calibri" w:eastAsia="Calibri" w:hAnsi="Calibri"/>
          <w:color w:val="1A1A1A"/>
          <w:sz w:val="20"/>
          <w:szCs w:val="20"/>
        </w:rPr>
        <w:t xml:space="preserve">, à propos d’un patient psychiatrique). La Cour retient une conception extensive, appliquée aux peuples autochtones et aux déplacés (</w:t>
      </w:r>
      <w:r>
        <w:rPr>
          <w:rFonts w:ascii="Calibri" w:cs="Calibri" w:eastAsia="Calibri" w:hAnsi="Calibri"/>
          <w:color w:val="E91E63"/>
          <w:sz w:val="20"/>
          <w:szCs w:val="20"/>
        </w:rPr>
        <w:t xml:space="preserve">Cour IDH, 15 juin 2005, Communauté Moiwana c. Suriname</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2. Vulnérabilité, égalité et Convention européenne</w:t>
      </w:r>
    </w:p>
    <w:p>
      <w:pPr>
        <w:pStyle w:val="ListParagraph"/>
        <w:numPr>
          <w:ilvl w:val="0"/>
          <w:numId w:val="2"/>
        </w:numPr>
        <w:spacing w:after="70" w:line="264"/>
        <w:jc w:val="both"/>
      </w:pPr>
      <w:r>
        <w:rPr>
          <w:rFonts w:ascii="Calibri" w:cs="Calibri" w:eastAsia="Calibri" w:hAnsi="Calibri"/>
          <w:b/>
          <w:bCs/>
          <w:color w:val="1A1A1A"/>
          <w:sz w:val="20"/>
          <w:szCs w:val="20"/>
        </w:rPr>
        <w:t xml:space="preserve">Le lien avec l’égalité</w:t>
      </w:r>
      <w:r>
        <w:rPr>
          <w:rFonts w:ascii="Calibri" w:cs="Calibri" w:eastAsia="Calibri" w:hAnsi="Calibri"/>
          <w:color w:val="1A1A1A"/>
          <w:sz w:val="20"/>
          <w:szCs w:val="20"/>
        </w:rPr>
        <w:t xml:space="preserve"> : la vulnérabilité crée une inégalité de fait qui peut justifier des mesures différenciées. Le Conseil d’État admet de régler différemment des situations différentes, à condition que la différence de traitement soit en rapport direct avec l’objet de la norme et ne soit pas manifestement disproportionnée (</w:t>
      </w:r>
      <w:r>
        <w:rPr>
          <w:rFonts w:ascii="Calibri" w:cs="Calibri" w:eastAsia="Calibri" w:hAnsi="Calibri"/>
          <w:color w:val="E91E63"/>
          <w:sz w:val="20"/>
          <w:szCs w:val="20"/>
        </w:rPr>
        <w:t xml:space="preserve">CE, ass., 11 avril 2012, GISTI et FAPIL, n° 322326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Les groupes reconnus vulnérables par la Cour</w:t>
      </w:r>
    </w:p>
    <w:p>
      <w:pPr>
        <w:pStyle w:val="ListParagraph"/>
        <w:numPr>
          <w:ilvl w:val="0"/>
          <w:numId w:val="2"/>
        </w:numPr>
        <w:spacing w:after="70" w:line="264"/>
        <w:jc w:val="both"/>
      </w:pPr>
      <w:r>
        <w:rPr>
          <w:rFonts w:ascii="Calibri" w:cs="Calibri" w:eastAsia="Calibri" w:hAnsi="Calibri"/>
          <w:color w:val="1A1A1A"/>
          <w:sz w:val="20"/>
          <w:szCs w:val="20"/>
        </w:rPr>
        <w:t xml:space="preserve">— Les </w:t>
      </w:r>
      <w:r>
        <w:rPr>
          <w:rFonts w:ascii="Calibri" w:cs="Calibri" w:eastAsia="Calibri" w:hAnsi="Calibri"/>
          <w:b/>
          <w:bCs/>
          <w:color w:val="1A1A1A"/>
          <w:sz w:val="20"/>
          <w:szCs w:val="20"/>
        </w:rPr>
        <w:t xml:space="preserve">Roms</w:t>
      </w:r>
      <w:r>
        <w:rPr>
          <w:rFonts w:ascii="Calibri" w:cs="Calibri" w:eastAsia="Calibri" w:hAnsi="Calibri"/>
          <w:color w:val="1A1A1A"/>
          <w:sz w:val="20"/>
          <w:szCs w:val="20"/>
        </w:rPr>
        <w:t xml:space="preserve">, à raison de leur mode de vie (</w:t>
      </w:r>
      <w:r>
        <w:rPr>
          <w:rFonts w:ascii="Calibri" w:cs="Calibri" w:eastAsia="Calibri" w:hAnsi="Calibri"/>
          <w:color w:val="E91E63"/>
          <w:sz w:val="20"/>
          <w:szCs w:val="20"/>
        </w:rPr>
        <w:t xml:space="preserve">Chapman c. Royaume-Uni</w:t>
      </w:r>
      <w:r>
        <w:rPr>
          <w:rFonts w:ascii="Calibri" w:cs="Calibri" w:eastAsia="Calibri" w:hAnsi="Calibri"/>
          <w:color w:val="1A1A1A"/>
          <w:sz w:val="20"/>
          <w:szCs w:val="20"/>
        </w:rPr>
        <w:t xml:space="preserve">, GC, 18 janvier 2001), puis comme « minorité défavorisée et vulnérable » (</w:t>
      </w:r>
      <w:r>
        <w:rPr>
          <w:rFonts w:ascii="Calibri" w:cs="Calibri" w:eastAsia="Calibri" w:hAnsi="Calibri"/>
          <w:color w:val="E91E63"/>
          <w:sz w:val="20"/>
          <w:szCs w:val="20"/>
        </w:rPr>
        <w:t xml:space="preserve">D.H.</w:t>
      </w:r>
      <w:r>
        <w:rPr>
          <w:rFonts w:ascii="Calibri" w:cs="Calibri" w:eastAsia="Calibri" w:hAnsi="Calibri"/>
          <w:color w:val="1A1A1A"/>
          <w:sz w:val="20"/>
          <w:szCs w:val="20"/>
        </w:rPr>
        <w:t xml:space="preserve">, 2007 ; </w:t>
      </w:r>
      <w:r>
        <w:rPr>
          <w:rFonts w:ascii="Calibri" w:cs="Calibri" w:eastAsia="Calibri" w:hAnsi="Calibri"/>
          <w:color w:val="E91E63"/>
          <w:sz w:val="20"/>
          <w:szCs w:val="20"/>
        </w:rPr>
        <w:t xml:space="preserve">Oršuš c. Croatie</w:t>
      </w:r>
      <w:r>
        <w:rPr>
          <w:rFonts w:ascii="Calibri" w:cs="Calibri" w:eastAsia="Calibri" w:hAnsi="Calibri"/>
          <w:color w:val="1A1A1A"/>
          <w:sz w:val="20"/>
          <w:szCs w:val="20"/>
        </w:rPr>
        <w:t xml:space="preserve">, GC, 2010 ; </w:t>
      </w:r>
      <w:r>
        <w:rPr>
          <w:rFonts w:ascii="Calibri" w:cs="Calibri" w:eastAsia="Calibri" w:hAnsi="Calibri"/>
          <w:color w:val="E91E63"/>
          <w:sz w:val="20"/>
          <w:szCs w:val="20"/>
        </w:rPr>
        <w:t xml:space="preserve">Yordanova c. Bulgarie</w:t>
      </w:r>
      <w:r>
        <w:rPr>
          <w:rFonts w:ascii="Calibri" w:cs="Calibri" w:eastAsia="Calibri" w:hAnsi="Calibri"/>
          <w:color w:val="1A1A1A"/>
          <w:sz w:val="20"/>
          <w:szCs w:val="20"/>
        </w:rPr>
        <w:t xml:space="preserve">, 2012).</w:t>
      </w:r>
    </w:p>
    <w:p>
      <w:pPr>
        <w:pStyle w:val="ListParagraph"/>
        <w:numPr>
          <w:ilvl w:val="0"/>
          <w:numId w:val="2"/>
        </w:numPr>
        <w:spacing w:after="70" w:line="264"/>
        <w:jc w:val="both"/>
      </w:pPr>
      <w:r>
        <w:rPr>
          <w:rFonts w:ascii="Calibri" w:cs="Calibri" w:eastAsia="Calibri" w:hAnsi="Calibri"/>
          <w:color w:val="1A1A1A"/>
          <w:sz w:val="20"/>
          <w:szCs w:val="20"/>
        </w:rPr>
        <w:t xml:space="preserve">— Les </w:t>
      </w:r>
      <w:r>
        <w:rPr>
          <w:rFonts w:ascii="Calibri" w:cs="Calibri" w:eastAsia="Calibri" w:hAnsi="Calibri"/>
          <w:b/>
          <w:bCs/>
          <w:color w:val="1A1A1A"/>
          <w:sz w:val="20"/>
          <w:szCs w:val="20"/>
        </w:rPr>
        <w:t xml:space="preserve">personnes handicapées mentales</w:t>
      </w:r>
      <w:r>
        <w:rPr>
          <w:rFonts w:ascii="Calibri" w:cs="Calibri" w:eastAsia="Calibri" w:hAnsi="Calibri"/>
          <w:color w:val="1A1A1A"/>
          <w:sz w:val="20"/>
          <w:szCs w:val="20"/>
        </w:rPr>
        <w:t xml:space="preserve"> : l’interdiction automatique de voter des majeurs sous curatelle viole l’</w:t>
      </w:r>
      <w:r>
        <w:rPr>
          <w:rFonts w:ascii="Calibri" w:cs="Calibri" w:eastAsia="Calibri" w:hAnsi="Calibri"/>
          <w:color w:val="1E88E5"/>
          <w:sz w:val="20"/>
          <w:szCs w:val="20"/>
        </w:rPr>
        <w:t xml:space="preserve">art. 3 Prot. 1</w:t>
      </w:r>
      <w:r>
        <w:rPr>
          <w:rFonts w:ascii="Calibri" w:cs="Calibri" w:eastAsia="Calibri" w:hAnsi="Calibri"/>
          <w:color w:val="1A1A1A"/>
          <w:sz w:val="20"/>
          <w:szCs w:val="20"/>
        </w:rPr>
        <w:t xml:space="preserve">, et la marge d’appréciation est réduite pour un groupe historiquement discriminé (</w:t>
      </w:r>
      <w:r>
        <w:rPr>
          <w:rFonts w:ascii="Calibri" w:cs="Calibri" w:eastAsia="Calibri" w:hAnsi="Calibri"/>
          <w:color w:val="E91E63"/>
          <w:sz w:val="20"/>
          <w:szCs w:val="20"/>
        </w:rPr>
        <w:t xml:space="preserve">Alajos Kiss c. Hongrie</w:t>
      </w:r>
      <w:r>
        <w:rPr>
          <w:rFonts w:ascii="Calibri" w:cs="Calibri" w:eastAsia="Calibri" w:hAnsi="Calibri"/>
          <w:color w:val="1A1A1A"/>
          <w:sz w:val="20"/>
          <w:szCs w:val="20"/>
        </w:rPr>
        <w:t xml:space="preserve">, 20 mai 2010).</w:t>
      </w:r>
    </w:p>
    <w:p>
      <w:pPr>
        <w:pStyle w:val="ListParagraph"/>
        <w:numPr>
          <w:ilvl w:val="0"/>
          <w:numId w:val="2"/>
        </w:numPr>
        <w:spacing w:after="70" w:line="264"/>
        <w:jc w:val="both"/>
      </w:pPr>
      <w:r>
        <w:rPr>
          <w:rFonts w:ascii="Calibri" w:cs="Calibri" w:eastAsia="Calibri" w:hAnsi="Calibri"/>
          <w:color w:val="1A1A1A"/>
          <w:sz w:val="20"/>
          <w:szCs w:val="20"/>
        </w:rPr>
        <w:t xml:space="preserve">— Les </w:t>
      </w:r>
      <w:r>
        <w:rPr>
          <w:rFonts w:ascii="Calibri" w:cs="Calibri" w:eastAsia="Calibri" w:hAnsi="Calibri"/>
          <w:b/>
          <w:bCs/>
          <w:color w:val="1A1A1A"/>
          <w:sz w:val="20"/>
          <w:szCs w:val="20"/>
        </w:rPr>
        <w:t xml:space="preserve">personnes séropositives</w:t>
      </w:r>
      <w:r>
        <w:rPr>
          <w:rFonts w:ascii="Calibri" w:cs="Calibri" w:eastAsia="Calibri" w:hAnsi="Calibri"/>
          <w:color w:val="1A1A1A"/>
          <w:sz w:val="20"/>
          <w:szCs w:val="20"/>
        </w:rPr>
        <w:t xml:space="preserve"> : groupe vulnérable (</w:t>
      </w:r>
      <w:r>
        <w:rPr>
          <w:rFonts w:ascii="Calibri" w:cs="Calibri" w:eastAsia="Calibri" w:hAnsi="Calibri"/>
          <w:color w:val="E91E63"/>
          <w:sz w:val="20"/>
          <w:szCs w:val="20"/>
        </w:rPr>
        <w:t xml:space="preserve">Kiyutin c. Russie</w:t>
      </w:r>
      <w:r>
        <w:rPr>
          <w:rFonts w:ascii="Calibri" w:cs="Calibri" w:eastAsia="Calibri" w:hAnsi="Calibri"/>
          <w:color w:val="1A1A1A"/>
          <w:sz w:val="20"/>
          <w:szCs w:val="20"/>
        </w:rPr>
        <w:t xml:space="preserve">, 10 mars 2011). Le licenciement d’un salarié séropositif, à la demande de collègues, est discriminatoire (</w:t>
      </w:r>
      <w:r>
        <w:rPr>
          <w:rFonts w:ascii="Calibri" w:cs="Calibri" w:eastAsia="Calibri" w:hAnsi="Calibri"/>
          <w:color w:val="E91E63"/>
          <w:sz w:val="20"/>
          <w:szCs w:val="20"/>
        </w:rPr>
        <w:t xml:space="preserve">I.B. c. Grèce</w:t>
      </w:r>
      <w:r>
        <w:rPr>
          <w:rFonts w:ascii="Calibri" w:cs="Calibri" w:eastAsia="Calibri" w:hAnsi="Calibri"/>
          <w:color w:val="1A1A1A"/>
          <w:sz w:val="20"/>
          <w:szCs w:val="20"/>
        </w:rPr>
        <w:t xml:space="preserve">, 3 octobre 2013).</w:t>
      </w:r>
    </w:p>
    <w:p>
      <w:pPr>
        <w:pStyle w:val="ListParagraph"/>
        <w:numPr>
          <w:ilvl w:val="0"/>
          <w:numId w:val="2"/>
        </w:numPr>
        <w:spacing w:after="70" w:line="264"/>
        <w:jc w:val="both"/>
      </w:pPr>
      <w:r>
        <w:rPr>
          <w:rFonts w:ascii="Calibri" w:cs="Calibri" w:eastAsia="Calibri" w:hAnsi="Calibri"/>
          <w:color w:val="1A1A1A"/>
          <w:sz w:val="20"/>
          <w:szCs w:val="20"/>
        </w:rPr>
        <w:t xml:space="preserve">— Les </w:t>
      </w:r>
      <w:r>
        <w:rPr>
          <w:rFonts w:ascii="Calibri" w:cs="Calibri" w:eastAsia="Calibri" w:hAnsi="Calibri"/>
          <w:b/>
          <w:bCs/>
          <w:color w:val="1A1A1A"/>
          <w:sz w:val="20"/>
          <w:szCs w:val="20"/>
        </w:rPr>
        <w:t xml:space="preserve">demandeurs d’asile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M.S.S.</w:t>
      </w:r>
      <w:r>
        <w:rPr>
          <w:rFonts w:ascii="Calibri" w:cs="Calibri" w:eastAsia="Calibri" w:hAnsi="Calibri"/>
          <w:color w:val="1A1A1A"/>
          <w:sz w:val="20"/>
          <w:szCs w:val="20"/>
        </w:rPr>
        <w:t xml:space="preserve">, 2011) et les </w:t>
      </w:r>
      <w:r>
        <w:rPr>
          <w:rFonts w:ascii="Calibri" w:cs="Calibri" w:eastAsia="Calibri" w:hAnsi="Calibri"/>
          <w:b/>
          <w:bCs/>
          <w:color w:val="1A1A1A"/>
          <w:sz w:val="20"/>
          <w:szCs w:val="20"/>
        </w:rPr>
        <w:t xml:space="preserve">enfants étrangers</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Popov c. France</w:t>
      </w:r>
      <w:r>
        <w:rPr>
          <w:rFonts w:ascii="Calibri" w:cs="Calibri" w:eastAsia="Calibri" w:hAnsi="Calibri"/>
          <w:color w:val="1A1A1A"/>
          <w:sz w:val="20"/>
          <w:szCs w:val="20"/>
        </w:rPr>
        <w:t xml:space="preserve">, 19 janvier 2012 ; </w:t>
      </w:r>
      <w:r>
        <w:rPr>
          <w:rFonts w:ascii="Calibri" w:cs="Calibri" w:eastAsia="Calibri" w:hAnsi="Calibri"/>
          <w:color w:val="E91E63"/>
          <w:sz w:val="20"/>
          <w:szCs w:val="20"/>
        </w:rPr>
        <w:t xml:space="preserve">Tarakhel c. Suisse</w:t>
      </w:r>
      <w:r>
        <w:rPr>
          <w:rFonts w:ascii="Calibri" w:cs="Calibri" w:eastAsia="Calibri" w:hAnsi="Calibri"/>
          <w:color w:val="1A1A1A"/>
          <w:sz w:val="20"/>
          <w:szCs w:val="20"/>
        </w:rPr>
        <w:t xml:space="preserve">, GC, 4 novembre 2014).</w:t>
      </w:r>
    </w:p>
    <w:p>
      <w:pPr>
        <w:pStyle w:val="ListParagraph"/>
        <w:numPr>
          <w:ilvl w:val="0"/>
          <w:numId w:val="2"/>
        </w:numPr>
        <w:spacing w:after="70" w:line="264"/>
        <w:jc w:val="both"/>
      </w:pPr>
      <w:r>
        <w:rPr>
          <w:rFonts w:ascii="Calibri" w:cs="Calibri" w:eastAsia="Calibri" w:hAnsi="Calibri"/>
          <w:color w:val="1A1A1A"/>
          <w:sz w:val="20"/>
          <w:szCs w:val="20"/>
        </w:rPr>
        <w:t xml:space="preserve">— Les </w:t>
      </w:r>
      <w:r>
        <w:rPr>
          <w:rFonts w:ascii="Calibri" w:cs="Calibri" w:eastAsia="Calibri" w:hAnsi="Calibri"/>
          <w:b/>
          <w:bCs/>
          <w:color w:val="1A1A1A"/>
          <w:sz w:val="20"/>
          <w:szCs w:val="20"/>
        </w:rPr>
        <w:t xml:space="preserve">personnes privées de liberté ou sous le contrôle d’agents de l’État</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Bouyid c. Belgique</w:t>
      </w:r>
      <w:r>
        <w:rPr>
          <w:rFonts w:ascii="Calibri" w:cs="Calibri" w:eastAsia="Calibri" w:hAnsi="Calibri"/>
          <w:color w:val="1A1A1A"/>
          <w:sz w:val="20"/>
          <w:szCs w:val="20"/>
        </w:rPr>
        <w:t xml:space="preserve">, GC, 2015).</w:t>
      </w:r>
    </w:p>
    <w:p>
      <w:pPr>
        <w:pStyle w:val="ListParagraph"/>
        <w:numPr>
          <w:ilvl w:val="0"/>
          <w:numId w:val="2"/>
        </w:numPr>
        <w:spacing w:after="70" w:line="264"/>
        <w:jc w:val="both"/>
      </w:pPr>
      <w:r>
        <w:rPr>
          <w:rFonts w:ascii="Calibri" w:cs="Calibri" w:eastAsia="Calibri" w:hAnsi="Calibri"/>
          <w:b/>
          <w:bCs/>
          <w:color w:val="1A1A1A"/>
          <w:sz w:val="20"/>
          <w:szCs w:val="20"/>
        </w:rPr>
        <w:t xml:space="preserve">Les effets de la vulnérabilité</w:t>
      </w:r>
    </w:p>
    <w:p>
      <w:pPr>
        <w:pStyle w:val="ListParagraph"/>
        <w:numPr>
          <w:ilvl w:val="0"/>
          <w:numId w:val="2"/>
        </w:numPr>
        <w:spacing w:after="70" w:line="264"/>
        <w:jc w:val="both"/>
      </w:pPr>
      <w:r>
        <w:rPr>
          <w:rFonts w:ascii="Calibri" w:cs="Calibri" w:eastAsia="Calibri" w:hAnsi="Calibri"/>
          <w:color w:val="1A1A1A"/>
          <w:sz w:val="20"/>
          <w:szCs w:val="20"/>
        </w:rPr>
        <w:t xml:space="preserve">— Des obligations positives renforcées : protéger, prévenir, enquêter.</w:t>
      </w:r>
    </w:p>
    <w:p>
      <w:pPr>
        <w:pStyle w:val="ListParagraph"/>
        <w:numPr>
          <w:ilvl w:val="0"/>
          <w:numId w:val="2"/>
        </w:numPr>
        <w:spacing w:after="70" w:line="264"/>
        <w:jc w:val="both"/>
      </w:pPr>
      <w:r>
        <w:rPr>
          <w:rFonts w:ascii="Calibri" w:cs="Calibri" w:eastAsia="Calibri" w:hAnsi="Calibri"/>
          <w:color w:val="1A1A1A"/>
          <w:sz w:val="20"/>
          <w:szCs w:val="20"/>
        </w:rPr>
        <w:t xml:space="preserve">— Une marge nationale réduite.</w:t>
      </w:r>
    </w:p>
    <w:p>
      <w:pPr>
        <w:pStyle w:val="ListParagraph"/>
        <w:numPr>
          <w:ilvl w:val="0"/>
          <w:numId w:val="2"/>
        </w:numPr>
        <w:spacing w:after="70" w:line="264"/>
        <w:jc w:val="both"/>
      </w:pPr>
      <w:r>
        <w:rPr>
          <w:rFonts w:ascii="Calibri" w:cs="Calibri" w:eastAsia="Calibri" w:hAnsi="Calibri"/>
          <w:color w:val="1A1A1A"/>
          <w:sz w:val="20"/>
          <w:szCs w:val="20"/>
        </w:rPr>
        <w:t xml:space="preserve">— Un seuil de gravité de l’</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plus vite atteint.</w:t>
      </w:r>
    </w:p>
    <w:p>
      <w:pPr>
        <w:pStyle w:val="ListParagraph"/>
        <w:numPr>
          <w:ilvl w:val="0"/>
          <w:numId w:val="2"/>
        </w:numPr>
        <w:spacing w:after="70" w:line="264"/>
        <w:jc w:val="both"/>
      </w:pPr>
      <w:r>
        <w:rPr>
          <w:rFonts w:ascii="Calibri" w:cs="Calibri" w:eastAsia="Calibri" w:hAnsi="Calibri"/>
          <w:color w:val="1A1A1A"/>
          <w:sz w:val="20"/>
          <w:szCs w:val="20"/>
        </w:rPr>
        <w:t xml:space="preserve">— Une recevabilité assouplie : requête d’un tiers (</w:t>
      </w:r>
      <w:r>
        <w:rPr>
          <w:rFonts w:ascii="Calibri" w:cs="Calibri" w:eastAsia="Calibri" w:hAnsi="Calibri"/>
          <w:color w:val="E91E63"/>
          <w:sz w:val="20"/>
          <w:szCs w:val="20"/>
        </w:rPr>
        <w:t xml:space="preserve">Câmpeanu</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Une charge de la preuve renversée : la présomption de </w:t>
      </w:r>
      <w:r>
        <w:rPr>
          <w:rFonts w:ascii="Calibri" w:cs="Calibri" w:eastAsia="Calibri" w:hAnsi="Calibri"/>
          <w:color w:val="E91E63"/>
          <w:sz w:val="20"/>
          <w:szCs w:val="20"/>
        </w:rPr>
        <w:t xml:space="preserve">Bouyid</w:t>
      </w:r>
      <w:r>
        <w:rPr>
          <w:rFonts w:ascii="Calibri" w:cs="Calibri" w:eastAsia="Calibri" w:hAnsi="Calibri"/>
          <w:color w:val="1A1A1A"/>
          <w:sz w:val="20"/>
          <w:szCs w:val="20"/>
        </w:rPr>
        <w:t xml:space="preserve"> est étendue en 2026 à une personne sous tutelle maîtrisée par le personnel d’un foyer social (</w:t>
      </w:r>
      <w:r>
        <w:rPr>
          <w:rFonts w:ascii="Calibri" w:cs="Calibri" w:eastAsia="Calibri" w:hAnsi="Calibri"/>
          <w:color w:val="E91E63"/>
          <w:sz w:val="20"/>
          <w:szCs w:val="20"/>
        </w:rPr>
        <w:t xml:space="preserve">Strashunskyy c. Ukraine</w:t>
      </w:r>
      <w:r>
        <w:rPr>
          <w:rFonts w:ascii="Calibri" w:cs="Calibri" w:eastAsia="Calibri" w:hAnsi="Calibri"/>
          <w:color w:val="1A1A1A"/>
          <w:sz w:val="20"/>
          <w:szCs w:val="20"/>
        </w:rPr>
        <w:t xml:space="preserve">, 17 septembre 2026). Le critère est la situation de </w:t>
      </w:r>
      <w:r>
        <w:rPr>
          <w:rFonts w:ascii="Calibri" w:cs="Calibri" w:eastAsia="Calibri" w:hAnsi="Calibri"/>
          <w:b/>
          <w:bCs/>
          <w:color w:val="1A1A1A"/>
          <w:sz w:val="20"/>
          <w:szCs w:val="20"/>
        </w:rPr>
        <w:t xml:space="preserve">dépendance</w:t>
      </w:r>
      <w:r>
        <w:rPr>
          <w:rFonts w:ascii="Calibri" w:cs="Calibri" w:eastAsia="Calibri" w:hAnsi="Calibri"/>
          <w:color w:val="1A1A1A"/>
          <w:sz w:val="20"/>
          <w:szCs w:val="20"/>
        </w:rPr>
        <w:t xml:space="preserve">, non le titre de détention.</w:t>
      </w:r>
    </w:p>
    <w:p>
      <w:pPr>
        <w:pStyle w:val="ListParagraph"/>
        <w:numPr>
          <w:ilvl w:val="0"/>
          <w:numId w:val="2"/>
        </w:numPr>
        <w:spacing w:after="70" w:line="264"/>
        <w:jc w:val="both"/>
      </w:pPr>
      <w:r>
        <w:rPr>
          <w:rFonts w:ascii="Calibri" w:cs="Calibri" w:eastAsia="Calibri" w:hAnsi="Calibri"/>
          <w:b/>
          <w:bCs/>
          <w:color w:val="1A1A1A"/>
          <w:sz w:val="20"/>
          <w:szCs w:val="20"/>
        </w:rPr>
        <w:t xml:space="preserve">L’égalité réelle comme obligation</w:t>
      </w:r>
      <w:r>
        <w:rPr>
          <w:rFonts w:ascii="Calibri" w:cs="Calibri" w:eastAsia="Calibri" w:hAnsi="Calibri"/>
          <w:color w:val="1A1A1A"/>
          <w:sz w:val="20"/>
          <w:szCs w:val="20"/>
        </w:rPr>
        <w:t xml:space="preserve"> : refuser de traiter différemment des personnes placées dans des situations différentes peut violer l’</w:t>
      </w:r>
      <w:r>
        <w:rPr>
          <w:rFonts w:ascii="Calibri" w:cs="Calibri" w:eastAsia="Calibri" w:hAnsi="Calibri"/>
          <w:color w:val="1E88E5"/>
          <w:sz w:val="20"/>
          <w:szCs w:val="20"/>
        </w:rPr>
        <w:t xml:space="preserve">art. 14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Thlimmenos</w:t>
      </w:r>
      <w:r>
        <w:rPr>
          <w:rFonts w:ascii="Calibri" w:cs="Calibri" w:eastAsia="Calibri" w:hAnsi="Calibri"/>
          <w:color w:val="1A1A1A"/>
          <w:sz w:val="20"/>
          <w:szCs w:val="20"/>
        </w:rPr>
        <w:t xml:space="preserve">). Le fascicule rattache cette idée à </w:t>
      </w:r>
      <w:r>
        <w:rPr>
          <w:rFonts w:ascii="Calibri" w:cs="Calibri" w:eastAsia="Calibri" w:hAnsi="Calibri"/>
          <w:color w:val="E91E63"/>
          <w:sz w:val="20"/>
          <w:szCs w:val="20"/>
        </w:rPr>
        <w:t xml:space="preserve">Sejdić et Finci</w:t>
      </w:r>
      <w:r>
        <w:rPr>
          <w:rFonts w:ascii="Calibri" w:cs="Calibri" w:eastAsia="Calibri" w:hAnsi="Calibri"/>
          <w:color w:val="1A1A1A"/>
          <w:sz w:val="20"/>
          <w:szCs w:val="20"/>
        </w:rPr>
        <w:t xml:space="preserve"> (GC, 22 décembre 2009), qui sanctionne en réalité l’exclusion des Roms et des Juifs des fonctions électives suprêmes de Bosnie-Herzégovine. Cet arrêt est la première violation du </w:t>
      </w:r>
      <w:r>
        <w:rPr>
          <w:rFonts w:ascii="Calibri" w:cs="Calibri" w:eastAsia="Calibri" w:hAnsi="Calibri"/>
          <w:color w:val="1E88E5"/>
          <w:sz w:val="20"/>
          <w:szCs w:val="20"/>
        </w:rPr>
        <w:t xml:space="preserve">Protocole n° 12</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3. Les vulnérabilités saisies par le droit</w:t>
      </w:r>
    </w:p>
    <w:p>
      <w:pPr>
        <w:pStyle w:val="Heading3"/>
        <w:spacing w:after="90" w:before="200"/>
      </w:pPr>
      <w:r>
        <w:rPr>
          <w:rFonts w:ascii="Calibri" w:cs="Calibri" w:eastAsia="Calibri" w:hAnsi="Calibri"/>
          <w:b/>
          <w:bCs/>
          <w:i/>
          <w:iCs/>
          <w:color w:val="5A5A5A"/>
          <w:sz w:val="21"/>
          <w:szCs w:val="21"/>
        </w:rPr>
        <w:t xml:space="preserve">3.1. Les enfants</w:t>
      </w:r>
    </w:p>
    <w:p>
      <w:pPr>
        <w:pStyle w:val="ListParagraph"/>
        <w:numPr>
          <w:ilvl w:val="0"/>
          <w:numId w:val="2"/>
        </w:numPr>
        <w:spacing w:after="70" w:line="264"/>
        <w:jc w:val="both"/>
      </w:pPr>
      <w:r>
        <w:rPr>
          <w:rFonts w:ascii="Calibri" w:cs="Calibri" w:eastAsia="Calibri" w:hAnsi="Calibri"/>
          <w:b/>
          <w:bCs/>
          <w:color w:val="1A1A1A"/>
          <w:sz w:val="20"/>
          <w:szCs w:val="20"/>
        </w:rPr>
        <w:t xml:space="preserve">Textes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CIDE</w:t>
      </w:r>
      <w:r>
        <w:rPr>
          <w:rFonts w:ascii="Calibri" w:cs="Calibri" w:eastAsia="Calibri" w:hAnsi="Calibri"/>
          <w:color w:val="1A1A1A"/>
          <w:sz w:val="20"/>
          <w:szCs w:val="20"/>
        </w:rPr>
        <w:t xml:space="preserve"> et ses deux protocoles facultatifs du 25 mai 2000 : enfants dans les conflits armés ; vente d’enfants, prostitution et pornographie.</w:t>
      </w:r>
    </w:p>
    <w:p>
      <w:pPr>
        <w:pStyle w:val="ListParagraph"/>
        <w:numPr>
          <w:ilvl w:val="0"/>
          <w:numId w:val="2"/>
        </w:numPr>
        <w:spacing w:after="70" w:line="264"/>
        <w:jc w:val="both"/>
      </w:pPr>
      <w:r>
        <w:rPr>
          <w:rFonts w:ascii="Calibri" w:cs="Calibri" w:eastAsia="Calibri" w:hAnsi="Calibri"/>
          <w:color w:val="1A1A1A"/>
          <w:sz w:val="20"/>
          <w:szCs w:val="20"/>
        </w:rPr>
        <w:t xml:space="preserve">— Incapacité civile, prévue par l’</w:t>
      </w:r>
      <w:r>
        <w:rPr>
          <w:rFonts w:ascii="Calibri" w:cs="Calibri" w:eastAsia="Calibri" w:hAnsi="Calibri"/>
          <w:color w:val="1E88E5"/>
          <w:sz w:val="20"/>
          <w:szCs w:val="20"/>
        </w:rPr>
        <w:t xml:space="preserve">art. 1146 C. civ.</w:t>
      </w:r>
    </w:p>
    <w:p>
      <w:pPr>
        <w:pStyle w:val="ListParagraph"/>
        <w:numPr>
          <w:ilvl w:val="0"/>
          <w:numId w:val="2"/>
        </w:numPr>
        <w:spacing w:after="70" w:line="264"/>
        <w:jc w:val="both"/>
      </w:pPr>
      <w:r>
        <w:rPr>
          <w:rFonts w:ascii="Calibri" w:cs="Calibri" w:eastAsia="Calibri" w:hAnsi="Calibri"/>
          <w:color w:val="1A1A1A"/>
          <w:sz w:val="20"/>
          <w:szCs w:val="20"/>
        </w:rPr>
        <w:t xml:space="preserve">— Assistance éducative en cas de danger (</w:t>
      </w:r>
      <w:r>
        <w:rPr>
          <w:rFonts w:ascii="Calibri" w:cs="Calibri" w:eastAsia="Calibri" w:hAnsi="Calibri"/>
          <w:color w:val="1E88E5"/>
          <w:sz w:val="20"/>
          <w:szCs w:val="20"/>
        </w:rPr>
        <w:t xml:space="preserve">art. 375 C. civ.</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Minorité de la victime comme circonstance aggravante.</w:t>
      </w:r>
    </w:p>
    <w:p>
      <w:pPr>
        <w:pStyle w:val="ListParagraph"/>
        <w:numPr>
          <w:ilvl w:val="0"/>
          <w:numId w:val="2"/>
        </w:numPr>
        <w:spacing w:after="70" w:line="264"/>
        <w:jc w:val="both"/>
      </w:pPr>
      <w:r>
        <w:rPr>
          <w:rFonts w:ascii="Calibri" w:cs="Calibri" w:eastAsia="Calibri" w:hAnsi="Calibri"/>
          <w:b/>
          <w:bCs/>
          <w:color w:val="1A1A1A"/>
          <w:sz w:val="20"/>
          <w:szCs w:val="20"/>
        </w:rPr>
        <w:t xml:space="preserve">Mineurs auteurs</w:t>
      </w:r>
      <w:r>
        <w:rPr>
          <w:rFonts w:ascii="Calibri" w:cs="Calibri" w:eastAsia="Calibri" w:hAnsi="Calibri"/>
          <w:color w:val="1A1A1A"/>
          <w:sz w:val="20"/>
          <w:szCs w:val="20"/>
        </w:rPr>
        <w:t xml:space="preserve"> : un principe fondamental reconnu par les lois de la République impose l’atténuation de la responsabilité selon l’âge et la primauté de l’éducatif (</w:t>
      </w:r>
      <w:r>
        <w:rPr>
          <w:rFonts w:ascii="Calibri" w:cs="Calibri" w:eastAsia="Calibri" w:hAnsi="Calibri"/>
          <w:color w:val="E91E63"/>
          <w:sz w:val="20"/>
          <w:szCs w:val="20"/>
        </w:rPr>
        <w:t xml:space="preserve">2002-461 DC, 29 août 2002</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Le </w:t>
      </w:r>
      <w:r>
        <w:rPr>
          <w:rFonts w:ascii="Calibri" w:cs="Calibri" w:eastAsia="Calibri" w:hAnsi="Calibri"/>
          <w:color w:val="1E88E5"/>
          <w:sz w:val="20"/>
          <w:szCs w:val="20"/>
        </w:rPr>
        <w:t xml:space="preserve">Code de la justice pénale des mineurs</w:t>
      </w:r>
      <w:r>
        <w:rPr>
          <w:rFonts w:ascii="Calibri" w:cs="Calibri" w:eastAsia="Calibri" w:hAnsi="Calibri"/>
          <w:color w:val="1A1A1A"/>
          <w:sz w:val="20"/>
          <w:szCs w:val="20"/>
        </w:rPr>
        <w:t xml:space="preserve"> (en vigueur le 30 septembre 2021) présume non capable de discernement le mineur de moins de treize ans (</w:t>
      </w:r>
      <w:r>
        <w:rPr>
          <w:rFonts w:ascii="Calibri" w:cs="Calibri" w:eastAsia="Calibri" w:hAnsi="Calibri"/>
          <w:color w:val="1E88E5"/>
          <w:sz w:val="20"/>
          <w:szCs w:val="20"/>
        </w:rPr>
        <w:t xml:space="preserve">art. L. 11-1</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Le Conseil a censuré cinq articles de la loi « Attal » du 19 juin 2025, dont la comparution immédiate des mineurs et la dérogation de principe à l’excuse de minorité.</w:t>
      </w:r>
    </w:p>
    <w:p>
      <w:pPr>
        <w:pStyle w:val="ListParagraph"/>
        <w:numPr>
          <w:ilvl w:val="0"/>
          <w:numId w:val="2"/>
        </w:numPr>
        <w:spacing w:after="70" w:line="264"/>
        <w:jc w:val="both"/>
      </w:pPr>
      <w:r>
        <w:rPr>
          <w:rFonts w:ascii="Calibri" w:cs="Calibri" w:eastAsia="Calibri" w:hAnsi="Calibri"/>
          <w:b/>
          <w:bCs/>
          <w:color w:val="1A1A1A"/>
          <w:sz w:val="20"/>
          <w:szCs w:val="20"/>
        </w:rPr>
        <w:t xml:space="preserve">Obligations positives</w:t>
      </w:r>
    </w:p>
    <w:p>
      <w:pPr>
        <w:pStyle w:val="ListParagraph"/>
        <w:numPr>
          <w:ilvl w:val="0"/>
          <w:numId w:val="2"/>
        </w:numPr>
        <w:spacing w:after="70" w:line="264"/>
        <w:jc w:val="both"/>
      </w:pPr>
      <w:r>
        <w:rPr>
          <w:rFonts w:ascii="Calibri" w:cs="Calibri" w:eastAsia="Calibri" w:hAnsi="Calibri"/>
          <w:color w:val="1A1A1A"/>
          <w:sz w:val="20"/>
          <w:szCs w:val="20"/>
        </w:rPr>
        <w:t xml:space="preserve">— Condamnation de la France pour défaut de protection d’enfants maltraités (</w:t>
      </w:r>
      <w:r>
        <w:rPr>
          <w:rFonts w:ascii="Calibri" w:cs="Calibri" w:eastAsia="Calibri" w:hAnsi="Calibri"/>
          <w:color w:val="E91E63"/>
          <w:sz w:val="20"/>
          <w:szCs w:val="20"/>
        </w:rPr>
        <w:t xml:space="preserve">CEDH, 4 juin 2020, Association Innocence en danger et Association Enfance et partage c. France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Condamnation pour défaut d’un régime pénal apte à réprimer les actes sexuels non consentis sur des mineures particulièrement vulnérables (</w:t>
      </w:r>
      <w:r>
        <w:rPr>
          <w:rFonts w:ascii="Calibri" w:cs="Calibri" w:eastAsia="Calibri" w:hAnsi="Calibri"/>
          <w:color w:val="E91E63"/>
          <w:sz w:val="20"/>
          <w:szCs w:val="20"/>
        </w:rPr>
        <w:t xml:space="preserve">CEDH, 24 avril 2025, L. et autres c. France, n° 46949/21</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Réponses législatives : seuil de non-consentement à quinze ans (</w:t>
      </w:r>
      <w:r>
        <w:rPr>
          <w:rFonts w:ascii="Calibri" w:cs="Calibri" w:eastAsia="Calibri" w:hAnsi="Calibri"/>
          <w:color w:val="1E88E5"/>
          <w:sz w:val="20"/>
          <w:szCs w:val="20"/>
        </w:rPr>
        <w:t xml:space="preserve">loi n° 2021-478 du 21 avril 2021</w:t>
      </w:r>
      <w:r>
        <w:rPr>
          <w:rFonts w:ascii="Calibri" w:cs="Calibri" w:eastAsia="Calibri" w:hAnsi="Calibri"/>
          <w:color w:val="1A1A1A"/>
          <w:sz w:val="20"/>
          <w:szCs w:val="20"/>
        </w:rPr>
        <w:t xml:space="preserve">) ; définition de l’agression sexuelle comme « tout acte sexuel non consenti » (</w:t>
      </w:r>
      <w:r>
        <w:rPr>
          <w:rFonts w:ascii="Calibri" w:cs="Calibri" w:eastAsia="Calibri" w:hAnsi="Calibri"/>
          <w:color w:val="1E88E5"/>
          <w:sz w:val="20"/>
          <w:szCs w:val="20"/>
        </w:rPr>
        <w:t xml:space="preserve">loi du 6 novembre 2025</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222-22 C. pén.</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3.2. Les majeurs protégés</w:t>
      </w:r>
    </w:p>
    <w:p>
      <w:pPr>
        <w:pStyle w:val="ListParagraph"/>
        <w:numPr>
          <w:ilvl w:val="0"/>
          <w:numId w:val="2"/>
        </w:numPr>
        <w:spacing w:after="70" w:line="264"/>
        <w:jc w:val="both"/>
      </w:pPr>
      <w:r>
        <w:rPr>
          <w:rFonts w:ascii="Calibri" w:cs="Calibri" w:eastAsia="Calibri" w:hAnsi="Calibri"/>
          <w:b/>
          <w:bCs/>
          <w:color w:val="1A1A1A"/>
          <w:sz w:val="20"/>
          <w:szCs w:val="20"/>
        </w:rPr>
        <w:t xml:space="preserve">Le régime civil</w:t>
      </w:r>
    </w:p>
    <w:p>
      <w:pPr>
        <w:pStyle w:val="ListParagraph"/>
        <w:numPr>
          <w:ilvl w:val="0"/>
          <w:numId w:val="2"/>
        </w:numPr>
        <w:spacing w:after="70" w:line="264"/>
        <w:jc w:val="both"/>
      </w:pPr>
      <w:r>
        <w:rPr>
          <w:rFonts w:ascii="Calibri" w:cs="Calibri" w:eastAsia="Calibri" w:hAnsi="Calibri"/>
          <w:color w:val="1A1A1A"/>
          <w:sz w:val="20"/>
          <w:szCs w:val="20"/>
        </w:rPr>
        <w:t xml:space="preserve">— La protection est due à la personne et à ses biens « que leur état ou leur situation rend nécessaire » (</w:t>
      </w:r>
      <w:r>
        <w:rPr>
          <w:rFonts w:ascii="Calibri" w:cs="Calibri" w:eastAsia="Calibri" w:hAnsi="Calibri"/>
          <w:color w:val="1E88E5"/>
          <w:sz w:val="20"/>
          <w:szCs w:val="20"/>
        </w:rPr>
        <w:t xml:space="preserve">art. 415 C. civ.</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Principes de nécessité, subsidiarité et proportionnalité (</w:t>
      </w:r>
      <w:r>
        <w:rPr>
          <w:rFonts w:ascii="Calibri" w:cs="Calibri" w:eastAsia="Calibri" w:hAnsi="Calibri"/>
          <w:color w:val="1E88E5"/>
          <w:sz w:val="20"/>
          <w:szCs w:val="20"/>
        </w:rPr>
        <w:t xml:space="preserve">art. 428</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Mesures graduées : sauvegarde de justice, curatelle, tutelle (</w:t>
      </w:r>
      <w:r>
        <w:rPr>
          <w:rFonts w:ascii="Calibri" w:cs="Calibri" w:eastAsia="Calibri" w:hAnsi="Calibri"/>
          <w:color w:val="1E88E5"/>
          <w:sz w:val="20"/>
          <w:szCs w:val="20"/>
        </w:rPr>
        <w:t xml:space="preserve">art. 433 et s.</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440 et s.</w:t>
      </w:r>
      <w:r>
        <w:rPr>
          <w:rFonts w:ascii="Calibri" w:cs="Calibri" w:eastAsia="Calibri" w:hAnsi="Calibri"/>
          <w:color w:val="1A1A1A"/>
          <w:sz w:val="20"/>
          <w:szCs w:val="20"/>
        </w:rPr>
        <w:t xml:space="preserve">), habilitation familiale.</w:t>
      </w:r>
    </w:p>
    <w:p>
      <w:pPr>
        <w:pStyle w:val="ListParagraph"/>
        <w:numPr>
          <w:ilvl w:val="0"/>
          <w:numId w:val="2"/>
        </w:numPr>
        <w:spacing w:after="70" w:line="264"/>
        <w:jc w:val="both"/>
      </w:pPr>
      <w:r>
        <w:rPr>
          <w:rFonts w:ascii="Calibri" w:cs="Calibri" w:eastAsia="Calibri" w:hAnsi="Calibri"/>
          <w:color w:val="1A1A1A"/>
          <w:sz w:val="20"/>
          <w:szCs w:val="20"/>
        </w:rPr>
        <w:t xml:space="preserve">— Réforme majeure : </w:t>
      </w:r>
      <w:r>
        <w:rPr>
          <w:rFonts w:ascii="Calibri" w:cs="Calibri" w:eastAsia="Calibri" w:hAnsi="Calibri"/>
          <w:color w:val="1E88E5"/>
          <w:sz w:val="20"/>
          <w:szCs w:val="20"/>
        </w:rPr>
        <w:t xml:space="preserve">loi du 5 mars 2007</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L’autonomie progresse</w:t>
      </w:r>
    </w:p>
    <w:p>
      <w:pPr>
        <w:pStyle w:val="ListParagraph"/>
        <w:numPr>
          <w:ilvl w:val="0"/>
          <w:numId w:val="2"/>
        </w:numPr>
        <w:spacing w:after="70" w:line="264"/>
        <w:jc w:val="both"/>
      </w:pPr>
      <w:r>
        <w:rPr>
          <w:rFonts w:ascii="Calibri" w:cs="Calibri" w:eastAsia="Calibri" w:hAnsi="Calibri"/>
          <w:color w:val="1A1A1A"/>
          <w:sz w:val="20"/>
          <w:szCs w:val="20"/>
        </w:rPr>
        <w:t xml:space="preserve">— La </w:t>
      </w:r>
      <w:r>
        <w:rPr>
          <w:rFonts w:ascii="Calibri" w:cs="Calibri" w:eastAsia="Calibri" w:hAnsi="Calibri"/>
          <w:color w:val="1E88E5"/>
          <w:sz w:val="20"/>
          <w:szCs w:val="20"/>
        </w:rPr>
        <w:t xml:space="preserve">loi du 23 mars 2019</w:t>
      </w:r>
      <w:r>
        <w:rPr>
          <w:rFonts w:ascii="Calibri" w:cs="Calibri" w:eastAsia="Calibri" w:hAnsi="Calibri"/>
          <w:color w:val="1A1A1A"/>
          <w:sz w:val="20"/>
          <w:szCs w:val="20"/>
        </w:rPr>
        <w:t xml:space="preserve"> rend le droit de vote à tous les majeurs en tutelle et supprime l’autorisation préalable au mariage et au PACS.</w:t>
      </w:r>
    </w:p>
    <w:p>
      <w:pPr>
        <w:pStyle w:val="ListParagraph"/>
        <w:numPr>
          <w:ilvl w:val="0"/>
          <w:numId w:val="2"/>
        </w:numPr>
        <w:spacing w:after="70" w:line="264"/>
        <w:jc w:val="both"/>
      </w:pPr>
      <w:r>
        <w:rPr>
          <w:rFonts w:ascii="Calibri" w:cs="Calibri" w:eastAsia="Calibri" w:hAnsi="Calibri"/>
          <w:color w:val="1A1A1A"/>
          <w:sz w:val="20"/>
          <w:szCs w:val="20"/>
        </w:rPr>
        <w:t xml:space="preserve">— L’</w:t>
      </w:r>
      <w:r>
        <w:rPr>
          <w:rFonts w:ascii="Calibri" w:cs="Calibri" w:eastAsia="Calibri" w:hAnsi="Calibri"/>
          <w:color w:val="1E88E5"/>
          <w:sz w:val="20"/>
          <w:szCs w:val="20"/>
        </w:rPr>
        <w:t xml:space="preserve">art. 12 CRPD</w:t>
      </w:r>
      <w:r>
        <w:rPr>
          <w:rFonts w:ascii="Calibri" w:cs="Calibri" w:eastAsia="Calibri" w:hAnsi="Calibri"/>
          <w:color w:val="1A1A1A"/>
          <w:sz w:val="20"/>
          <w:szCs w:val="20"/>
        </w:rPr>
        <w:t xml:space="preserve"> pose une capacité juridique égale.</w:t>
      </w:r>
    </w:p>
    <w:p>
      <w:pPr>
        <w:pStyle w:val="ListParagraph"/>
        <w:numPr>
          <w:ilvl w:val="0"/>
          <w:numId w:val="2"/>
        </w:numPr>
        <w:spacing w:after="70" w:line="264"/>
        <w:jc w:val="both"/>
      </w:pPr>
      <w:r>
        <w:rPr>
          <w:rFonts w:ascii="Calibri" w:cs="Calibri" w:eastAsia="Calibri" w:hAnsi="Calibri"/>
          <w:b/>
          <w:bCs/>
          <w:color w:val="1A1A1A"/>
          <w:sz w:val="20"/>
          <w:szCs w:val="20"/>
        </w:rPr>
        <w:t xml:space="preserve">Le Conseil constitutionnel contre une protection excessive</w:t>
      </w:r>
      <w:r>
        <w:rPr>
          <w:rFonts w:ascii="Calibri" w:cs="Calibri" w:eastAsia="Calibri" w:hAnsi="Calibri"/>
          <w:color w:val="1A1A1A"/>
          <w:sz w:val="20"/>
          <w:szCs w:val="20"/>
        </w:rPr>
        <w:t xml:space="preserve"> : l’interdiction absolue pour les aides à domicile de recevoir des libéralités des personnes âgées ou handicapées qu’elles assistent s’appliquait même si l’absence de vulnérabilité ou de dépendance était prouvée. Elle porte une atteinte disproportionnée au droit de disposer de ses biens (</w:t>
      </w:r>
      <w:r>
        <w:rPr>
          <w:rFonts w:ascii="Calibri" w:cs="Calibri" w:eastAsia="Calibri" w:hAnsi="Calibri"/>
          <w:color w:val="E91E63"/>
          <w:sz w:val="20"/>
          <w:szCs w:val="20"/>
        </w:rPr>
        <w:t xml:space="preserve">2020-888 QPC, 12 mars 2021, Mme Fouzia L.</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La répression</w:t>
      </w:r>
    </w:p>
    <w:p>
      <w:pPr>
        <w:pStyle w:val="ListParagraph"/>
        <w:numPr>
          <w:ilvl w:val="0"/>
          <w:numId w:val="2"/>
        </w:numPr>
        <w:spacing w:after="70" w:line="264"/>
        <w:jc w:val="both"/>
      </w:pPr>
      <w:r>
        <w:rPr>
          <w:rFonts w:ascii="Calibri" w:cs="Calibri" w:eastAsia="Calibri" w:hAnsi="Calibri"/>
          <w:color w:val="1A1A1A"/>
          <w:sz w:val="20"/>
          <w:szCs w:val="20"/>
        </w:rPr>
        <w:t xml:space="preserve">— L’abus de faiblesse (</w:t>
      </w:r>
      <w:r>
        <w:rPr>
          <w:rFonts w:ascii="Calibri" w:cs="Calibri" w:eastAsia="Calibri" w:hAnsi="Calibri"/>
          <w:color w:val="1E88E5"/>
          <w:sz w:val="20"/>
          <w:szCs w:val="20"/>
        </w:rPr>
        <w:t xml:space="preserve">art. 223-15-2 C. pén.</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About-Picard du 12 juin 2001</w:t>
      </w:r>
      <w:r>
        <w:rPr>
          <w:rFonts w:ascii="Calibri" w:cs="Calibri" w:eastAsia="Calibri" w:hAnsi="Calibri"/>
          <w:color w:val="1A1A1A"/>
          <w:sz w:val="20"/>
          <w:szCs w:val="20"/>
        </w:rPr>
        <w:t xml:space="preserve">, conçue contre les dérives sectaires) est applicable à l’emprise ayant « provoqué un état d’enfermement physique et psychique » (</w:t>
      </w:r>
      <w:r>
        <w:rPr>
          <w:rFonts w:ascii="Calibri" w:cs="Calibri" w:eastAsia="Calibri" w:hAnsi="Calibri"/>
          <w:color w:val="E91E63"/>
          <w:sz w:val="20"/>
          <w:szCs w:val="20"/>
        </w:rPr>
        <w:t xml:space="preserve">Cass. crim., 26 octobre 2016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Voir aussi la </w:t>
      </w:r>
      <w:r>
        <w:rPr>
          <w:rFonts w:ascii="Calibri" w:cs="Calibri" w:eastAsia="Calibri" w:hAnsi="Calibri"/>
          <w:color w:val="1E88E5"/>
          <w:sz w:val="20"/>
          <w:szCs w:val="20"/>
        </w:rPr>
        <w:t xml:space="preserve">Recommandation Rec(2004)10</w:t>
      </w:r>
      <w:r>
        <w:rPr>
          <w:rFonts w:ascii="Calibri" w:cs="Calibri" w:eastAsia="Calibri" w:hAnsi="Calibri"/>
          <w:color w:val="1A1A1A"/>
          <w:sz w:val="20"/>
          <w:szCs w:val="20"/>
        </w:rPr>
        <w:t xml:space="preserve"> du Comité des ministres sur les personnes atteintes de troubles mentaux et l’avis de la </w:t>
      </w:r>
      <w:r>
        <w:rPr>
          <w:rFonts w:ascii="Calibri" w:cs="Calibri" w:eastAsia="Calibri" w:hAnsi="Calibri"/>
          <w:color w:val="2E7D32"/>
          <w:sz w:val="20"/>
          <w:szCs w:val="20"/>
        </w:rPr>
        <w:t xml:space="preserve">CNCDH</w:t>
      </w:r>
      <w:r>
        <w:rPr>
          <w:rFonts w:ascii="Calibri" w:cs="Calibri" w:eastAsia="Calibri" w:hAnsi="Calibri"/>
          <w:color w:val="1A1A1A"/>
          <w:sz w:val="20"/>
          <w:szCs w:val="20"/>
        </w:rPr>
        <w:t xml:space="preserve"> du 16 avril 2015 sur le consentement des personnes vulnérables.</w:t>
      </w:r>
    </w:p>
    <w:p>
      <w:pPr>
        <w:pStyle w:val="Heading3"/>
        <w:spacing w:after="90" w:before="200"/>
      </w:pPr>
      <w:r>
        <w:rPr>
          <w:rFonts w:ascii="Calibri" w:cs="Calibri" w:eastAsia="Calibri" w:hAnsi="Calibri"/>
          <w:b/>
          <w:bCs/>
          <w:i/>
          <w:iCs/>
          <w:color w:val="5A5A5A"/>
          <w:sz w:val="21"/>
          <w:szCs w:val="21"/>
        </w:rPr>
        <w:t xml:space="preserve">3.3. Les personnes handicapées</w:t>
      </w:r>
    </w:p>
    <w:p>
      <w:pPr>
        <w:pStyle w:val="ListParagraph"/>
        <w:numPr>
          <w:ilvl w:val="0"/>
          <w:numId w:val="2"/>
        </w:numPr>
        <w:spacing w:after="70" w:line="264"/>
        <w:jc w:val="both"/>
      </w:pPr>
      <w:r>
        <w:rPr>
          <w:rFonts w:ascii="Calibri" w:cs="Calibri" w:eastAsia="Calibri" w:hAnsi="Calibri"/>
          <w:b/>
          <w:bCs/>
          <w:color w:val="1A1A1A"/>
          <w:sz w:val="20"/>
          <w:szCs w:val="20"/>
        </w:rPr>
        <w:t xml:space="preserve">Textes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CRPD</w:t>
      </w:r>
      <w:r>
        <w:rPr>
          <w:rFonts w:ascii="Calibri" w:cs="Calibri" w:eastAsia="Calibri" w:hAnsi="Calibri"/>
          <w:color w:val="1A1A1A"/>
          <w:sz w:val="20"/>
          <w:szCs w:val="20"/>
        </w:rPr>
        <w:t xml:space="preserve"> : égalité et aménagements raisonnables (</w:t>
      </w:r>
      <w:r>
        <w:rPr>
          <w:rFonts w:ascii="Calibri" w:cs="Calibri" w:eastAsia="Calibri" w:hAnsi="Calibri"/>
          <w:color w:val="1E88E5"/>
          <w:sz w:val="20"/>
          <w:szCs w:val="20"/>
        </w:rPr>
        <w:t xml:space="preserve">art. 5</w:t>
      </w:r>
      <w:r>
        <w:rPr>
          <w:rFonts w:ascii="Calibri" w:cs="Calibri" w:eastAsia="Calibri" w:hAnsi="Calibri"/>
          <w:color w:val="1A1A1A"/>
          <w:sz w:val="20"/>
          <w:szCs w:val="20"/>
        </w:rPr>
        <w:t xml:space="preserve">), accessibilité (</w:t>
      </w:r>
      <w:r>
        <w:rPr>
          <w:rFonts w:ascii="Calibri" w:cs="Calibri" w:eastAsia="Calibri" w:hAnsi="Calibri"/>
          <w:color w:val="1E88E5"/>
          <w:sz w:val="20"/>
          <w:szCs w:val="20"/>
        </w:rPr>
        <w:t xml:space="preserve">art. 9</w:t>
      </w:r>
      <w:r>
        <w:rPr>
          <w:rFonts w:ascii="Calibri" w:cs="Calibri" w:eastAsia="Calibri" w:hAnsi="Calibri"/>
          <w:color w:val="1A1A1A"/>
          <w:sz w:val="20"/>
          <w:szCs w:val="20"/>
        </w:rPr>
        <w:t xml:space="preserve">), capacité juridique (</w:t>
      </w:r>
      <w:r>
        <w:rPr>
          <w:rFonts w:ascii="Calibri" w:cs="Calibri" w:eastAsia="Calibri" w:hAnsi="Calibri"/>
          <w:color w:val="1E88E5"/>
          <w:sz w:val="20"/>
          <w:szCs w:val="20"/>
        </w:rPr>
        <w:t xml:space="preserve">art. 12</w:t>
      </w:r>
      <w:r>
        <w:rPr>
          <w:rFonts w:ascii="Calibri" w:cs="Calibri" w:eastAsia="Calibri" w:hAnsi="Calibri"/>
          <w:color w:val="1A1A1A"/>
          <w:sz w:val="20"/>
          <w:szCs w:val="20"/>
        </w:rPr>
        <w:t xml:space="preserve">), protection contre la maltraitance (</w:t>
      </w:r>
      <w:r>
        <w:rPr>
          <w:rFonts w:ascii="Calibri" w:cs="Calibri" w:eastAsia="Calibri" w:hAnsi="Calibri"/>
          <w:color w:val="1E88E5"/>
          <w:sz w:val="20"/>
          <w:szCs w:val="20"/>
        </w:rPr>
        <w:t xml:space="preserve">art. 16</w:t>
      </w:r>
      <w:r>
        <w:rPr>
          <w:rFonts w:ascii="Calibri" w:cs="Calibri" w:eastAsia="Calibri" w:hAnsi="Calibri"/>
          <w:color w:val="1A1A1A"/>
          <w:sz w:val="20"/>
          <w:szCs w:val="20"/>
        </w:rPr>
        <w:t xml:space="preserve">), éducation inclusive (</w:t>
      </w:r>
      <w:r>
        <w:rPr>
          <w:rFonts w:ascii="Calibri" w:cs="Calibri" w:eastAsia="Calibri" w:hAnsi="Calibri"/>
          <w:color w:val="1E88E5"/>
          <w:sz w:val="20"/>
          <w:szCs w:val="20"/>
        </w:rPr>
        <w:t xml:space="preserve">art. 24</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11 février 2005</w:t>
      </w:r>
      <w:r>
        <w:rPr>
          <w:rFonts w:ascii="Calibri" w:cs="Calibri" w:eastAsia="Calibri" w:hAnsi="Calibri"/>
          <w:color w:val="1A1A1A"/>
          <w:sz w:val="20"/>
          <w:szCs w:val="20"/>
        </w:rPr>
        <w:t xml:space="preserve"> et </w:t>
      </w:r>
      <w:r>
        <w:rPr>
          <w:rFonts w:ascii="Calibri" w:cs="Calibri" w:eastAsia="Calibri" w:hAnsi="Calibri"/>
          <w:color w:val="1E88E5"/>
          <w:sz w:val="20"/>
          <w:szCs w:val="20"/>
        </w:rPr>
        <w:t xml:space="preserve">art. L. 114-1 CASF</w:t>
      </w:r>
      <w:r>
        <w:rPr>
          <w:rFonts w:ascii="Calibri" w:cs="Calibri" w:eastAsia="Calibri" w:hAnsi="Calibri"/>
          <w:color w:val="1A1A1A"/>
          <w:sz w:val="20"/>
          <w:szCs w:val="20"/>
        </w:rPr>
        <w:t xml:space="preserve"> (« droit à la solidarité de l’ensemble de la collectivité nationale »).</w:t>
      </w:r>
    </w:p>
    <w:p>
      <w:pPr>
        <w:pStyle w:val="ListParagraph"/>
        <w:numPr>
          <w:ilvl w:val="0"/>
          <w:numId w:val="2"/>
        </w:numPr>
        <w:spacing w:after="70" w:line="264"/>
        <w:jc w:val="both"/>
      </w:pPr>
      <w:r>
        <w:rPr>
          <w:rFonts w:ascii="Calibri" w:cs="Calibri" w:eastAsia="Calibri" w:hAnsi="Calibri"/>
          <w:color w:val="1A1A1A"/>
          <w:sz w:val="20"/>
          <w:szCs w:val="20"/>
        </w:rPr>
        <w:t xml:space="preserve">— Obligation d’emploi de 6 % de travailleurs handicapés (</w:t>
      </w:r>
      <w:r>
        <w:rPr>
          <w:rFonts w:ascii="Calibri" w:cs="Calibri" w:eastAsia="Calibri" w:hAnsi="Calibri"/>
          <w:color w:val="1E88E5"/>
          <w:sz w:val="20"/>
          <w:szCs w:val="20"/>
        </w:rPr>
        <w:t xml:space="preserve">loi du 10 juillet 1987</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Constitution de partie civile des associations (</w:t>
      </w:r>
      <w:r>
        <w:rPr>
          <w:rFonts w:ascii="Calibri" w:cs="Calibri" w:eastAsia="Calibri" w:hAnsi="Calibri"/>
          <w:color w:val="1E88E5"/>
          <w:sz w:val="20"/>
          <w:szCs w:val="20"/>
        </w:rPr>
        <w:t xml:space="preserve">art. 2-8 CPP</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Jurisprudence européenne</w:t>
      </w:r>
    </w:p>
    <w:p>
      <w:pPr>
        <w:pStyle w:val="ListParagraph"/>
        <w:numPr>
          <w:ilvl w:val="0"/>
          <w:numId w:val="2"/>
        </w:numPr>
        <w:spacing w:after="70" w:line="264"/>
        <w:jc w:val="both"/>
      </w:pPr>
      <w:r>
        <w:rPr>
          <w:rFonts w:ascii="Calibri" w:cs="Calibri" w:eastAsia="Calibri" w:hAnsi="Calibri"/>
          <w:color w:val="1A1A1A"/>
          <w:sz w:val="20"/>
          <w:szCs w:val="20"/>
        </w:rPr>
        <w:t xml:space="preserve">— Obligation de protéger un handicapé harcelé par des enfants du voisinage (</w:t>
      </w:r>
      <w:r>
        <w:rPr>
          <w:rFonts w:ascii="Calibri" w:cs="Calibri" w:eastAsia="Calibri" w:hAnsi="Calibri"/>
          <w:color w:val="E91E63"/>
          <w:sz w:val="20"/>
          <w:szCs w:val="20"/>
        </w:rPr>
        <w:t xml:space="preserve">Đorđević c. Croatie</w:t>
      </w:r>
      <w:r>
        <w:rPr>
          <w:rFonts w:ascii="Calibri" w:cs="Calibri" w:eastAsia="Calibri" w:hAnsi="Calibri"/>
          <w:color w:val="1A1A1A"/>
          <w:sz w:val="20"/>
          <w:szCs w:val="20"/>
        </w:rPr>
        <w:t xml:space="preserve">, 24 juillet 2012).</w:t>
      </w:r>
    </w:p>
    <w:p>
      <w:pPr>
        <w:pStyle w:val="ListParagraph"/>
        <w:numPr>
          <w:ilvl w:val="0"/>
          <w:numId w:val="2"/>
        </w:numPr>
        <w:spacing w:after="70" w:line="264"/>
        <w:jc w:val="both"/>
      </w:pPr>
      <w:r>
        <w:rPr>
          <w:rFonts w:ascii="Calibri" w:cs="Calibri" w:eastAsia="Calibri" w:hAnsi="Calibri"/>
          <w:color w:val="1A1A1A"/>
          <w:sz w:val="20"/>
          <w:szCs w:val="20"/>
        </w:rPr>
        <w:t xml:space="preserve">— Inaccessibilité d’un bâtiment universitaire pour un étudiant devenu paraplégique : violation de l’</w:t>
      </w:r>
      <w:r>
        <w:rPr>
          <w:rFonts w:ascii="Calibri" w:cs="Calibri" w:eastAsia="Calibri" w:hAnsi="Calibri"/>
          <w:color w:val="1E88E5"/>
          <w:sz w:val="20"/>
          <w:szCs w:val="20"/>
        </w:rPr>
        <w:t xml:space="preserve">art. 14</w:t>
      </w:r>
      <w:r>
        <w:rPr>
          <w:rFonts w:ascii="Calibri" w:cs="Calibri" w:eastAsia="Calibri" w:hAnsi="Calibri"/>
          <w:color w:val="1A1A1A"/>
          <w:sz w:val="20"/>
          <w:szCs w:val="20"/>
        </w:rPr>
        <w:t xml:space="preserve"> combiné avec l’</w:t>
      </w:r>
      <w:r>
        <w:rPr>
          <w:rFonts w:ascii="Calibri" w:cs="Calibri" w:eastAsia="Calibri" w:hAnsi="Calibri"/>
          <w:color w:val="1E88E5"/>
          <w:sz w:val="20"/>
          <w:szCs w:val="20"/>
        </w:rPr>
        <w:t xml:space="preserve">art. 2 Prot. 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Enver Şahin c. Turquie</w:t>
      </w:r>
      <w:r>
        <w:rPr>
          <w:rFonts w:ascii="Calibri" w:cs="Calibri" w:eastAsia="Calibri" w:hAnsi="Calibri"/>
          <w:color w:val="1A1A1A"/>
          <w:sz w:val="20"/>
          <w:szCs w:val="20"/>
        </w:rPr>
        <w:t xml:space="preserve">, 30 janvier 2018).</w:t>
      </w:r>
    </w:p>
    <w:p>
      <w:pPr>
        <w:pStyle w:val="ListParagraph"/>
        <w:numPr>
          <w:ilvl w:val="0"/>
          <w:numId w:val="2"/>
        </w:numPr>
        <w:spacing w:after="70" w:line="264"/>
        <w:jc w:val="both"/>
      </w:pPr>
      <w:r>
        <w:rPr>
          <w:rFonts w:ascii="Calibri" w:cs="Calibri" w:eastAsia="Calibri" w:hAnsi="Calibri"/>
          <w:color w:val="1A1A1A"/>
          <w:sz w:val="20"/>
          <w:szCs w:val="20"/>
        </w:rPr>
        <w:t xml:space="preserve">— Refus d’inscrire une étudiante aveugle au conservatoire (</w:t>
      </w:r>
      <w:r>
        <w:rPr>
          <w:rFonts w:ascii="Calibri" w:cs="Calibri" w:eastAsia="Calibri" w:hAnsi="Calibri"/>
          <w:color w:val="E91E63"/>
          <w:sz w:val="20"/>
          <w:szCs w:val="20"/>
        </w:rPr>
        <w:t xml:space="preserve">Çam c. Turquie</w:t>
      </w:r>
      <w:r>
        <w:rPr>
          <w:rFonts w:ascii="Calibri" w:cs="Calibri" w:eastAsia="Calibri" w:hAnsi="Calibri"/>
          <w:color w:val="1A1A1A"/>
          <w:sz w:val="20"/>
          <w:szCs w:val="20"/>
        </w:rPr>
        <w:t xml:space="preserve">, 23 février 2016).</w:t>
      </w:r>
    </w:p>
    <w:p>
      <w:pPr>
        <w:pStyle w:val="Heading3"/>
        <w:spacing w:after="90" w:before="200"/>
      </w:pPr>
      <w:r>
        <w:rPr>
          <w:rFonts w:ascii="Calibri" w:cs="Calibri" w:eastAsia="Calibri" w:hAnsi="Calibri"/>
          <w:b/>
          <w:bCs/>
          <w:i/>
          <w:iCs/>
          <w:color w:val="5A5A5A"/>
          <w:sz w:val="21"/>
          <w:szCs w:val="21"/>
        </w:rPr>
        <w:t xml:space="preserve">3.4. Les minorités et les Roms</w:t>
      </w:r>
    </w:p>
    <w:p>
      <w:pPr>
        <w:pStyle w:val="ListParagraph"/>
        <w:numPr>
          <w:ilvl w:val="0"/>
          <w:numId w:val="2"/>
        </w:numPr>
        <w:spacing w:after="70" w:line="264"/>
        <w:jc w:val="both"/>
      </w:pPr>
      <w:r>
        <w:rPr>
          <w:rFonts w:ascii="Calibri" w:cs="Calibri" w:eastAsia="Calibri" w:hAnsi="Calibri"/>
          <w:b/>
          <w:bCs/>
          <w:color w:val="1A1A1A"/>
          <w:sz w:val="20"/>
          <w:szCs w:val="20"/>
        </w:rPr>
        <w:t xml:space="preserve">Le refus français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99-412 DC</w:t>
      </w:r>
      <w:r>
        <w:rPr>
          <w:rFonts w:ascii="Calibri" w:cs="Calibri" w:eastAsia="Calibri" w:hAnsi="Calibri"/>
          <w:color w:val="1A1A1A"/>
          <w:sz w:val="20"/>
          <w:szCs w:val="20"/>
        </w:rPr>
        <w:t xml:space="preserve"> ; réserve sur l’</w:t>
      </w:r>
      <w:r>
        <w:rPr>
          <w:rFonts w:ascii="Calibri" w:cs="Calibri" w:eastAsia="Calibri" w:hAnsi="Calibri"/>
          <w:color w:val="1E88E5"/>
          <w:sz w:val="20"/>
          <w:szCs w:val="20"/>
        </w:rPr>
        <w:t xml:space="preserve">art. 27 PIDCP</w:t>
      </w:r>
      <w:r>
        <w:rPr>
          <w:rFonts w:ascii="Calibri" w:cs="Calibri" w:eastAsia="Calibri" w:hAnsi="Calibri"/>
          <w:color w:val="1A1A1A"/>
          <w:sz w:val="20"/>
          <w:szCs w:val="20"/>
        </w:rPr>
        <w:t xml:space="preserve"> ; Convention-cadre non signée.</w:t>
      </w:r>
    </w:p>
    <w:p>
      <w:pPr>
        <w:pStyle w:val="ListParagraph"/>
        <w:numPr>
          <w:ilvl w:val="0"/>
          <w:numId w:val="2"/>
        </w:numPr>
        <w:spacing w:after="70" w:line="264"/>
        <w:jc w:val="both"/>
      </w:pPr>
      <w:r>
        <w:rPr>
          <w:rFonts w:ascii="Calibri" w:cs="Calibri" w:eastAsia="Calibri" w:hAnsi="Calibri"/>
          <w:b/>
          <w:bCs/>
          <w:color w:val="1A1A1A"/>
          <w:sz w:val="20"/>
          <w:szCs w:val="20"/>
        </w:rPr>
        <w:t xml:space="preserve">La jurisprudence européenne</w:t>
      </w:r>
    </w:p>
    <w:p>
      <w:pPr>
        <w:pStyle w:val="ListParagraph"/>
        <w:numPr>
          <w:ilvl w:val="0"/>
          <w:numId w:val="2"/>
        </w:numPr>
        <w:spacing w:after="70" w:line="264"/>
        <w:jc w:val="both"/>
      </w:pPr>
      <w:r>
        <w:rPr>
          <w:rFonts w:ascii="Calibri" w:cs="Calibri" w:eastAsia="Calibri" w:hAnsi="Calibri"/>
          <w:color w:val="1A1A1A"/>
          <w:sz w:val="20"/>
          <w:szCs w:val="20"/>
        </w:rPr>
        <w:t xml:space="preserve">— Stérilisation forcée d’une femme rom (</w:t>
      </w:r>
      <w:r>
        <w:rPr>
          <w:rFonts w:ascii="Calibri" w:cs="Calibri" w:eastAsia="Calibri" w:hAnsi="Calibri"/>
          <w:color w:val="E91E63"/>
          <w:sz w:val="20"/>
          <w:szCs w:val="20"/>
        </w:rPr>
        <w:t xml:space="preserve">N.B. c. Slovaquie</w:t>
      </w:r>
      <w:r>
        <w:rPr>
          <w:rFonts w:ascii="Calibri" w:cs="Calibri" w:eastAsia="Calibri" w:hAnsi="Calibri"/>
          <w:color w:val="1A1A1A"/>
          <w:sz w:val="20"/>
          <w:szCs w:val="20"/>
        </w:rPr>
        <w:t xml:space="preserve">, 12 juin 2012).</w:t>
      </w:r>
    </w:p>
    <w:p>
      <w:pPr>
        <w:pStyle w:val="ListParagraph"/>
        <w:numPr>
          <w:ilvl w:val="0"/>
          <w:numId w:val="2"/>
        </w:numPr>
        <w:spacing w:after="70" w:line="264"/>
        <w:jc w:val="both"/>
      </w:pPr>
      <w:r>
        <w:rPr>
          <w:rFonts w:ascii="Calibri" w:cs="Calibri" w:eastAsia="Calibri" w:hAnsi="Calibri"/>
          <w:color w:val="1A1A1A"/>
          <w:sz w:val="20"/>
          <w:szCs w:val="20"/>
        </w:rPr>
        <w:t xml:space="preserve">— Vulnérabilité de groupe appréciée de manière évolutive, selon les circonstances générales et particulières (</w:t>
      </w:r>
      <w:r>
        <w:rPr>
          <w:rFonts w:ascii="Calibri" w:cs="Calibri" w:eastAsia="Calibri" w:hAnsi="Calibri"/>
          <w:color w:val="E91E63"/>
          <w:sz w:val="20"/>
          <w:szCs w:val="20"/>
        </w:rPr>
        <w:t xml:space="preserve">Khasanov et Rakhmanov c. Russie</w:t>
      </w:r>
      <w:r>
        <w:rPr>
          <w:rFonts w:ascii="Calibri" w:cs="Calibri" w:eastAsia="Calibri" w:hAnsi="Calibri"/>
          <w:color w:val="1A1A1A"/>
          <w:sz w:val="20"/>
          <w:szCs w:val="20"/>
        </w:rPr>
        <w:t xml:space="preserve">, GC, 29 avril 2022 : risque de mauvais traitements en cas de renvoi au Kirghizstan de personnes d’origine ouzbèke).</w:t>
      </w:r>
    </w:p>
    <w:p>
      <w:pPr>
        <w:pStyle w:val="ListParagraph"/>
        <w:numPr>
          <w:ilvl w:val="0"/>
          <w:numId w:val="2"/>
        </w:numPr>
        <w:spacing w:after="70" w:line="264"/>
        <w:jc w:val="both"/>
      </w:pPr>
      <w:r>
        <w:rPr>
          <w:rFonts w:ascii="Calibri" w:cs="Calibri" w:eastAsia="Calibri" w:hAnsi="Calibri"/>
          <w:b/>
          <w:bCs/>
          <w:color w:val="1A1A1A"/>
          <w:sz w:val="20"/>
          <w:szCs w:val="20"/>
        </w:rPr>
        <w:t xml:space="preserve">Actualité : S.T. c. République tchèque (16 juillet 2026)</w:t>
      </w:r>
    </w:p>
    <w:p>
      <w:pPr>
        <w:pStyle w:val="ListParagraph"/>
        <w:numPr>
          <w:ilvl w:val="0"/>
          <w:numId w:val="2"/>
        </w:numPr>
        <w:spacing w:after="70" w:line="264"/>
        <w:jc w:val="both"/>
      </w:pPr>
      <w:r>
        <w:rPr>
          <w:rFonts w:ascii="Calibri" w:cs="Calibri" w:eastAsia="Calibri" w:hAnsi="Calibri"/>
          <w:color w:val="1A1A1A"/>
          <w:sz w:val="20"/>
          <w:szCs w:val="20"/>
        </w:rPr>
        <w:t xml:space="preserve">— Faits : un homme rom alcoolisé et blessé est maintenu en position ventrale, menotté dans le dos, sous le poids d’un policier, et meurt.</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2</w:t>
      </w:r>
      <w:r>
        <w:rPr>
          <w:rFonts w:ascii="Calibri" w:cs="Calibri" w:eastAsia="Calibri" w:hAnsi="Calibri"/>
          <w:color w:val="1A1A1A"/>
          <w:sz w:val="20"/>
          <w:szCs w:val="20"/>
        </w:rPr>
        <w:t xml:space="preserve"> : défaut de formation des policiers aux risques de cette technique.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 force disproportionnée.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14</w:t>
      </w:r>
      <w:r>
        <w:rPr>
          <w:rFonts w:ascii="Calibri" w:cs="Calibri" w:eastAsia="Calibri" w:hAnsi="Calibri"/>
          <w:color w:val="1A1A1A"/>
          <w:sz w:val="20"/>
          <w:szCs w:val="20"/>
        </w:rPr>
        <w:t xml:space="preserve"> : défaut d’enquête sur un mobile raciste, compte tenu du contexte documenté de discriminations.</w:t>
      </w:r>
    </w:p>
    <w:p>
      <w:pPr>
        <w:pStyle w:val="ListParagraph"/>
        <w:numPr>
          <w:ilvl w:val="0"/>
          <w:numId w:val="2"/>
        </w:numPr>
        <w:spacing w:after="70" w:line="264"/>
        <w:jc w:val="both"/>
      </w:pPr>
      <w:r>
        <w:rPr>
          <w:rFonts w:ascii="Calibri" w:cs="Calibri" w:eastAsia="Calibri" w:hAnsi="Calibri"/>
          <w:color w:val="1A1A1A"/>
          <w:sz w:val="20"/>
          <w:szCs w:val="20"/>
        </w:rPr>
        <w:t xml:space="preserve">— Le </w:t>
      </w:r>
      <w:r>
        <w:rPr>
          <w:rFonts w:ascii="Calibri" w:cs="Calibri" w:eastAsia="Calibri" w:hAnsi="Calibri"/>
          <w:b/>
          <w:bCs/>
          <w:color w:val="1A1A1A"/>
          <w:sz w:val="20"/>
          <w:szCs w:val="20"/>
        </w:rPr>
        <w:t xml:space="preserve">cumul</w:t>
      </w:r>
      <w:r>
        <w:rPr>
          <w:rFonts w:ascii="Calibri" w:cs="Calibri" w:eastAsia="Calibri" w:hAnsi="Calibri"/>
          <w:color w:val="1A1A1A"/>
          <w:sz w:val="20"/>
          <w:szCs w:val="20"/>
        </w:rPr>
        <w:t xml:space="preserve"> des facteurs (santé, dépendance, origine) renforce les obligations de l’État.</w:t>
      </w:r>
    </w:p>
    <w:p>
      <w:pPr>
        <w:pStyle w:val="Heading3"/>
        <w:spacing w:after="90" w:before="200"/>
      </w:pPr>
      <w:r>
        <w:rPr>
          <w:rFonts w:ascii="Calibri" w:cs="Calibri" w:eastAsia="Calibri" w:hAnsi="Calibri"/>
          <w:b/>
          <w:bCs/>
          <w:i/>
          <w:iCs/>
          <w:color w:val="5A5A5A"/>
          <w:sz w:val="21"/>
          <w:szCs w:val="21"/>
        </w:rPr>
        <w:t xml:space="preserve">3.5. Les étrangers, demandeurs d’asile et apatrides</w:t>
      </w:r>
    </w:p>
    <w:p>
      <w:pPr>
        <w:pStyle w:val="ListParagraph"/>
        <w:numPr>
          <w:ilvl w:val="0"/>
          <w:numId w:val="2"/>
        </w:numPr>
        <w:spacing w:after="70" w:line="264"/>
        <w:jc w:val="both"/>
      </w:pPr>
      <w:r>
        <w:rPr>
          <w:rFonts w:ascii="Calibri" w:cs="Calibri" w:eastAsia="Calibri" w:hAnsi="Calibri"/>
          <w:b/>
          <w:bCs/>
          <w:color w:val="1A1A1A"/>
          <w:sz w:val="20"/>
          <w:szCs w:val="20"/>
        </w:rPr>
        <w:t xml:space="preserve">Le principe</w:t>
      </w:r>
      <w:r>
        <w:rPr>
          <w:rFonts w:ascii="Calibri" w:cs="Calibri" w:eastAsia="Calibri" w:hAnsi="Calibri"/>
          <w:color w:val="1A1A1A"/>
          <w:sz w:val="20"/>
          <w:szCs w:val="20"/>
        </w:rPr>
        <w:t xml:space="preserve"> : vulnérabilité des migrants interceptés en mer (</w:t>
      </w:r>
      <w:r>
        <w:rPr>
          <w:rFonts w:ascii="Calibri" w:cs="Calibri" w:eastAsia="Calibri" w:hAnsi="Calibri"/>
          <w:color w:val="E91E63"/>
          <w:sz w:val="20"/>
          <w:szCs w:val="20"/>
        </w:rPr>
        <w:t xml:space="preserve">Hirsi Jamaa c. Italie</w:t>
      </w:r>
      <w:r>
        <w:rPr>
          <w:rFonts w:ascii="Calibri" w:cs="Calibri" w:eastAsia="Calibri" w:hAnsi="Calibri"/>
          <w:color w:val="1A1A1A"/>
          <w:sz w:val="20"/>
          <w:szCs w:val="20"/>
        </w:rPr>
        <w:t xml:space="preserve">, GC, 23 février 2012), puis appréciation individualisée.</w:t>
      </w:r>
    </w:p>
    <w:p>
      <w:pPr>
        <w:pStyle w:val="ListParagraph"/>
        <w:numPr>
          <w:ilvl w:val="0"/>
          <w:numId w:val="2"/>
        </w:numPr>
        <w:spacing w:after="70" w:line="264"/>
        <w:jc w:val="both"/>
      </w:pPr>
      <w:r>
        <w:rPr>
          <w:rFonts w:ascii="Calibri" w:cs="Calibri" w:eastAsia="Calibri" w:hAnsi="Calibri"/>
          <w:color w:val="1A1A1A"/>
          <w:sz w:val="20"/>
          <w:szCs w:val="20"/>
        </w:rPr>
        <w:t xml:space="preserve">— Rétention d’un demandeur d’asile homosexuel sans prise en compte de sa vulnérabilité (</w:t>
      </w:r>
      <w:r>
        <w:rPr>
          <w:rFonts w:ascii="Calibri" w:cs="Calibri" w:eastAsia="Calibri" w:hAnsi="Calibri"/>
          <w:color w:val="E91E63"/>
          <w:sz w:val="20"/>
          <w:szCs w:val="20"/>
        </w:rPr>
        <w:t xml:space="preserve">O.M. c. Hongrie</w:t>
      </w:r>
      <w:r>
        <w:rPr>
          <w:rFonts w:ascii="Calibri" w:cs="Calibri" w:eastAsia="Calibri" w:hAnsi="Calibri"/>
          <w:color w:val="1A1A1A"/>
          <w:sz w:val="20"/>
          <w:szCs w:val="20"/>
        </w:rPr>
        <w:t xml:space="preserve">, 5 juillet 2016).</w:t>
      </w:r>
    </w:p>
    <w:p>
      <w:pPr>
        <w:pStyle w:val="ListParagraph"/>
        <w:numPr>
          <w:ilvl w:val="0"/>
          <w:numId w:val="2"/>
        </w:numPr>
        <w:spacing w:after="70" w:line="264"/>
        <w:jc w:val="both"/>
      </w:pPr>
      <w:r>
        <w:rPr>
          <w:rFonts w:ascii="Calibri" w:cs="Calibri" w:eastAsia="Calibri" w:hAnsi="Calibri"/>
          <w:color w:val="1A1A1A"/>
          <w:sz w:val="20"/>
          <w:szCs w:val="20"/>
        </w:rPr>
        <w:t xml:space="preserve">— Rétention d’une mère et de son nourrisson (</w:t>
      </w:r>
      <w:r>
        <w:rPr>
          <w:rFonts w:ascii="Calibri" w:cs="Calibri" w:eastAsia="Calibri" w:hAnsi="Calibri"/>
          <w:color w:val="E91E63"/>
          <w:sz w:val="20"/>
          <w:szCs w:val="20"/>
        </w:rPr>
        <w:t xml:space="preserve">M.D. et A.D. c. France</w:t>
      </w:r>
      <w:r>
        <w:rPr>
          <w:rFonts w:ascii="Calibri" w:cs="Calibri" w:eastAsia="Calibri" w:hAnsi="Calibri"/>
          <w:color w:val="1A1A1A"/>
          <w:sz w:val="20"/>
          <w:szCs w:val="20"/>
        </w:rPr>
        <w:t xml:space="preserve">, 22 juillet 2021).</w:t>
      </w:r>
    </w:p>
    <w:p>
      <w:pPr>
        <w:pStyle w:val="ListParagraph"/>
        <w:numPr>
          <w:ilvl w:val="0"/>
          <w:numId w:val="2"/>
        </w:numPr>
        <w:spacing w:after="70" w:line="264"/>
        <w:jc w:val="both"/>
      </w:pPr>
      <w:r>
        <w:rPr>
          <w:rFonts w:ascii="Calibri" w:cs="Calibri" w:eastAsia="Calibri" w:hAnsi="Calibri"/>
          <w:color w:val="1A1A1A"/>
          <w:sz w:val="20"/>
          <w:szCs w:val="20"/>
        </w:rPr>
        <w:t xml:space="preserve">— Zone de transit de Röszke (</w:t>
      </w:r>
      <w:r>
        <w:rPr>
          <w:rFonts w:ascii="Calibri" w:cs="Calibri" w:eastAsia="Calibri" w:hAnsi="Calibri"/>
          <w:color w:val="E91E63"/>
          <w:sz w:val="20"/>
          <w:szCs w:val="20"/>
        </w:rPr>
        <w:t xml:space="preserve">Ilias et Ahmed</w:t>
      </w:r>
      <w:r>
        <w:rPr>
          <w:rFonts w:ascii="Calibri" w:cs="Calibri" w:eastAsia="Calibri" w:hAnsi="Calibri"/>
          <w:color w:val="1A1A1A"/>
          <w:sz w:val="20"/>
          <w:szCs w:val="20"/>
        </w:rPr>
        <w:t xml:space="preserve">, GC, 2019).</w:t>
      </w:r>
    </w:p>
    <w:p>
      <w:pPr>
        <w:pStyle w:val="ListParagraph"/>
        <w:numPr>
          <w:ilvl w:val="0"/>
          <w:numId w:val="2"/>
        </w:numPr>
        <w:spacing w:after="70" w:line="264"/>
        <w:jc w:val="both"/>
      </w:pPr>
      <w:r>
        <w:rPr>
          <w:rFonts w:ascii="Calibri" w:cs="Calibri" w:eastAsia="Calibri" w:hAnsi="Calibri"/>
          <w:color w:val="1A1A1A"/>
          <w:sz w:val="20"/>
          <w:szCs w:val="20"/>
        </w:rPr>
        <w:t xml:space="preserve">— Détention d’un mineur burkinabé non accompagné pendant plus de cinq mois dans un centre pour adultes : la séparation matérielle ne suffit pas sans prise en charge adaptée à son âge ; violation des </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et </w:t>
      </w:r>
      <w:r>
        <w:rPr>
          <w:rFonts w:ascii="Calibri" w:cs="Calibri" w:eastAsia="Calibri" w:hAnsi="Calibri"/>
          <w:color w:val="1E88E5"/>
          <w:sz w:val="20"/>
          <w:szCs w:val="20"/>
        </w:rPr>
        <w:t xml:space="preserve">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9 avril 2026, H.D. c. Italie, n° 41645/23</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interne</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L. 522-1 CESEDA</w:t>
      </w:r>
      <w:r>
        <w:rPr>
          <w:rFonts w:ascii="Calibri" w:cs="Calibri" w:eastAsia="Calibri" w:hAnsi="Calibri"/>
          <w:color w:val="1A1A1A"/>
          <w:sz w:val="20"/>
          <w:szCs w:val="20"/>
        </w:rPr>
        <w:t xml:space="preserve"> impose l’évaluation de la vulnérabilité pour adapter les conditions d’accueil, et l’</w:t>
      </w:r>
      <w:r>
        <w:rPr>
          <w:rFonts w:ascii="Calibri" w:cs="Calibri" w:eastAsia="Calibri" w:hAnsi="Calibri"/>
          <w:color w:val="1E88E5"/>
          <w:sz w:val="20"/>
          <w:szCs w:val="20"/>
        </w:rPr>
        <w:t xml:space="preserve">art. L. 522-3</w:t>
      </w:r>
      <w:r>
        <w:rPr>
          <w:rFonts w:ascii="Calibri" w:cs="Calibri" w:eastAsia="Calibri" w:hAnsi="Calibri"/>
          <w:color w:val="1A1A1A"/>
          <w:sz w:val="20"/>
          <w:szCs w:val="20"/>
        </w:rPr>
        <w:t xml:space="preserve"> donne une liste indicative.</w:t>
      </w:r>
    </w:p>
    <w:p>
      <w:pPr>
        <w:pStyle w:val="ListParagraph"/>
        <w:numPr>
          <w:ilvl w:val="0"/>
          <w:numId w:val="2"/>
        </w:numPr>
        <w:spacing w:after="70" w:line="264"/>
        <w:jc w:val="both"/>
      </w:pPr>
      <w:r>
        <w:rPr>
          <w:rFonts w:ascii="Calibri" w:cs="Calibri" w:eastAsia="Calibri" w:hAnsi="Calibri"/>
          <w:b/>
          <w:bCs/>
          <w:color w:val="1A1A1A"/>
          <w:sz w:val="20"/>
          <w:szCs w:val="20"/>
        </w:rPr>
        <w:t xml:space="preserve">Actualité</w:t>
      </w:r>
    </w:p>
    <w:p>
      <w:pPr>
        <w:pStyle w:val="ListParagraph"/>
        <w:numPr>
          <w:ilvl w:val="0"/>
          <w:numId w:val="2"/>
        </w:numPr>
        <w:spacing w:after="70" w:line="264"/>
        <w:jc w:val="both"/>
      </w:pPr>
      <w:r>
        <w:rPr>
          <w:rFonts w:ascii="Calibri" w:cs="Calibri" w:eastAsia="Calibri" w:hAnsi="Calibri"/>
          <w:color w:val="1A1A1A"/>
          <w:sz w:val="20"/>
          <w:szCs w:val="20"/>
        </w:rPr>
        <w:t xml:space="preserve">— Depuis le 12 juin 2026, la </w:t>
      </w:r>
      <w:r>
        <w:rPr>
          <w:rFonts w:ascii="Calibri" w:cs="Calibri" w:eastAsia="Calibri" w:hAnsi="Calibri"/>
          <w:color w:val="1E88E5"/>
          <w:sz w:val="20"/>
          <w:szCs w:val="20"/>
        </w:rPr>
        <w:t xml:space="preserve">directive (UE) 2024/1346</w:t>
      </w:r>
      <w:r>
        <w:rPr>
          <w:rFonts w:ascii="Calibri" w:cs="Calibri" w:eastAsia="Calibri" w:hAnsi="Calibri"/>
          <w:color w:val="1A1A1A"/>
          <w:sz w:val="20"/>
          <w:szCs w:val="20"/>
        </w:rPr>
        <w:t xml:space="preserve"> remplace la </w:t>
      </w:r>
      <w:r>
        <w:rPr>
          <w:rFonts w:ascii="Calibri" w:cs="Calibri" w:eastAsia="Calibri" w:hAnsi="Calibri"/>
          <w:color w:val="1E88E5"/>
          <w:sz w:val="20"/>
          <w:szCs w:val="20"/>
        </w:rPr>
        <w:t xml:space="preserve">directive 2013/33/UE</w:t>
      </w:r>
      <w:r>
        <w:rPr>
          <w:rFonts w:ascii="Calibri" w:cs="Calibri" w:eastAsia="Calibri" w:hAnsi="Calibri"/>
          <w:color w:val="1A1A1A"/>
          <w:sz w:val="20"/>
          <w:szCs w:val="20"/>
        </w:rPr>
        <w:t xml:space="preserve">. Son </w:t>
      </w:r>
      <w:r>
        <w:rPr>
          <w:rFonts w:ascii="Calibri" w:cs="Calibri" w:eastAsia="Calibri" w:hAnsi="Calibri"/>
          <w:color w:val="1E88E5"/>
          <w:sz w:val="20"/>
          <w:szCs w:val="20"/>
        </w:rPr>
        <w:t xml:space="preserve">art. 24</w:t>
      </w:r>
      <w:r>
        <w:rPr>
          <w:rFonts w:ascii="Calibri" w:cs="Calibri" w:eastAsia="Calibri" w:hAnsi="Calibri"/>
          <w:color w:val="1A1A1A"/>
          <w:sz w:val="20"/>
          <w:szCs w:val="20"/>
        </w:rPr>
        <w:t xml:space="preserve"> vise désormais expressément les personnes LGBTI, les victimes de stress post-traumatique, de violences de genre et de mariages forcés.</w:t>
      </w:r>
    </w:p>
    <w:p>
      <w:pPr>
        <w:pStyle w:val="ListParagraph"/>
        <w:numPr>
          <w:ilvl w:val="0"/>
          <w:numId w:val="2"/>
        </w:numPr>
        <w:spacing w:after="70" w:line="264"/>
        <w:jc w:val="both"/>
      </w:pPr>
      <w:r>
        <w:rPr>
          <w:rFonts w:ascii="Calibri" w:cs="Calibri" w:eastAsia="Calibri" w:hAnsi="Calibri"/>
          <w:color w:val="1A1A1A"/>
          <w:sz w:val="20"/>
          <w:szCs w:val="20"/>
        </w:rPr>
        <w:t xml:space="preserve">— L’évaluation doit être individuelle, précoce (en principe sous trente jours) et évolutive.</w:t>
      </w:r>
    </w:p>
    <w:p>
      <w:pPr>
        <w:pStyle w:val="ListParagraph"/>
        <w:numPr>
          <w:ilvl w:val="0"/>
          <w:numId w:val="2"/>
        </w:numPr>
        <w:spacing w:after="70" w:line="264"/>
        <w:jc w:val="both"/>
      </w:pPr>
      <w:r>
        <w:rPr>
          <w:rFonts w:ascii="Calibri" w:cs="Calibri" w:eastAsia="Calibri" w:hAnsi="Calibri"/>
          <w:color w:val="1A1A1A"/>
          <w:sz w:val="20"/>
          <w:szCs w:val="20"/>
        </w:rPr>
        <w:t xml:space="preserve">— Le CESEDA a été adapté par décrets en juin 2026.</w:t>
      </w:r>
    </w:p>
    <w:p>
      <w:pPr>
        <w:pStyle w:val="ListParagraph"/>
        <w:numPr>
          <w:ilvl w:val="0"/>
          <w:numId w:val="2"/>
        </w:numPr>
        <w:spacing w:after="70" w:line="264"/>
        <w:jc w:val="both"/>
      </w:pPr>
      <w:r>
        <w:rPr>
          <w:rFonts w:ascii="Calibri" w:cs="Calibri" w:eastAsia="Calibri" w:hAnsi="Calibri"/>
          <w:b/>
          <w:bCs/>
          <w:color w:val="1A1A1A"/>
          <w:sz w:val="20"/>
          <w:szCs w:val="20"/>
        </w:rPr>
        <w:t xml:space="preserve">Apatrides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Convention de New York du 28 septembre 1954</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L. 582-1 et s. CESEDA</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3.6. Les minorités sexuelles et de genre</w:t>
      </w:r>
    </w:p>
    <w:p>
      <w:pPr>
        <w:pStyle w:val="ListParagraph"/>
        <w:numPr>
          <w:ilvl w:val="0"/>
          <w:numId w:val="2"/>
        </w:numPr>
        <w:spacing w:after="70" w:line="264"/>
        <w:jc w:val="both"/>
      </w:pPr>
      <w:r>
        <w:rPr>
          <w:rFonts w:ascii="Calibri" w:cs="Calibri" w:eastAsia="Calibri" w:hAnsi="Calibri"/>
          <w:b/>
          <w:bCs/>
          <w:color w:val="1A1A1A"/>
          <w:sz w:val="20"/>
          <w:szCs w:val="20"/>
        </w:rPr>
        <w:t xml:space="preserve">Strasbourg</w:t>
      </w:r>
    </w:p>
    <w:p>
      <w:pPr>
        <w:pStyle w:val="ListParagraph"/>
        <w:numPr>
          <w:ilvl w:val="0"/>
          <w:numId w:val="2"/>
        </w:numPr>
        <w:spacing w:after="70" w:line="264"/>
        <w:jc w:val="both"/>
      </w:pPr>
      <w:r>
        <w:rPr>
          <w:rFonts w:ascii="Calibri" w:cs="Calibri" w:eastAsia="Calibri" w:hAnsi="Calibri"/>
          <w:color w:val="1A1A1A"/>
          <w:sz w:val="20"/>
          <w:szCs w:val="20"/>
        </w:rPr>
        <w:t xml:space="preserve">— Vulnérabilité des personnes LGBT dans un contexte hostile, et obligation de protection contre les discours stigmatisants (</w:t>
      </w:r>
      <w:r>
        <w:rPr>
          <w:rFonts w:ascii="Calibri" w:cs="Calibri" w:eastAsia="Calibri" w:hAnsi="Calibri"/>
          <w:color w:val="E91E63"/>
          <w:sz w:val="20"/>
          <w:szCs w:val="20"/>
        </w:rPr>
        <w:t xml:space="preserve">Bazhenov et autres c. Russie</w:t>
      </w:r>
      <w:r>
        <w:rPr>
          <w:rFonts w:ascii="Calibri" w:cs="Calibri" w:eastAsia="Calibri" w:hAnsi="Calibri"/>
          <w:color w:val="1A1A1A"/>
          <w:sz w:val="20"/>
          <w:szCs w:val="20"/>
        </w:rPr>
        <w:t xml:space="preserve">, 4 février 2025).</w:t>
      </w:r>
    </w:p>
    <w:p>
      <w:pPr>
        <w:pStyle w:val="ListParagraph"/>
        <w:numPr>
          <w:ilvl w:val="0"/>
          <w:numId w:val="2"/>
        </w:numPr>
        <w:spacing w:after="70" w:line="264"/>
        <w:jc w:val="both"/>
      </w:pPr>
      <w:r>
        <w:rPr>
          <w:rFonts w:ascii="Calibri" w:cs="Calibri" w:eastAsia="Calibri" w:hAnsi="Calibri"/>
          <w:color w:val="1A1A1A"/>
          <w:sz w:val="20"/>
          <w:szCs w:val="20"/>
        </w:rPr>
        <w:t xml:space="preserve">— Interruption du traitement hormonal d’une détenue transgenre : atteinte à l’autodétermination protégée par l’</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W.W. c. Pologne</w:t>
      </w:r>
      <w:r>
        <w:rPr>
          <w:rFonts w:ascii="Calibri" w:cs="Calibri" w:eastAsia="Calibri" w:hAnsi="Calibri"/>
          <w:color w:val="1A1A1A"/>
          <w:sz w:val="20"/>
          <w:szCs w:val="20"/>
        </w:rPr>
        <w:t xml:space="preserve">, 11 juillet 2024).</w:t>
      </w:r>
    </w:p>
    <w:p>
      <w:pPr>
        <w:pStyle w:val="ListParagraph"/>
        <w:numPr>
          <w:ilvl w:val="0"/>
          <w:numId w:val="2"/>
        </w:numPr>
        <w:spacing w:after="70" w:line="264"/>
        <w:jc w:val="both"/>
      </w:pPr>
      <w:r>
        <w:rPr>
          <w:rFonts w:ascii="Calibri" w:cs="Calibri" w:eastAsia="Calibri" w:hAnsi="Calibri"/>
          <w:b/>
          <w:bCs/>
          <w:color w:val="1A1A1A"/>
          <w:sz w:val="20"/>
          <w:szCs w:val="20"/>
        </w:rPr>
        <w:t xml:space="preserve">Luxembourg</w:t>
      </w:r>
      <w:r>
        <w:rPr>
          <w:rFonts w:ascii="Calibri" w:cs="Calibri" w:eastAsia="Calibri" w:hAnsi="Calibri"/>
          <w:color w:val="1A1A1A"/>
          <w:sz w:val="20"/>
          <w:szCs w:val="20"/>
        </w:rPr>
        <w:t xml:space="preserve"> : la collecte obligatoire de la civilité (« Monsieur » ou « Madame ») pour acheter un billet de train n’est pas nécessaire à la personnalisation de la communication commerciale (</w:t>
      </w:r>
      <w:r>
        <w:rPr>
          <w:rFonts w:ascii="Calibri" w:cs="Calibri" w:eastAsia="Calibri" w:hAnsi="Calibri"/>
          <w:color w:val="E91E63"/>
          <w:sz w:val="20"/>
          <w:szCs w:val="20"/>
        </w:rPr>
        <w:t xml:space="preserve">CJUE, 9 janvier 2025, Mousse, C-394/23</w:t>
      </w:r>
      <w:r>
        <w:rPr>
          <w:rFonts w:ascii="Calibri" w:cs="Calibri" w:eastAsia="Calibri" w:hAnsi="Calibri"/>
          <w:color w:val="1A1A1A"/>
          <w:sz w:val="20"/>
          <w:szCs w:val="20"/>
        </w:rPr>
        <w:t xml:space="preserve">, sur renvoi du Conseil d’État). L’arrêt est rendu sur le terrain du RGPD (minimisation des données) ; le risque de discrimination fondée sur l’identité de genre n’est qu’un élément de la mise en balance.</w:t>
      </w:r>
    </w:p>
    <w:p>
      <w:pPr>
        <w:pStyle w:val="ListParagraph"/>
        <w:numPr>
          <w:ilvl w:val="0"/>
          <w:numId w:val="2"/>
        </w:numPr>
        <w:spacing w:after="70" w:line="264"/>
        <w:jc w:val="both"/>
      </w:pPr>
      <w:r>
        <w:rPr>
          <w:rFonts w:ascii="Calibri" w:cs="Calibri" w:eastAsia="Calibri" w:hAnsi="Calibri"/>
          <w:b/>
          <w:bCs/>
          <w:color w:val="1A1A1A"/>
          <w:sz w:val="20"/>
          <w:szCs w:val="20"/>
        </w:rPr>
        <w:t xml:space="preserve">France</w:t>
      </w:r>
      <w:r>
        <w:rPr>
          <w:rFonts w:ascii="Calibri" w:cs="Calibri" w:eastAsia="Calibri" w:hAnsi="Calibri"/>
          <w:color w:val="1A1A1A"/>
          <w:sz w:val="20"/>
          <w:szCs w:val="20"/>
        </w:rPr>
        <w:t xml:space="preserve"> : interdiction des « thérapies de conversion » (</w:t>
      </w:r>
      <w:r>
        <w:rPr>
          <w:rFonts w:ascii="Calibri" w:cs="Calibri" w:eastAsia="Calibri" w:hAnsi="Calibri"/>
          <w:color w:val="1E88E5"/>
          <w:sz w:val="20"/>
          <w:szCs w:val="20"/>
        </w:rPr>
        <w:t xml:space="preserve">loi du 31 janvier 2022</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225-4-13 C. pén.</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L. 4163-11 CSP</w:t>
      </w:r>
      <w:r>
        <w:rPr>
          <w:rFonts w:ascii="Calibri" w:cs="Calibri" w:eastAsia="Calibri" w:hAnsi="Calibri"/>
          <w:color w:val="1A1A1A"/>
          <w:sz w:val="20"/>
          <w:szCs w:val="20"/>
        </w:rPr>
        <w:t xml:space="preserve">) ; avis de la </w:t>
      </w:r>
      <w:r>
        <w:rPr>
          <w:rFonts w:ascii="Calibri" w:cs="Calibri" w:eastAsia="Calibri" w:hAnsi="Calibri"/>
          <w:color w:val="2E7D32"/>
          <w:sz w:val="20"/>
          <w:szCs w:val="20"/>
        </w:rPr>
        <w:t xml:space="preserve">CNCDH</w:t>
      </w:r>
      <w:r>
        <w:rPr>
          <w:rFonts w:ascii="Calibri" w:cs="Calibri" w:eastAsia="Calibri" w:hAnsi="Calibri"/>
          <w:color w:val="1A1A1A"/>
          <w:sz w:val="20"/>
          <w:szCs w:val="20"/>
        </w:rPr>
        <w:t xml:space="preserve"> de 2014 et rapport du 30 novembre 2023.</w:t>
      </w:r>
    </w:p>
    <w:p>
      <w:pPr>
        <w:pStyle w:val="Heading3"/>
        <w:spacing w:after="90" w:before="200"/>
      </w:pPr>
      <w:r>
        <w:rPr>
          <w:rFonts w:ascii="Calibri" w:cs="Calibri" w:eastAsia="Calibri" w:hAnsi="Calibri"/>
          <w:b/>
          <w:bCs/>
          <w:i/>
          <w:iCs/>
          <w:color w:val="5A5A5A"/>
          <w:sz w:val="21"/>
          <w:szCs w:val="21"/>
        </w:rPr>
        <w:t xml:space="preserve">3.7. Les femmes</w:t>
      </w:r>
    </w:p>
    <w:p>
      <w:pPr>
        <w:pStyle w:val="ListParagraph"/>
        <w:numPr>
          <w:ilvl w:val="0"/>
          <w:numId w:val="2"/>
        </w:numPr>
        <w:spacing w:after="70" w:line="264"/>
        <w:jc w:val="both"/>
      </w:pPr>
      <w:r>
        <w:rPr>
          <w:rFonts w:ascii="Calibri" w:cs="Calibri" w:eastAsia="Calibri" w:hAnsi="Calibri"/>
          <w:b/>
          <w:bCs/>
          <w:color w:val="1A1A1A"/>
          <w:sz w:val="20"/>
          <w:szCs w:val="20"/>
        </w:rPr>
        <w:t xml:space="preserve">Pas de vulnérabilité par nature</w:t>
      </w:r>
      <w:r>
        <w:rPr>
          <w:rFonts w:ascii="Calibri" w:cs="Calibri" w:eastAsia="Calibri" w:hAnsi="Calibri"/>
          <w:color w:val="1A1A1A"/>
          <w:sz w:val="20"/>
          <w:szCs w:val="20"/>
        </w:rPr>
        <w:t xml:space="preserve">, mais des situations qui la créent : la grossesse (circonstance aggravante, protection en droit du travail) et les violences.</w:t>
      </w:r>
    </w:p>
    <w:p>
      <w:pPr>
        <w:pStyle w:val="ListParagraph"/>
        <w:numPr>
          <w:ilvl w:val="0"/>
          <w:numId w:val="2"/>
        </w:numPr>
        <w:spacing w:after="70" w:line="264"/>
        <w:jc w:val="both"/>
      </w:pPr>
      <w:r>
        <w:rPr>
          <w:rFonts w:ascii="Calibri" w:cs="Calibri" w:eastAsia="Calibri" w:hAnsi="Calibri"/>
          <w:b/>
          <w:bCs/>
          <w:color w:val="1A1A1A"/>
          <w:sz w:val="20"/>
          <w:szCs w:val="20"/>
        </w:rPr>
        <w:t xml:space="preserve">La jurisprudence européenne</w:t>
      </w:r>
    </w:p>
    <w:p>
      <w:pPr>
        <w:pStyle w:val="ListParagraph"/>
        <w:numPr>
          <w:ilvl w:val="0"/>
          <w:numId w:val="2"/>
        </w:numPr>
        <w:spacing w:after="70" w:line="264"/>
        <w:jc w:val="both"/>
      </w:pPr>
      <w:r>
        <w:rPr>
          <w:rFonts w:ascii="Calibri" w:cs="Calibri" w:eastAsia="Calibri" w:hAnsi="Calibri"/>
          <w:color w:val="1A1A1A"/>
          <w:sz w:val="20"/>
          <w:szCs w:val="20"/>
        </w:rPr>
        <w:t xml:space="preserve">— Premier arrêt jugeant que la passivité généralisée face aux violences domestiques constitue une discrimination fondée sur le sexe (</w:t>
      </w:r>
      <w:r>
        <w:rPr>
          <w:rFonts w:ascii="Calibri" w:cs="Calibri" w:eastAsia="Calibri" w:hAnsi="Calibri"/>
          <w:color w:val="E91E63"/>
          <w:sz w:val="20"/>
          <w:szCs w:val="20"/>
        </w:rPr>
        <w:t xml:space="preserve">Opuz c. Turquie</w:t>
      </w:r>
      <w:r>
        <w:rPr>
          <w:rFonts w:ascii="Calibri" w:cs="Calibri" w:eastAsia="Calibri" w:hAnsi="Calibri"/>
          <w:color w:val="1A1A1A"/>
          <w:sz w:val="20"/>
          <w:szCs w:val="20"/>
        </w:rPr>
        <w:t xml:space="preserve">, 9 juin 2009 : </w:t>
      </w:r>
      <w:r>
        <w:rPr>
          <w:rFonts w:ascii="Calibri" w:cs="Calibri" w:eastAsia="Calibri" w:hAnsi="Calibri"/>
          <w:color w:val="1E88E5"/>
          <w:sz w:val="20"/>
          <w:szCs w:val="20"/>
        </w:rPr>
        <w:t xml:space="preserve">art. 2</w:t>
      </w:r>
      <w:r>
        <w:rPr>
          <w:rFonts w:ascii="Calibri" w:cs="Calibri" w:eastAsia="Calibri" w:hAnsi="Calibri"/>
          <w:color w:val="1A1A1A"/>
          <w:sz w:val="20"/>
          <w:szCs w:val="20"/>
        </w:rPr>
        <w:t xml:space="preserve"> et </w:t>
      </w:r>
      <w:r>
        <w:rPr>
          <w:rFonts w:ascii="Calibri" w:cs="Calibri" w:eastAsia="Calibri" w:hAnsi="Calibri"/>
          <w:color w:val="1E88E5"/>
          <w:sz w:val="20"/>
          <w:szCs w:val="20"/>
        </w:rPr>
        <w:t xml:space="preserve">14</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La Cour y apprécie la vulnérabilité par un faisceau d’indices : violences passées, menaces, contexte social.</w:t>
      </w:r>
    </w:p>
    <w:p>
      <w:pPr>
        <w:pStyle w:val="ListParagraph"/>
        <w:numPr>
          <w:ilvl w:val="0"/>
          <w:numId w:val="2"/>
        </w:numPr>
        <w:spacing w:after="70" w:line="264"/>
        <w:jc w:val="both"/>
      </w:pPr>
      <w:r>
        <w:rPr>
          <w:rFonts w:ascii="Calibri" w:cs="Calibri" w:eastAsia="Calibri" w:hAnsi="Calibri"/>
          <w:color w:val="1A1A1A"/>
          <w:sz w:val="20"/>
          <w:szCs w:val="20"/>
        </w:rPr>
        <w:t xml:space="preserve">— Voir aussi </w:t>
      </w:r>
      <w:r>
        <w:rPr>
          <w:rFonts w:ascii="Calibri" w:cs="Calibri" w:eastAsia="Calibri" w:hAnsi="Calibri"/>
          <w:color w:val="E91E63"/>
          <w:sz w:val="20"/>
          <w:szCs w:val="20"/>
        </w:rPr>
        <w:t xml:space="preserve">Talpis c. Italie</w:t>
      </w:r>
      <w:r>
        <w:rPr>
          <w:rFonts w:ascii="Calibri" w:cs="Calibri" w:eastAsia="Calibri" w:hAnsi="Calibri"/>
          <w:color w:val="1A1A1A"/>
          <w:sz w:val="20"/>
          <w:szCs w:val="20"/>
        </w:rPr>
        <w:t xml:space="preserve"> (2 mars 2017).</w:t>
      </w:r>
    </w:p>
    <w:p>
      <w:pPr>
        <w:pStyle w:val="ListParagraph"/>
        <w:numPr>
          <w:ilvl w:val="0"/>
          <w:numId w:val="2"/>
        </w:numPr>
        <w:spacing w:after="70" w:line="264"/>
        <w:jc w:val="both"/>
      </w:pPr>
      <w:r>
        <w:rPr>
          <w:rFonts w:ascii="Calibri" w:cs="Calibri" w:eastAsia="Calibri" w:hAnsi="Calibri"/>
          <w:b/>
          <w:bCs/>
          <w:color w:val="1A1A1A"/>
          <w:sz w:val="20"/>
          <w:szCs w:val="20"/>
        </w:rPr>
        <w:t xml:space="preserve">Les outils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Convention d’Istanbul (11 mai 2011)</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Ordonnance de protection (</w:t>
      </w:r>
      <w:r>
        <w:rPr>
          <w:rFonts w:ascii="Calibri" w:cs="Calibri" w:eastAsia="Calibri" w:hAnsi="Calibri"/>
          <w:color w:val="1E88E5"/>
          <w:sz w:val="20"/>
          <w:szCs w:val="20"/>
        </w:rPr>
        <w:t xml:space="preserve">art. 515-9 C. civ.</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9 juillet 2010</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La proposition de loi « intégrale » contre les violences sexistes et sexuelles est en séance depuis le 1er octobre 2026 : juridictions spécialisées, protocoles d’enquête, inceste autonome.</w:t>
      </w:r>
    </w:p>
    <w:p>
      <w:pPr>
        <w:pStyle w:val="Heading3"/>
        <w:spacing w:after="90" w:before="200"/>
      </w:pPr>
      <w:r>
        <w:rPr>
          <w:rFonts w:ascii="Calibri" w:cs="Calibri" w:eastAsia="Calibri" w:hAnsi="Calibri"/>
          <w:b/>
          <w:bCs/>
          <w:i/>
          <w:iCs/>
          <w:color w:val="5A5A5A"/>
          <w:sz w:val="21"/>
          <w:szCs w:val="21"/>
        </w:rPr>
        <w:t xml:space="preserve">3.8. La vulnérabilité socio-économique</w:t>
      </w:r>
    </w:p>
    <w:p>
      <w:pPr>
        <w:pStyle w:val="ListParagraph"/>
        <w:numPr>
          <w:ilvl w:val="0"/>
          <w:numId w:val="2"/>
        </w:numPr>
        <w:spacing w:after="70" w:line="264"/>
        <w:jc w:val="both"/>
      </w:pPr>
      <w:r>
        <w:rPr>
          <w:rFonts w:ascii="Calibri" w:cs="Calibri" w:eastAsia="Calibri" w:hAnsi="Calibri"/>
          <w:b/>
          <w:bCs/>
          <w:color w:val="1A1A1A"/>
          <w:sz w:val="20"/>
          <w:szCs w:val="20"/>
        </w:rPr>
        <w:t xml:space="preserve">Textes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al. 11 Préambule 1946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30 et 31 Charte sociale européenne révisée</w:t>
      </w:r>
      <w:r>
        <w:rPr>
          <w:rFonts w:ascii="Calibri" w:cs="Calibri" w:eastAsia="Calibri" w:hAnsi="Calibri"/>
          <w:color w:val="1A1A1A"/>
          <w:sz w:val="20"/>
          <w:szCs w:val="20"/>
        </w:rPr>
        <w:t xml:space="preserve"> (pauvreté, logement).</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11 PIDESC</w:t>
      </w:r>
      <w:r>
        <w:rPr>
          <w:rFonts w:ascii="Calibri" w:cs="Calibri" w:eastAsia="Calibri" w:hAnsi="Calibri"/>
          <w:color w:val="1A1A1A"/>
          <w:sz w:val="20"/>
          <w:szCs w:val="20"/>
        </w:rPr>
        <w:t xml:space="preserve"> : niveau de vie suffisant ; l’</w:t>
      </w:r>
      <w:r>
        <w:rPr>
          <w:rFonts w:ascii="Calibri" w:cs="Calibri" w:eastAsia="Calibri" w:hAnsi="Calibri"/>
          <w:color w:val="1E88E5"/>
          <w:sz w:val="20"/>
          <w:szCs w:val="20"/>
        </w:rPr>
        <w:t xml:space="preserve">art. 11 PIDCP</w:t>
      </w:r>
      <w:r>
        <w:rPr>
          <w:rFonts w:ascii="Calibri" w:cs="Calibri" w:eastAsia="Calibri" w:hAnsi="Calibri"/>
          <w:color w:val="1A1A1A"/>
          <w:sz w:val="20"/>
          <w:szCs w:val="20"/>
        </w:rPr>
        <w:t xml:space="preserve"> interdit, lui, la prison pour dette.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L. 266-2 CASF</w:t>
      </w:r>
      <w:r>
        <w:rPr>
          <w:rFonts w:ascii="Calibri" w:cs="Calibri" w:eastAsia="Calibri" w:hAnsi="Calibri"/>
          <w:color w:val="1A1A1A"/>
          <w:sz w:val="20"/>
          <w:szCs w:val="20"/>
        </w:rPr>
        <w:t xml:space="preserve"> : aide alimentaire.</w:t>
      </w:r>
    </w:p>
    <w:p>
      <w:pPr>
        <w:pStyle w:val="ListParagraph"/>
        <w:numPr>
          <w:ilvl w:val="0"/>
          <w:numId w:val="2"/>
        </w:numPr>
        <w:spacing w:after="70" w:line="264"/>
        <w:jc w:val="both"/>
      </w:pPr>
      <w:r>
        <w:rPr>
          <w:rFonts w:ascii="Calibri" w:cs="Calibri" w:eastAsia="Calibri" w:hAnsi="Calibri"/>
          <w:b/>
          <w:bCs/>
          <w:color w:val="1A1A1A"/>
          <w:sz w:val="20"/>
          <w:szCs w:val="20"/>
        </w:rPr>
        <w:t xml:space="preserve">Un pont avec la fiche 54</w:t>
      </w:r>
      <w:r>
        <w:rPr>
          <w:rFonts w:ascii="Calibri" w:cs="Calibri" w:eastAsia="Calibri" w:hAnsi="Calibri"/>
          <w:color w:val="1A1A1A"/>
          <w:sz w:val="20"/>
          <w:szCs w:val="20"/>
        </w:rPr>
        <w:t xml:space="preserve"> : depuis la </w:t>
      </w:r>
      <w:r>
        <w:rPr>
          <w:rFonts w:ascii="Calibri" w:cs="Calibri" w:eastAsia="Calibri" w:hAnsi="Calibri"/>
          <w:color w:val="1E88E5"/>
          <w:sz w:val="20"/>
          <w:szCs w:val="20"/>
        </w:rPr>
        <w:t xml:space="preserve">loi du 24 juin 2016</w:t>
      </w:r>
      <w:r>
        <w:rPr>
          <w:rFonts w:ascii="Calibri" w:cs="Calibri" w:eastAsia="Calibri" w:hAnsi="Calibri"/>
          <w:color w:val="1A1A1A"/>
          <w:sz w:val="20"/>
          <w:szCs w:val="20"/>
        </w:rPr>
        <w:t xml:space="preserve">, la vulnérabilité économique est un </w:t>
      </w:r>
      <w:r>
        <w:rPr>
          <w:rFonts w:ascii="Calibri" w:cs="Calibri" w:eastAsia="Calibri" w:hAnsi="Calibri"/>
          <w:b/>
          <w:bCs/>
          <w:color w:val="1A1A1A"/>
          <w:sz w:val="20"/>
          <w:szCs w:val="20"/>
        </w:rPr>
        <w:t xml:space="preserve">critère de discrimination</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225-1 C. pén.</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Mendicité</w:t>
      </w:r>
    </w:p>
    <w:p>
      <w:pPr>
        <w:pStyle w:val="ListParagraph"/>
        <w:numPr>
          <w:ilvl w:val="0"/>
          <w:numId w:val="2"/>
        </w:numPr>
        <w:spacing w:after="70" w:line="264"/>
        <w:jc w:val="both"/>
      </w:pPr>
      <w:r>
        <w:rPr>
          <w:rFonts w:ascii="Calibri" w:cs="Calibri" w:eastAsia="Calibri" w:hAnsi="Calibri"/>
          <w:color w:val="1A1A1A"/>
          <w:sz w:val="20"/>
          <w:szCs w:val="20"/>
        </w:rPr>
        <w:t xml:space="preserve">— Elle n’est plus un délit depuis le nouveau Code pénal de 1994. Seules restent réprimées la demande de fonds sous contrainte (</w:t>
      </w:r>
      <w:r>
        <w:rPr>
          <w:rFonts w:ascii="Calibri" w:cs="Calibri" w:eastAsia="Calibri" w:hAnsi="Calibri"/>
          <w:color w:val="1E88E5"/>
          <w:sz w:val="20"/>
          <w:szCs w:val="20"/>
        </w:rPr>
        <w:t xml:space="preserve">art. 312-12-1 C. pén.</w:t>
      </w:r>
      <w:r>
        <w:rPr>
          <w:rFonts w:ascii="Calibri" w:cs="Calibri" w:eastAsia="Calibri" w:hAnsi="Calibri"/>
          <w:color w:val="1A1A1A"/>
          <w:sz w:val="20"/>
          <w:szCs w:val="20"/>
        </w:rPr>
        <w:t xml:space="preserve">) et l’exploitation de la mendicité (</w:t>
      </w:r>
      <w:r>
        <w:rPr>
          <w:rFonts w:ascii="Calibri" w:cs="Calibri" w:eastAsia="Calibri" w:hAnsi="Calibri"/>
          <w:color w:val="1E88E5"/>
          <w:sz w:val="20"/>
          <w:szCs w:val="20"/>
        </w:rPr>
        <w:t xml:space="preserve">art. 225-12-5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L’amende pénale puis la détention de cinq jours infligées à une femme rom sans ressources pour avoir mendié violent l’</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 une interdiction générale de mendier est disproportionnée (</w:t>
      </w:r>
      <w:r>
        <w:rPr>
          <w:rFonts w:ascii="Calibri" w:cs="Calibri" w:eastAsia="Calibri" w:hAnsi="Calibri"/>
          <w:color w:val="E91E63"/>
          <w:sz w:val="20"/>
          <w:szCs w:val="20"/>
        </w:rPr>
        <w:t xml:space="preserve">Lacatus c. Suisse</w:t>
      </w:r>
      <w:r>
        <w:rPr>
          <w:rFonts w:ascii="Calibri" w:cs="Calibri" w:eastAsia="Calibri" w:hAnsi="Calibri"/>
          <w:color w:val="1A1A1A"/>
          <w:sz w:val="20"/>
          <w:szCs w:val="20"/>
        </w:rPr>
        <w:t xml:space="preserve">, 19 janvier 2021).</w:t>
      </w:r>
    </w:p>
    <w:p>
      <w:pPr>
        <w:pStyle w:val="ListParagraph"/>
        <w:numPr>
          <w:ilvl w:val="0"/>
          <w:numId w:val="2"/>
        </w:numPr>
        <w:spacing w:after="70" w:line="264"/>
        <w:jc w:val="both"/>
      </w:pPr>
      <w:r>
        <w:rPr>
          <w:rFonts w:ascii="Calibri" w:cs="Calibri" w:eastAsia="Calibri" w:hAnsi="Calibri"/>
          <w:color w:val="1A1A1A"/>
          <w:sz w:val="20"/>
          <w:szCs w:val="20"/>
        </w:rPr>
        <w:t xml:space="preserve">— En droit interne, les arrêtés anti-mendicité trop généraux ou absolus sont annulés (</w:t>
      </w:r>
      <w:r>
        <w:rPr>
          <w:rFonts w:ascii="Calibri" w:cs="Calibri" w:eastAsia="Calibri" w:hAnsi="Calibri"/>
          <w:color w:val="E91E63"/>
          <w:sz w:val="20"/>
          <w:szCs w:val="20"/>
        </w:rPr>
        <w:t xml:space="preserve">TA Amiens, réf., 16 mai 2024, LDH</w:t>
      </w:r>
      <w:r>
        <w:rPr>
          <w:rFonts w:ascii="Calibri" w:cs="Calibri" w:eastAsia="Calibri" w:hAnsi="Calibri"/>
          <w:color w:val="1A1A1A"/>
          <w:sz w:val="20"/>
          <w:szCs w:val="20"/>
        </w:rPr>
        <w:t xml:space="preserve">). En revanche, l’interdiction de fouiller les poubelles a été jugée proportionnée (</w:t>
      </w:r>
      <w:r>
        <w:rPr>
          <w:rFonts w:ascii="Calibri" w:cs="Calibri" w:eastAsia="Calibri" w:hAnsi="Calibri"/>
          <w:color w:val="E91E63"/>
          <w:sz w:val="20"/>
          <w:szCs w:val="20"/>
        </w:rPr>
        <w:t xml:space="preserve">CE, 15 novembre 2017, n° 403275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Travail</w:t>
      </w:r>
      <w:r>
        <w:rPr>
          <w:rFonts w:ascii="Calibri" w:cs="Calibri" w:eastAsia="Calibri" w:hAnsi="Calibri"/>
          <w:color w:val="1A1A1A"/>
          <w:sz w:val="20"/>
          <w:szCs w:val="20"/>
        </w:rPr>
        <w:t xml:space="preserve"> : exploitation de travailleurs migrants vulnérables (</w:t>
      </w:r>
      <w:r>
        <w:rPr>
          <w:rFonts w:ascii="Calibri" w:cs="Calibri" w:eastAsia="Calibri" w:hAnsi="Calibri"/>
          <w:color w:val="E91E63"/>
          <w:sz w:val="20"/>
          <w:szCs w:val="20"/>
        </w:rPr>
        <w:t xml:space="preserve">Chowdury et autres c. Grèce</w:t>
      </w:r>
      <w:r>
        <w:rPr>
          <w:rFonts w:ascii="Calibri" w:cs="Calibri" w:eastAsia="Calibri" w:hAnsi="Calibri"/>
          <w:color w:val="1A1A1A"/>
          <w:sz w:val="20"/>
          <w:szCs w:val="20"/>
        </w:rPr>
        <w:t xml:space="preserve">, 30 mars 2017 ; fiche 29).</w:t>
      </w:r>
    </w:p>
    <w:p>
      <w:pPr>
        <w:pStyle w:val="Heading2"/>
        <w:spacing w:after="120" w:before="280"/>
      </w:pPr>
      <w:r>
        <w:rPr>
          <w:rFonts w:ascii="Calibri" w:cs="Calibri" w:eastAsia="Calibri" w:hAnsi="Calibri"/>
          <w:b/>
          <w:bCs/>
          <w:color w:val="1A1A1A"/>
          <w:sz w:val="24"/>
          <w:szCs w:val="24"/>
        </w:rPr>
        <w:t xml:space="preserve">4. Débats doctrinaux et critiques</w:t>
      </w:r>
    </w:p>
    <w:p>
      <w:pPr>
        <w:pStyle w:val="ListParagraph"/>
        <w:numPr>
          <w:ilvl w:val="0"/>
          <w:numId w:val="2"/>
        </w:numPr>
        <w:spacing w:after="70" w:line="264"/>
        <w:jc w:val="both"/>
      </w:pPr>
      <w:r>
        <w:rPr>
          <w:rFonts w:ascii="Calibri" w:cs="Calibri" w:eastAsia="Calibri" w:hAnsi="Calibri"/>
          <w:b/>
          <w:bCs/>
          <w:color w:val="1A1A1A"/>
          <w:sz w:val="20"/>
          <w:szCs w:val="20"/>
        </w:rPr>
        <w:t xml:space="preserve">Une notion ambivalente</w:t>
      </w:r>
      <w:r>
        <w:rPr>
          <w:rFonts w:ascii="Calibri" w:cs="Calibri" w:eastAsia="Calibri" w:hAnsi="Calibri"/>
          <w:color w:val="1A1A1A"/>
          <w:sz w:val="20"/>
          <w:szCs w:val="20"/>
        </w:rPr>
        <w:t xml:space="preserve"> : la vulnérabilité qui fonde des protections peut aussi fonder des tutelles. Le risque est triple : stigmatisation, paternalisme, essentialisation des groupes. C’est pourquoi la loi de 2005 et la CRPD préfèrent le vocabulaire de l’accessibilité et de l’autonomie.</w:t>
      </w:r>
    </w:p>
    <w:p>
      <w:pPr>
        <w:pStyle w:val="ListParagraph"/>
        <w:numPr>
          <w:ilvl w:val="0"/>
          <w:numId w:val="2"/>
        </w:numPr>
        <w:spacing w:after="70" w:line="264"/>
        <w:jc w:val="both"/>
      </w:pPr>
      <w:r>
        <w:rPr>
          <w:rFonts w:ascii="Calibri" w:cs="Calibri" w:eastAsia="Calibri" w:hAnsi="Calibri"/>
          <w:b/>
          <w:bCs/>
          <w:color w:val="1A1A1A"/>
          <w:sz w:val="20"/>
          <w:szCs w:val="20"/>
        </w:rPr>
        <w:t xml:space="preserve">Universelle ou catégorielle ?</w:t>
      </w:r>
    </w:p>
    <w:p>
      <w:pPr>
        <w:pStyle w:val="ListParagraph"/>
        <w:numPr>
          <w:ilvl w:val="0"/>
          <w:numId w:val="2"/>
        </w:numPr>
        <w:spacing w:after="70" w:line="264"/>
        <w:jc w:val="both"/>
      </w:pPr>
      <w:r>
        <w:rPr>
          <w:rFonts w:ascii="Calibri" w:cs="Calibri" w:eastAsia="Calibri" w:hAnsi="Calibri"/>
          <w:color w:val="1A1A1A"/>
          <w:sz w:val="20"/>
          <w:szCs w:val="20"/>
        </w:rPr>
        <w:t xml:space="preserve">— Approche universelle (</w:t>
      </w:r>
      <w:r>
        <w:rPr>
          <w:rFonts w:ascii="Calibri" w:cs="Calibri" w:eastAsia="Calibri" w:hAnsi="Calibri"/>
          <w:color w:val="2E7D32"/>
          <w:sz w:val="20"/>
          <w:szCs w:val="20"/>
        </w:rPr>
        <w:t xml:space="preserve">Fineman</w:t>
      </w:r>
      <w:r>
        <w:rPr>
          <w:rFonts w:ascii="Calibri" w:cs="Calibri" w:eastAsia="Calibri" w:hAnsi="Calibri"/>
          <w:color w:val="1A1A1A"/>
          <w:sz w:val="20"/>
          <w:szCs w:val="20"/>
        </w:rPr>
        <w:t xml:space="preserve">) : tout le monde est vulnérable, donc l’État doit des institutions résilientes.</w:t>
      </w:r>
    </w:p>
    <w:p>
      <w:pPr>
        <w:pStyle w:val="ListParagraph"/>
        <w:numPr>
          <w:ilvl w:val="0"/>
          <w:numId w:val="2"/>
        </w:numPr>
        <w:spacing w:after="70" w:line="264"/>
        <w:jc w:val="both"/>
      </w:pPr>
      <w:r>
        <w:rPr>
          <w:rFonts w:ascii="Calibri" w:cs="Calibri" w:eastAsia="Calibri" w:hAnsi="Calibri"/>
          <w:color w:val="1A1A1A"/>
          <w:sz w:val="20"/>
          <w:szCs w:val="20"/>
        </w:rPr>
        <w:t xml:space="preserve">— Approche catégorielle (la Cour européenne) : liste de groupes, avec un risque d’inflation et de concurrence des vulnérabilités (</w:t>
      </w:r>
      <w:r>
        <w:rPr>
          <w:rFonts w:ascii="Calibri" w:cs="Calibri" w:eastAsia="Calibri" w:hAnsi="Calibri"/>
          <w:color w:val="2E7D32"/>
          <w:sz w:val="20"/>
          <w:szCs w:val="20"/>
        </w:rPr>
        <w:t xml:space="preserve">Peroni et Timmer</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Vulnérabilité et fin de vie</w:t>
      </w:r>
      <w:r>
        <w:rPr>
          <w:rFonts w:ascii="Calibri" w:cs="Calibri" w:eastAsia="Calibri" w:hAnsi="Calibri"/>
          <w:color w:val="1A1A1A"/>
          <w:sz w:val="20"/>
          <w:szCs w:val="20"/>
        </w:rPr>
        <w:t xml:space="preserve"> : la loi de 2026 sur l’aide à mourir déplace la protection des personnes vulnérables vers des </w:t>
      </w:r>
      <w:r>
        <w:rPr>
          <w:rFonts w:ascii="Calibri" w:cs="Calibri" w:eastAsia="Calibri" w:hAnsi="Calibri"/>
          <w:b/>
          <w:bCs/>
          <w:color w:val="1A1A1A"/>
          <w:sz w:val="20"/>
          <w:szCs w:val="20"/>
        </w:rPr>
        <w:t xml:space="preserve">garanties procédurales</w:t>
      </w:r>
      <w:r>
        <w:rPr>
          <w:rFonts w:ascii="Calibri" w:cs="Calibri" w:eastAsia="Calibri" w:hAnsi="Calibri"/>
          <w:color w:val="1A1A1A"/>
          <w:sz w:val="20"/>
          <w:szCs w:val="20"/>
        </w:rPr>
        <w:t xml:space="preserve">. Ses critiques dénoncent l’asymétrie avec un droit aux soins palliatifs non rendu opposable.</w:t>
      </w:r>
    </w:p>
    <w:p>
      <w:pPr>
        <w:pStyle w:val="ListParagraph"/>
        <w:numPr>
          <w:ilvl w:val="0"/>
          <w:numId w:val="2"/>
        </w:numPr>
        <w:spacing w:after="70" w:line="264"/>
        <w:jc w:val="both"/>
      </w:pPr>
      <w:r>
        <w:rPr>
          <w:rFonts w:ascii="Calibri" w:cs="Calibri" w:eastAsia="Calibri" w:hAnsi="Calibri"/>
          <w:b/>
          <w:bCs/>
          <w:color w:val="1A1A1A"/>
          <w:sz w:val="20"/>
          <w:szCs w:val="20"/>
        </w:rPr>
        <w:t xml:space="preserve">Extensions</w:t>
      </w:r>
      <w:r>
        <w:rPr>
          <w:rFonts w:ascii="Calibri" w:cs="Calibri" w:eastAsia="Calibri" w:hAnsi="Calibri"/>
          <w:color w:val="1A1A1A"/>
          <w:sz w:val="20"/>
          <w:szCs w:val="20"/>
        </w:rPr>
        <w:t xml:space="preserve"> : la notion gagne les écosystèmes (« zones vulnérables » à la pollution par les nitrates, </w:t>
      </w:r>
      <w:r>
        <w:rPr>
          <w:rFonts w:ascii="Calibri" w:cs="Calibri" w:eastAsia="Calibri" w:hAnsi="Calibri"/>
          <w:color w:val="1E88E5"/>
          <w:sz w:val="20"/>
          <w:szCs w:val="20"/>
        </w:rPr>
        <w:t xml:space="preserve">art. R. 211-77 C. env.</w:t>
      </w:r>
      <w:r>
        <w:rPr>
          <w:rFonts w:ascii="Calibri" w:cs="Calibri" w:eastAsia="Calibri" w:hAnsi="Calibri"/>
          <w:color w:val="1A1A1A"/>
          <w:sz w:val="20"/>
          <w:szCs w:val="20"/>
        </w:rPr>
        <w:t xml:space="preserve">) et le contentieux climatique, où sont invoquées la vulnérabilité des femmes âgées et celle des générations futures.</w:t>
      </w:r>
    </w:p>
    <w:p>
      <w:pPr>
        <w:pStyle w:val="Heading2"/>
        <w:spacing w:after="120" w:before="280"/>
      </w:pPr>
      <w:r>
        <w:rPr>
          <w:rFonts w:ascii="Calibri" w:cs="Calibri" w:eastAsia="Calibri" w:hAnsi="Calibri"/>
          <w:b/>
          <w:bCs/>
          <w:color w:val="1A1A1A"/>
          <w:sz w:val="24"/>
          <w:szCs w:val="24"/>
        </w:rPr>
        <w:t xml:space="preserve">5. Dispositif « Grand Oral »</w:t>
      </w:r>
    </w:p>
    <w:p>
      <w:pPr>
        <w:pStyle w:val="Heading3"/>
        <w:spacing w:after="90" w:before="200"/>
      </w:pPr>
      <w:r>
        <w:rPr>
          <w:rFonts w:ascii="Calibri" w:cs="Calibri" w:eastAsia="Calibri" w:hAnsi="Calibri"/>
          <w:b/>
          <w:bCs/>
          <w:i/>
          <w:iCs/>
          <w:color w:val="5A5A5A"/>
          <w:sz w:val="21"/>
          <w:szCs w:val="21"/>
        </w:rPr>
        <w:t xml:space="preserve">5.1.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Existe-t-il un droit à la mendicité ? »</w:t>
      </w:r>
      <w:r>
        <w:rPr>
          <w:rFonts w:ascii="Calibri" w:cs="Calibri" w:eastAsia="Calibri" w:hAnsi="Calibri"/>
          <w:color w:val="1A1A1A"/>
          <w:sz w:val="20"/>
          <w:szCs w:val="20"/>
        </w:rPr>
        <w:t xml:space="preserve"> — Pas en tant que tel. Mais l’interdiction générale de mendier, qui prive une personne vulnérable de son moyen de survie, viole l’</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Lacatus</w:t>
      </w:r>
      <w:r>
        <w:rPr>
          <w:rFonts w:ascii="Calibri" w:cs="Calibri" w:eastAsia="Calibri" w:hAnsi="Calibri"/>
          <w:color w:val="1A1A1A"/>
          <w:sz w:val="20"/>
          <w:szCs w:val="20"/>
        </w:rPr>
        <w:t xml:space="preserve">). Les restrictions doivent rester localisées, temporaires et justifiées par l’ordre public (sujet « Pour s’entraîner » du fascicule).</w:t>
      </w:r>
    </w:p>
    <w:p>
      <w:pPr>
        <w:pStyle w:val="ListParagraph"/>
        <w:numPr>
          <w:ilvl w:val="0"/>
          <w:numId w:val="2"/>
        </w:numPr>
        <w:spacing w:after="70" w:line="264"/>
        <w:jc w:val="both"/>
      </w:pPr>
      <w:r>
        <w:rPr>
          <w:rFonts w:ascii="Calibri" w:cs="Calibri" w:eastAsia="Calibri" w:hAnsi="Calibri"/>
          <w:b/>
          <w:bCs/>
          <w:color w:val="1A1A1A"/>
          <w:sz w:val="20"/>
          <w:szCs w:val="20"/>
        </w:rPr>
        <w:t xml:space="preserve">« Protéger, est-ce restreindre ? »</w:t>
      </w:r>
      <w:r>
        <w:rPr>
          <w:rFonts w:ascii="Calibri" w:cs="Calibri" w:eastAsia="Calibri" w:hAnsi="Calibri"/>
          <w:color w:val="1A1A1A"/>
          <w:sz w:val="20"/>
          <w:szCs w:val="20"/>
        </w:rPr>
        <w:t xml:space="preserve"> — Souvent. D’où l’exigence de proportionnalité : mesures de protection graduées et subsidiaires (</w:t>
      </w:r>
      <w:r>
        <w:rPr>
          <w:rFonts w:ascii="Calibri" w:cs="Calibri" w:eastAsia="Calibri" w:hAnsi="Calibri"/>
          <w:color w:val="1E88E5"/>
          <w:sz w:val="20"/>
          <w:szCs w:val="20"/>
        </w:rPr>
        <w:t xml:space="preserve">art. 428 C. civ.</w:t>
      </w:r>
      <w:r>
        <w:rPr>
          <w:rFonts w:ascii="Calibri" w:cs="Calibri" w:eastAsia="Calibri" w:hAnsi="Calibri"/>
          <w:color w:val="1A1A1A"/>
          <w:sz w:val="20"/>
          <w:szCs w:val="20"/>
        </w:rPr>
        <w:t xml:space="preserve">), censure des interdictions absolues (</w:t>
      </w:r>
      <w:r>
        <w:rPr>
          <w:rFonts w:ascii="Calibri" w:cs="Calibri" w:eastAsia="Calibri" w:hAnsi="Calibri"/>
          <w:color w:val="E91E63"/>
          <w:sz w:val="20"/>
          <w:szCs w:val="20"/>
        </w:rPr>
        <w:t xml:space="preserve">2020-888 QPC</w:t>
      </w:r>
      <w:r>
        <w:rPr>
          <w:rFonts w:ascii="Calibri" w:cs="Calibri" w:eastAsia="Calibri" w:hAnsi="Calibri"/>
          <w:color w:val="1A1A1A"/>
          <w:sz w:val="20"/>
          <w:szCs w:val="20"/>
        </w:rPr>
        <w:t xml:space="preserve">), droit de vote des majeurs en tutelle (2019).</w:t>
      </w:r>
    </w:p>
    <w:p>
      <w:pPr>
        <w:pStyle w:val="ListParagraph"/>
        <w:numPr>
          <w:ilvl w:val="0"/>
          <w:numId w:val="2"/>
        </w:numPr>
        <w:spacing w:after="70" w:line="264"/>
        <w:jc w:val="both"/>
      </w:pPr>
      <w:r>
        <w:rPr>
          <w:rFonts w:ascii="Calibri" w:cs="Calibri" w:eastAsia="Calibri" w:hAnsi="Calibri"/>
          <w:b/>
          <w:bCs/>
          <w:color w:val="1A1A1A"/>
          <w:sz w:val="20"/>
          <w:szCs w:val="20"/>
        </w:rPr>
        <w:t xml:space="preserve">« Un étranger en situation irrégulière est-il vulnérable ? »</w:t>
      </w:r>
      <w:r>
        <w:rPr>
          <w:rFonts w:ascii="Calibri" w:cs="Calibri" w:eastAsia="Calibri" w:hAnsi="Calibri"/>
          <w:color w:val="1A1A1A"/>
          <w:sz w:val="20"/>
          <w:szCs w:val="20"/>
        </w:rPr>
        <w:t xml:space="preserve"> — Pas par principe. La vulnérabilité s’apprécie in concreto (minorité, maladie, grossesse, persécutions subies). Depuis juin 2026, son évaluation doit être individuelle et évolutive (</w:t>
      </w:r>
      <w:r>
        <w:rPr>
          <w:rFonts w:ascii="Calibri" w:cs="Calibri" w:eastAsia="Calibri" w:hAnsi="Calibri"/>
          <w:color w:val="1E88E5"/>
          <w:sz w:val="20"/>
          <w:szCs w:val="20"/>
        </w:rPr>
        <w:t xml:space="preserve">directive 2024/1346</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5.2.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La vulnérabilité — Les personnes vulnérables et la Convention européenne — Les majeurs protégés — L’enfant, sujet de droits — Droits des personnes handicapées — Les Roms et le droit européen — La pauvreté, atteinte aux droits de l’homme ? — Argumentation : « Soutenez qu’il existe un droit à la mendicité » (sujet « Pour s’entraîner » du fascicule).</w:t>
      </w:r>
    </w:p>
    <w:p>
      <w:pPr>
        <w:pStyle w:val="Heading3"/>
        <w:spacing w:after="90" w:before="200"/>
      </w:pPr>
      <w:r>
        <w:rPr>
          <w:rFonts w:ascii="Calibri" w:cs="Calibri" w:eastAsia="Calibri" w:hAnsi="Calibri"/>
          <w:b/>
          <w:bCs/>
          <w:i/>
          <w:iCs/>
          <w:color w:val="5A5A5A"/>
          <w:sz w:val="21"/>
          <w:szCs w:val="21"/>
        </w:rPr>
        <w:t xml:space="preserve">5.3.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Quel est le premier arrêt de la Cour constatant une violation du Protocole n° 12 ?</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Sejdić et Finci c. Bosnie-Herzégovine</w:t>
      </w:r>
      <w:r>
        <w:rPr>
          <w:rFonts w:ascii="Calibri" w:cs="Calibri" w:eastAsia="Calibri" w:hAnsi="Calibri"/>
          <w:color w:val="1A1A1A"/>
          <w:sz w:val="20"/>
          <w:szCs w:val="20"/>
        </w:rPr>
        <w:t xml:space="preserve"> (GC, 22 décembre 2009).</w:t>
      </w:r>
    </w:p>
    <w:p>
      <w:pPr>
        <w:pStyle w:val="ListParagraph"/>
        <w:numPr>
          <w:ilvl w:val="0"/>
          <w:numId w:val="2"/>
        </w:numPr>
        <w:spacing w:after="70" w:line="264"/>
        <w:jc w:val="both"/>
      </w:pPr>
      <w:r>
        <w:rPr>
          <w:rFonts w:ascii="Calibri" w:cs="Calibri" w:eastAsia="Calibri" w:hAnsi="Calibri"/>
          <w:b/>
          <w:bCs/>
          <w:color w:val="1A1A1A"/>
          <w:sz w:val="20"/>
          <w:szCs w:val="20"/>
        </w:rPr>
        <w:t xml:space="preserve">Q. Quel âge fonde la présomption de non-discernement en droit pénal des mineurs ?</w:t>
      </w:r>
      <w:r>
        <w:rPr>
          <w:rFonts w:ascii="Calibri" w:cs="Calibri" w:eastAsia="Calibri" w:hAnsi="Calibri"/>
          <w:color w:val="1A1A1A"/>
          <w:sz w:val="20"/>
          <w:szCs w:val="20"/>
        </w:rPr>
        <w:t xml:space="preserve"> — Treize ans (</w:t>
      </w:r>
      <w:r>
        <w:rPr>
          <w:rFonts w:ascii="Calibri" w:cs="Calibri" w:eastAsia="Calibri" w:hAnsi="Calibri"/>
          <w:color w:val="1E88E5"/>
          <w:sz w:val="20"/>
          <w:szCs w:val="20"/>
        </w:rPr>
        <w:t xml:space="preserve">art. L. 11-1 CJPM</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Qu’a changé la loi du 23 mars 2019 pour les majeurs en tutelle ?</w:t>
      </w:r>
      <w:r>
        <w:rPr>
          <w:rFonts w:ascii="Calibri" w:cs="Calibri" w:eastAsia="Calibri" w:hAnsi="Calibri"/>
          <w:color w:val="1A1A1A"/>
          <w:sz w:val="20"/>
          <w:szCs w:val="20"/>
        </w:rPr>
        <w:t xml:space="preserve"> — Ils votent tous, et se marient ou concluent un PACS sans autorisation préalable du juge.</w:t>
      </w:r>
    </w:p>
    <w:p>
      <w:pPr>
        <w:pStyle w:val="ListParagraph"/>
        <w:numPr>
          <w:ilvl w:val="0"/>
          <w:numId w:val="2"/>
        </w:numPr>
        <w:spacing w:after="70" w:line="264"/>
        <w:jc w:val="both"/>
      </w:pPr>
      <w:r>
        <w:rPr>
          <w:rFonts w:ascii="Calibri" w:cs="Calibri" w:eastAsia="Calibri" w:hAnsi="Calibri"/>
          <w:b/>
          <w:bCs/>
          <w:color w:val="1A1A1A"/>
          <w:sz w:val="20"/>
          <w:szCs w:val="20"/>
        </w:rPr>
        <w:t xml:space="preserve">Q. Qu’est-ce que la discrimination pour précarité sociale ?</w:t>
      </w:r>
      <w:r>
        <w:rPr>
          <w:rFonts w:ascii="Calibri" w:cs="Calibri" w:eastAsia="Calibri" w:hAnsi="Calibri"/>
          <w:color w:val="1A1A1A"/>
          <w:sz w:val="20"/>
          <w:szCs w:val="20"/>
        </w:rPr>
        <w:t xml:space="preserve"> — Le critère de la « particulière vulnérabilité résultant de sa situation économique », ajouté en 2016 à l’</w:t>
      </w:r>
      <w:r>
        <w:rPr>
          <w:rFonts w:ascii="Calibri" w:cs="Calibri" w:eastAsia="Calibri" w:hAnsi="Calibri"/>
          <w:color w:val="1E88E5"/>
          <w:sz w:val="20"/>
          <w:szCs w:val="20"/>
        </w:rPr>
        <w:t xml:space="preserve">art. 225-1 C. pén.</w:t>
      </w:r>
      <w:r>
        <w:rPr>
          <w:rFonts w:ascii="Calibri" w:cs="Calibri" w:eastAsia="Calibri" w:hAnsi="Calibri"/>
          <w:color w:val="1A1A1A"/>
          <w:sz w:val="20"/>
          <w:szCs w:val="20"/>
        </w:rPr>
        <w:t xml:space="preserve"> et à la loi de 2008.</w:t>
      </w:r>
    </w:p>
    <w:p>
      <w:pPr>
        <w:pStyle w:val="ListParagraph"/>
        <w:numPr>
          <w:ilvl w:val="0"/>
          <w:numId w:val="2"/>
        </w:numPr>
        <w:spacing w:after="70" w:line="264"/>
        <w:jc w:val="both"/>
      </w:pPr>
      <w:r>
        <w:rPr>
          <w:rFonts w:ascii="Calibri" w:cs="Calibri" w:eastAsia="Calibri" w:hAnsi="Calibri"/>
          <w:b/>
          <w:bCs/>
          <w:color w:val="1A1A1A"/>
          <w:sz w:val="20"/>
          <w:szCs w:val="20"/>
        </w:rPr>
        <w:t xml:space="preserve">Q. Quel comité de l’ONU a précisé le droit à l’alimentation ?</w:t>
      </w:r>
      <w:r>
        <w:rPr>
          <w:rFonts w:ascii="Calibri" w:cs="Calibri" w:eastAsia="Calibri" w:hAnsi="Calibri"/>
          <w:color w:val="1A1A1A"/>
          <w:sz w:val="20"/>
          <w:szCs w:val="20"/>
        </w:rPr>
        <w:t xml:space="preserve"> — Le Comité des droits économiques, sociaux et culturels, dans l’</w:t>
      </w:r>
      <w:r>
        <w:rPr>
          <w:rFonts w:ascii="Calibri" w:cs="Calibri" w:eastAsia="Calibri" w:hAnsi="Calibri"/>
          <w:color w:val="1E88E5"/>
          <w:sz w:val="20"/>
          <w:szCs w:val="20"/>
        </w:rPr>
        <w:t xml:space="preserve">Observation générale n° 12</w:t>
      </w:r>
      <w:r>
        <w:rPr>
          <w:rFonts w:ascii="Calibri" w:cs="Calibri" w:eastAsia="Calibri" w:hAnsi="Calibri"/>
          <w:color w:val="1A1A1A"/>
          <w:sz w:val="20"/>
          <w:szCs w:val="20"/>
        </w:rPr>
        <w:t xml:space="preserve"> (1999, E/C.12/1999/5), et non l’Observation générale n° 19, consacrée à la sécurité sociale.</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56 — LES MESURES D’INÉGALITÉ COMPENSATOIRE</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A1A1A"/>
          <w:sz w:val="20"/>
          <w:szCs w:val="20"/>
        </w:rPr>
        <w:t xml:space="preserve">« Les hommes naissent et demeurent libres et égaux en droits. Les distinctions sociales ne peuvent être fondées que sur l’utilité commune » (</w:t>
      </w:r>
      <w:r>
        <w:rPr>
          <w:rFonts w:ascii="Calibri" w:cs="Calibri" w:eastAsia="Calibri" w:hAnsi="Calibri"/>
          <w:color w:val="1E88E5"/>
          <w:sz w:val="20"/>
          <w:szCs w:val="20"/>
        </w:rPr>
        <w:t xml:space="preserve">art. 1er DDHC</w:t>
      </w:r>
      <w:r>
        <w:rPr>
          <w:rFonts w:ascii="Calibri" w:cs="Calibri" w:eastAsia="Calibri" w:hAnsi="Calibri"/>
          <w:color w:val="1A1A1A"/>
          <w:sz w:val="20"/>
          <w:szCs w:val="20"/>
        </w:rPr>
        <w:t xml:space="preserve">). La seconde phrase est la grande oubliée : elle contient en germe la possibilité de </w:t>
      </w:r>
      <w:r>
        <w:rPr>
          <w:rFonts w:ascii="Calibri" w:cs="Calibri" w:eastAsia="Calibri" w:hAnsi="Calibri"/>
          <w:b/>
          <w:bCs/>
          <w:color w:val="1A1A1A"/>
          <w:sz w:val="20"/>
          <w:szCs w:val="20"/>
        </w:rPr>
        <w:t xml:space="preserve">rompre l’égalité formelle pour servir l’égalité réelle</w:t>
      </w:r>
      <w:r>
        <w:rPr>
          <w:rFonts w:ascii="Calibri" w:cs="Calibri" w:eastAsia="Calibri" w:hAnsi="Calibri"/>
          <w:color w:val="1A1A1A"/>
          <w:sz w:val="20"/>
          <w:szCs w:val="20"/>
        </w:rPr>
        <w:t xml:space="preserve">. C’est le sujet « Pour s’entraîner » du fascicule.</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le 29 juin 2023, la Cour suprême des États-Unis met fin à la prise en compte de la race dans les admissions universitaires (</w:t>
      </w:r>
      <w:r>
        <w:rPr>
          <w:rFonts w:ascii="Calibri" w:cs="Calibri" w:eastAsia="Calibri" w:hAnsi="Calibri"/>
          <w:color w:val="E91E63"/>
          <w:sz w:val="20"/>
          <w:szCs w:val="20"/>
        </w:rPr>
        <w:t xml:space="preserve">Students for Fair Admissions v. Harvard</w:t>
      </w:r>
      <w:r>
        <w:rPr>
          <w:rFonts w:ascii="Calibri" w:cs="Calibri" w:eastAsia="Calibri" w:hAnsi="Calibri"/>
          <w:color w:val="1A1A1A"/>
          <w:sz w:val="20"/>
          <w:szCs w:val="20"/>
        </w:rPr>
        <w:t xml:space="preserve">), quarante-cinq ans après </w:t>
      </w:r>
      <w:r>
        <w:rPr>
          <w:rFonts w:ascii="Calibri" w:cs="Calibri" w:eastAsia="Calibri" w:hAnsi="Calibri"/>
          <w:color w:val="E91E63"/>
          <w:sz w:val="20"/>
          <w:szCs w:val="20"/>
        </w:rPr>
        <w:t xml:space="preserve">Regents of the University of California v. Bakke</w:t>
      </w:r>
      <w:r>
        <w:rPr>
          <w:rFonts w:ascii="Calibri" w:cs="Calibri" w:eastAsia="Calibri" w:hAnsi="Calibri"/>
          <w:color w:val="1A1A1A"/>
          <w:sz w:val="20"/>
          <w:szCs w:val="20"/>
        </w:rPr>
        <w:t xml:space="preserve"> (1978). Au même moment, l’Europe étend les </w:t>
      </w:r>
      <w:r>
        <w:rPr>
          <w:rFonts w:ascii="Calibri" w:cs="Calibri" w:eastAsia="Calibri" w:hAnsi="Calibri"/>
          <w:b/>
          <w:bCs/>
          <w:color w:val="1A1A1A"/>
          <w:sz w:val="20"/>
          <w:szCs w:val="20"/>
        </w:rPr>
        <w:t xml:space="preserve">quotas de sexe</w:t>
      </w:r>
      <w:r>
        <w:rPr>
          <w:rFonts w:ascii="Calibri" w:cs="Calibri" w:eastAsia="Calibri" w:hAnsi="Calibri"/>
          <w:color w:val="1A1A1A"/>
          <w:sz w:val="20"/>
          <w:szCs w:val="20"/>
        </w:rPr>
        <w:t xml:space="preserve"> aux conseils d’administration et aux instances dirigeantes : l’affirmative action recule dans son pays natal et progresse là où elle était taboue.</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color w:val="1A1A1A"/>
          <w:sz w:val="20"/>
          <w:szCs w:val="20"/>
        </w:rPr>
        <w:t xml:space="preserve">Les mesures d’inégalité compensatoire (discriminations positives, actions positives) sont des </w:t>
      </w:r>
      <w:r>
        <w:rPr>
          <w:rFonts w:ascii="Calibri" w:cs="Calibri" w:eastAsia="Calibri" w:hAnsi="Calibri"/>
          <w:b/>
          <w:bCs/>
          <w:color w:val="1A1A1A"/>
          <w:sz w:val="20"/>
          <w:szCs w:val="20"/>
        </w:rPr>
        <w:t xml:space="preserve">différenciations juridiques de traitement</w:t>
      </w:r>
      <w:r>
        <w:rPr>
          <w:rFonts w:ascii="Calibri" w:cs="Calibri" w:eastAsia="Calibri" w:hAnsi="Calibri"/>
          <w:color w:val="1A1A1A"/>
          <w:sz w:val="20"/>
          <w:szCs w:val="20"/>
        </w:rPr>
        <w:t xml:space="preserve">, en principe </w:t>
      </w:r>
      <w:r>
        <w:rPr>
          <w:rFonts w:ascii="Calibri" w:cs="Calibri" w:eastAsia="Calibri" w:hAnsi="Calibri"/>
          <w:b/>
          <w:bCs/>
          <w:color w:val="1A1A1A"/>
          <w:sz w:val="20"/>
          <w:szCs w:val="20"/>
        </w:rPr>
        <w:t xml:space="preserve">temporaires</w:t>
      </w:r>
      <w:r>
        <w:rPr>
          <w:rFonts w:ascii="Calibri" w:cs="Calibri" w:eastAsia="Calibri" w:hAnsi="Calibri"/>
          <w:color w:val="1A1A1A"/>
          <w:sz w:val="20"/>
          <w:szCs w:val="20"/>
        </w:rPr>
        <w:t xml:space="preserve">, qui favorisent une catégorie déterminée de personnes afin de </w:t>
      </w:r>
      <w:r>
        <w:rPr>
          <w:rFonts w:ascii="Calibri" w:cs="Calibri" w:eastAsia="Calibri" w:hAnsi="Calibri"/>
          <w:b/>
          <w:bCs/>
          <w:color w:val="1A1A1A"/>
          <w:sz w:val="20"/>
          <w:szCs w:val="20"/>
        </w:rPr>
        <w:t xml:space="preserve">compenser une inégalité de fait</w:t>
      </w:r>
      <w:r>
        <w:rPr>
          <w:rFonts w:ascii="Calibri" w:cs="Calibri" w:eastAsia="Calibri" w:hAnsi="Calibri"/>
          <w:color w:val="1A1A1A"/>
          <w:sz w:val="20"/>
          <w:szCs w:val="20"/>
        </w:rPr>
        <w:t xml:space="preserve"> préexistante (</w:t>
      </w:r>
      <w:r>
        <w:rPr>
          <w:rFonts w:ascii="Calibri" w:cs="Calibri" w:eastAsia="Calibri" w:hAnsi="Calibri"/>
          <w:color w:val="2E7D32"/>
          <w:sz w:val="20"/>
          <w:szCs w:val="20"/>
        </w:rPr>
        <w:t xml:space="preserve">Gwénaële Calvès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On distingue les </w:t>
      </w:r>
      <w:r>
        <w:rPr>
          <w:rFonts w:ascii="Calibri" w:cs="Calibri" w:eastAsia="Calibri" w:hAnsi="Calibri"/>
          <w:b/>
          <w:bCs/>
          <w:color w:val="1A1A1A"/>
          <w:sz w:val="20"/>
          <w:szCs w:val="20"/>
        </w:rPr>
        <w:t xml:space="preserve">mesures préférentielles</w:t>
      </w:r>
      <w:r>
        <w:rPr>
          <w:rFonts w:ascii="Calibri" w:cs="Calibri" w:eastAsia="Calibri" w:hAnsi="Calibri"/>
          <w:color w:val="1A1A1A"/>
          <w:sz w:val="20"/>
          <w:szCs w:val="20"/>
        </w:rPr>
        <w:t xml:space="preserve">, liées à un état contingent comme la grossesse ou la maternité (« différentialisme compensatoire »), et les </w:t>
      </w:r>
      <w:r>
        <w:rPr>
          <w:rFonts w:ascii="Calibri" w:cs="Calibri" w:eastAsia="Calibri" w:hAnsi="Calibri"/>
          <w:b/>
          <w:bCs/>
          <w:color w:val="1A1A1A"/>
          <w:sz w:val="20"/>
          <w:szCs w:val="20"/>
        </w:rPr>
        <w:t xml:space="preserve">actions positives</w:t>
      </w:r>
      <w:r>
        <w:rPr>
          <w:rFonts w:ascii="Calibri" w:cs="Calibri" w:eastAsia="Calibri" w:hAnsi="Calibri"/>
          <w:color w:val="1A1A1A"/>
          <w:sz w:val="20"/>
          <w:szCs w:val="20"/>
        </w:rPr>
        <w:t xml:space="preserve">, qui visent un groupe défini par une caractéristique durable, comme le sexe, au moyen d’objectifs chiffrés ou de quotas (« différentialisme correcteur »). Elles recherchent l’égalité des chances ou l’égalité des résultats.</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1er al. 2 Constitution</w:t>
      </w:r>
      <w:r>
        <w:rPr>
          <w:rFonts w:ascii="Calibri" w:cs="Calibri" w:eastAsia="Calibri" w:hAnsi="Calibri"/>
          <w:color w:val="1A1A1A"/>
          <w:sz w:val="20"/>
          <w:szCs w:val="20"/>
        </w:rPr>
        <w:t xml:space="preserve"> : « la loi favorise l’égal accès des femmes et des hommes aux mandats électoraux et fonctions électives, ainsi qu’aux responsabilités professionnelles et sociales ». Il est issu des </w:t>
      </w:r>
      <w:r>
        <w:rPr>
          <w:rFonts w:ascii="Calibri" w:cs="Calibri" w:eastAsia="Calibri" w:hAnsi="Calibri"/>
          <w:color w:val="1E88E5"/>
          <w:sz w:val="20"/>
          <w:szCs w:val="20"/>
        </w:rPr>
        <w:t xml:space="preserve">lois constitutionnelles du 8 juillet 1999</w:t>
      </w:r>
      <w:r>
        <w:rPr>
          <w:rFonts w:ascii="Calibri" w:cs="Calibri" w:eastAsia="Calibri" w:hAnsi="Calibri"/>
          <w:color w:val="1A1A1A"/>
          <w:sz w:val="20"/>
          <w:szCs w:val="20"/>
        </w:rPr>
        <w:t xml:space="preserve"> et </w:t>
      </w:r>
      <w:r>
        <w:rPr>
          <w:rFonts w:ascii="Calibri" w:cs="Calibri" w:eastAsia="Calibri" w:hAnsi="Calibri"/>
          <w:color w:val="1E88E5"/>
          <w:sz w:val="20"/>
          <w:szCs w:val="20"/>
        </w:rPr>
        <w:t xml:space="preserve">du 23 juillet 2008</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23 CDFUE</w:t>
      </w:r>
      <w:r>
        <w:rPr>
          <w:rFonts w:ascii="Calibri" w:cs="Calibri" w:eastAsia="Calibri" w:hAnsi="Calibri"/>
          <w:color w:val="1A1A1A"/>
          <w:sz w:val="20"/>
          <w:szCs w:val="20"/>
        </w:rPr>
        <w:t xml:space="preserve"> : le principe d’égalité « n’empêche pas le maintien ou l’adoption de mesures prévoyant des avantages spécifiques en faveur du sexe sous-représenté ». Voir aussi l’</w:t>
      </w:r>
      <w:r>
        <w:rPr>
          <w:rFonts w:ascii="Calibri" w:cs="Calibri" w:eastAsia="Calibri" w:hAnsi="Calibri"/>
          <w:color w:val="1E88E5"/>
          <w:sz w:val="20"/>
          <w:szCs w:val="20"/>
        </w:rPr>
        <w:t xml:space="preserve">art. 157 § 4 TFUE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2001-450 DC, 11 juillet 2001</w:t>
      </w:r>
      <w:r>
        <w:rPr>
          <w:rFonts w:ascii="Calibri" w:cs="Calibri" w:eastAsia="Calibri" w:hAnsi="Calibri"/>
          <w:color w:val="1A1A1A"/>
          <w:sz w:val="20"/>
          <w:szCs w:val="20"/>
        </w:rPr>
        <w:t xml:space="preserve"> : validation des conventions entre Sciences Po et des lycées situés en zone d’éducation prioritaire. La discrimination positive est admise sur un </w:t>
      </w:r>
      <w:r>
        <w:rPr>
          <w:rFonts w:ascii="Calibri" w:cs="Calibri" w:eastAsia="Calibri" w:hAnsi="Calibri"/>
          <w:b/>
          <w:bCs/>
          <w:color w:val="1A1A1A"/>
          <w:sz w:val="20"/>
          <w:szCs w:val="20"/>
        </w:rPr>
        <w:t xml:space="preserve">critère social et territorial</w:t>
      </w:r>
      <w:r>
        <w:rPr>
          <w:rFonts w:ascii="Calibri" w:cs="Calibri" w:eastAsia="Calibri" w:hAnsi="Calibri"/>
          <w:color w:val="1A1A1A"/>
          <w:sz w:val="20"/>
          <w:szCs w:val="20"/>
        </w:rPr>
        <w:t xml:space="preserve">, avec une sélection restant fondée sur les capacités.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CJCE, 17 octobre 1995, Kalanke, C-450/93</w:t>
      </w:r>
      <w:r>
        <w:rPr>
          <w:rFonts w:ascii="Calibri" w:cs="Calibri" w:eastAsia="Calibri" w:hAnsi="Calibri"/>
          <w:color w:val="1A1A1A"/>
          <w:sz w:val="20"/>
          <w:szCs w:val="20"/>
        </w:rPr>
        <w:t xml:space="preserve"> : la priorité </w:t>
      </w:r>
      <w:r>
        <w:rPr>
          <w:rFonts w:ascii="Calibri" w:cs="Calibri" w:eastAsia="Calibri" w:hAnsi="Calibri"/>
          <w:b/>
          <w:bCs/>
          <w:color w:val="1A1A1A"/>
          <w:sz w:val="20"/>
          <w:szCs w:val="20"/>
        </w:rPr>
        <w:t xml:space="preserve">automatique et inconditionnelle</w:t>
      </w:r>
      <w:r>
        <w:rPr>
          <w:rFonts w:ascii="Calibri" w:cs="Calibri" w:eastAsia="Calibri" w:hAnsi="Calibri"/>
          <w:color w:val="1A1A1A"/>
          <w:sz w:val="20"/>
          <w:szCs w:val="20"/>
        </w:rPr>
        <w:t xml:space="preserve"> accordée aux femmes à qualification égale est contraire au droit de l’Union. À l’inverse, </w:t>
      </w:r>
      <w:r>
        <w:rPr>
          <w:rFonts w:ascii="Calibri" w:cs="Calibri" w:eastAsia="Calibri" w:hAnsi="Calibri"/>
          <w:color w:val="E91E63"/>
          <w:sz w:val="20"/>
          <w:szCs w:val="20"/>
        </w:rPr>
        <w:t xml:space="preserve">CJCE, 11 novembre 1997, Marschall, C-409/95</w:t>
      </w:r>
      <w:r>
        <w:rPr>
          <w:rFonts w:ascii="Calibri" w:cs="Calibri" w:eastAsia="Calibri" w:hAnsi="Calibri"/>
          <w:color w:val="1A1A1A"/>
          <w:sz w:val="20"/>
          <w:szCs w:val="20"/>
        </w:rPr>
        <w:t xml:space="preserve"> admet la priorité assortie d’une </w:t>
      </w:r>
      <w:r>
        <w:rPr>
          <w:rFonts w:ascii="Calibri" w:cs="Calibri" w:eastAsia="Calibri" w:hAnsi="Calibri"/>
          <w:b/>
          <w:bCs/>
          <w:color w:val="1A1A1A"/>
          <w:sz w:val="20"/>
          <w:szCs w:val="20"/>
        </w:rPr>
        <w:t xml:space="preserve">clause d’ouverture</w:t>
      </w:r>
      <w:r>
        <w:rPr>
          <w:rFonts w:ascii="Calibri" w:cs="Calibri" w:eastAsia="Calibri" w:hAnsi="Calibri"/>
          <w:color w:val="1A1A1A"/>
          <w:sz w:val="20"/>
          <w:szCs w:val="20"/>
        </w:rPr>
        <w:t xml:space="preserve"> permettant l’examen individuel des candidatures.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n° 2011-103 du 27 janvier 2011</w:t>
      </w:r>
      <w:r>
        <w:rPr>
          <w:rFonts w:ascii="Calibri" w:cs="Calibri" w:eastAsia="Calibri" w:hAnsi="Calibri"/>
          <w:color w:val="1A1A1A"/>
          <w:sz w:val="20"/>
          <w:szCs w:val="20"/>
        </w:rPr>
        <w:t xml:space="preserve"> (Copé-Zimmermann) : 40 % d’administrateurs de chaque sexe dans les sociétés cotées. </w:t>
      </w:r>
      <w:r>
        <w:rPr>
          <w:rFonts w:ascii="Calibri" w:cs="Calibri" w:eastAsia="Calibri" w:hAnsi="Calibri"/>
          <w:color w:val="1E88E5"/>
          <w:sz w:val="20"/>
          <w:szCs w:val="20"/>
        </w:rPr>
        <w:t xml:space="preserve">Loi n° 2021-1774 du 24 décembre 2021</w:t>
      </w:r>
      <w:r>
        <w:rPr>
          <w:rFonts w:ascii="Calibri" w:cs="Calibri" w:eastAsia="Calibri" w:hAnsi="Calibri"/>
          <w:color w:val="1A1A1A"/>
          <w:sz w:val="20"/>
          <w:szCs w:val="20"/>
        </w:rPr>
        <w:t xml:space="preserve"> (Rixain) : 30 % de chaque sexe parmi les cadres dirigeants et les membres des instances dirigeantes depuis le 1er mars 2026, 40 % au 1er mars 2029 (</w:t>
      </w:r>
      <w:r>
        <w:rPr>
          <w:rFonts w:ascii="Calibri" w:cs="Calibri" w:eastAsia="Calibri" w:hAnsi="Calibri"/>
          <w:color w:val="1E88E5"/>
          <w:sz w:val="20"/>
          <w:szCs w:val="20"/>
        </w:rPr>
        <w:t xml:space="preserve">art. L. 1142-11 C. trav.</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La discrimination positive en droit français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Une admission sous conditions</w:t>
      </w:r>
      <w:r>
        <w:rPr>
          <w:rFonts w:ascii="Calibri" w:cs="Calibri" w:eastAsia="Calibri" w:hAnsi="Calibri"/>
          <w:color w:val="1A1A1A"/>
          <w:sz w:val="20"/>
          <w:szCs w:val="20"/>
        </w:rPr>
        <w:t xml:space="preserve"> (A. Une discrimination positive sociale et territoriale : </w:t>
      </w:r>
      <w:r>
        <w:rPr>
          <w:rFonts w:ascii="Calibri" w:cs="Calibri" w:eastAsia="Calibri" w:hAnsi="Calibri"/>
          <w:color w:val="E91E63"/>
          <w:sz w:val="20"/>
          <w:szCs w:val="20"/>
        </w:rPr>
        <w:t xml:space="preserve">2001-450 DC</w:t>
      </w:r>
      <w:r>
        <w:rPr>
          <w:rFonts w:ascii="Calibri" w:cs="Calibri" w:eastAsia="Calibri" w:hAnsi="Calibri"/>
          <w:color w:val="1A1A1A"/>
          <w:sz w:val="20"/>
          <w:szCs w:val="20"/>
        </w:rPr>
        <w:t xml:space="preserve"> (Sciences Po), zones d’éducation prioritaire, obligation d’emploi des travailleurs handicapés ; B. La parité, imposée par le pouvoir constituant contre le juge : </w:t>
      </w:r>
      <w:r>
        <w:rPr>
          <w:rFonts w:ascii="Calibri" w:cs="Calibri" w:eastAsia="Calibri" w:hAnsi="Calibri"/>
          <w:color w:val="E91E63"/>
          <w:sz w:val="20"/>
          <w:szCs w:val="20"/>
        </w:rPr>
        <w:t xml:space="preserve">82-146 DC</w:t>
      </w:r>
      <w:r>
        <w:rPr>
          <w:rFonts w:ascii="Calibri" w:cs="Calibri" w:eastAsia="Calibri" w:hAnsi="Calibri"/>
          <w:color w:val="1A1A1A"/>
          <w:sz w:val="20"/>
          <w:szCs w:val="20"/>
        </w:rPr>
        <w:t xml:space="preserve">, révisions de 1999 et 2008, </w:t>
      </w:r>
      <w:r>
        <w:rPr>
          <w:rFonts w:ascii="Calibri" w:cs="Calibri" w:eastAsia="Calibri" w:hAnsi="Calibri"/>
          <w:color w:val="E91E63"/>
          <w:sz w:val="20"/>
          <w:szCs w:val="20"/>
        </w:rPr>
        <w:t xml:space="preserve">2006-533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II. Une limite infranchissable : l’origine</w:t>
      </w:r>
      <w:r>
        <w:rPr>
          <w:rFonts w:ascii="Calibri" w:cs="Calibri" w:eastAsia="Calibri" w:hAnsi="Calibri"/>
          <w:color w:val="1A1A1A"/>
          <w:sz w:val="20"/>
          <w:szCs w:val="20"/>
        </w:rPr>
        <w:t xml:space="preserve"> (A. L’indivisibilité du peuple : </w:t>
      </w:r>
      <w:r>
        <w:rPr>
          <w:rFonts w:ascii="Calibri" w:cs="Calibri" w:eastAsia="Calibri" w:hAnsi="Calibri"/>
          <w:color w:val="1E88E5"/>
          <w:sz w:val="20"/>
          <w:szCs w:val="20"/>
        </w:rPr>
        <w:t xml:space="preserve">art. 1er</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91-290 DC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2007-557 DC</w:t>
      </w:r>
      <w:r>
        <w:rPr>
          <w:rFonts w:ascii="Calibri" w:cs="Calibri" w:eastAsia="Calibri" w:hAnsi="Calibri"/>
          <w:color w:val="1A1A1A"/>
          <w:sz w:val="20"/>
          <w:szCs w:val="20"/>
        </w:rPr>
        <w:t xml:space="preserve"> ; B. Les seules exceptions sont constitutionnelles : Nouvelle-Calédonie (</w:t>
      </w:r>
      <w:r>
        <w:rPr>
          <w:rFonts w:ascii="Calibri" w:cs="Calibri" w:eastAsia="Calibri" w:hAnsi="Calibri"/>
          <w:color w:val="1E88E5"/>
          <w:sz w:val="20"/>
          <w:szCs w:val="20"/>
        </w:rPr>
        <w:t xml:space="preserve">art. 77</w:t>
      </w:r>
      <w:r>
        <w:rPr>
          <w:rFonts w:ascii="Calibri" w:cs="Calibri" w:eastAsia="Calibri" w:hAnsi="Calibri"/>
          <w:color w:val="1A1A1A"/>
          <w:sz w:val="20"/>
          <w:szCs w:val="20"/>
        </w:rPr>
        <w:t xml:space="preserve">, emploi local), Polynésie).</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Égalité formelle, égalité réelle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Deux conceptions de l’égalité</w:t>
      </w:r>
      <w:r>
        <w:rPr>
          <w:rFonts w:ascii="Calibri" w:cs="Calibri" w:eastAsia="Calibri" w:hAnsi="Calibri"/>
          <w:color w:val="1A1A1A"/>
          <w:sz w:val="20"/>
          <w:szCs w:val="20"/>
        </w:rPr>
        <w:t xml:space="preserve"> (A. L’égalité arithmétique de 1789 ; B. L’égalité proportionnelle, d’Aristote à la formule du Conseil constitutionnel (</w:t>
      </w:r>
      <w:r>
        <w:rPr>
          <w:rFonts w:ascii="Calibri" w:cs="Calibri" w:eastAsia="Calibri" w:hAnsi="Calibri"/>
          <w:color w:val="E91E63"/>
          <w:sz w:val="20"/>
          <w:szCs w:val="20"/>
        </w:rPr>
        <w:t xml:space="preserve">87-232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II. Des juges inégalement volontaristes</w:t>
      </w:r>
      <w:r>
        <w:rPr>
          <w:rFonts w:ascii="Calibri" w:cs="Calibri" w:eastAsia="Calibri" w:hAnsi="Calibri"/>
          <w:color w:val="1A1A1A"/>
          <w:sz w:val="20"/>
          <w:szCs w:val="20"/>
        </w:rPr>
        <w:t xml:space="preserve"> (A. Le juge national, prudent : grille de la différence de situation et de l’intérêt général ; </w:t>
      </w:r>
      <w:r>
        <w:rPr>
          <w:rFonts w:ascii="Calibri" w:cs="Calibri" w:eastAsia="Calibri" w:hAnsi="Calibri"/>
          <w:color w:val="E91E63"/>
          <w:sz w:val="20"/>
          <w:szCs w:val="20"/>
        </w:rPr>
        <w:t xml:space="preserve">Gennevilliers</w:t>
      </w:r>
      <w:r>
        <w:rPr>
          <w:rFonts w:ascii="Calibri" w:cs="Calibri" w:eastAsia="Calibri" w:hAnsi="Calibri"/>
          <w:color w:val="1A1A1A"/>
          <w:sz w:val="20"/>
          <w:szCs w:val="20"/>
        </w:rPr>
        <w:t xml:space="preserve"> (1997) ; B. Les juges européens, partagés : </w:t>
      </w:r>
      <w:r>
        <w:rPr>
          <w:rFonts w:ascii="Calibri" w:cs="Calibri" w:eastAsia="Calibri" w:hAnsi="Calibri"/>
          <w:color w:val="E91E63"/>
          <w:sz w:val="20"/>
          <w:szCs w:val="20"/>
        </w:rPr>
        <w:t xml:space="preserve">Thlimmenos</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Çam</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Stec</w:t>
      </w:r>
      <w:r>
        <w:rPr>
          <w:rFonts w:ascii="Calibri" w:cs="Calibri" w:eastAsia="Calibri" w:hAnsi="Calibri"/>
          <w:color w:val="1A1A1A"/>
          <w:sz w:val="20"/>
          <w:szCs w:val="20"/>
        </w:rPr>
        <w:t xml:space="preserve"> d’un côté ; </w:t>
      </w:r>
      <w:r>
        <w:rPr>
          <w:rFonts w:ascii="Calibri" w:cs="Calibri" w:eastAsia="Calibri" w:hAnsi="Calibri"/>
          <w:color w:val="E91E63"/>
          <w:sz w:val="20"/>
          <w:szCs w:val="20"/>
        </w:rPr>
        <w:t xml:space="preserve">Griesmar</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Leone</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Kalanke</w:t>
      </w:r>
      <w:r>
        <w:rPr>
          <w:rFonts w:ascii="Calibri" w:cs="Calibri" w:eastAsia="Calibri" w:hAnsi="Calibri"/>
          <w:color w:val="1A1A1A"/>
          <w:sz w:val="20"/>
          <w:szCs w:val="20"/>
        </w:rPr>
        <w:t xml:space="preserve"> de l’autre).</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Avant 1999, la parité était inconstitutionnelle.</w:t>
      </w:r>
      <w:r>
        <w:rPr>
          <w:rFonts w:ascii="Calibri" w:cs="Calibri" w:eastAsia="Calibri" w:hAnsi="Calibri"/>
          <w:color w:val="1A1A1A"/>
          <w:sz w:val="20"/>
          <w:szCs w:val="20"/>
        </w:rPr>
        <w:t xml:space="preserve"> Le Conseil avait censuré le quota de 75 % de candidats d’un même sexe aux municipales (</w:t>
      </w:r>
      <w:r>
        <w:rPr>
          <w:rFonts w:ascii="Calibri" w:cs="Calibri" w:eastAsia="Calibri" w:hAnsi="Calibri"/>
          <w:color w:val="E91E63"/>
          <w:sz w:val="20"/>
          <w:szCs w:val="20"/>
        </w:rPr>
        <w:t xml:space="preserve">82-146 DC, 18 novembre 1982</w:t>
      </w:r>
      <w:r>
        <w:rPr>
          <w:rFonts w:ascii="Calibri" w:cs="Calibri" w:eastAsia="Calibri" w:hAnsi="Calibri"/>
          <w:color w:val="1A1A1A"/>
          <w:sz w:val="20"/>
          <w:szCs w:val="20"/>
        </w:rPr>
        <w:t xml:space="preserve">), puis les quotas dans les conseils d’administration et les comités d’entreprise (</w:t>
      </w:r>
      <w:r>
        <w:rPr>
          <w:rFonts w:ascii="Calibri" w:cs="Calibri" w:eastAsia="Calibri" w:hAnsi="Calibri"/>
          <w:color w:val="E91E63"/>
          <w:sz w:val="20"/>
          <w:szCs w:val="20"/>
        </w:rPr>
        <w:t xml:space="preserve">2006-533 DC, 16 mars 2006</w:t>
      </w:r>
      <w:r>
        <w:rPr>
          <w:rFonts w:ascii="Calibri" w:cs="Calibri" w:eastAsia="Calibri" w:hAnsi="Calibri"/>
          <w:color w:val="1A1A1A"/>
          <w:sz w:val="20"/>
          <w:szCs w:val="20"/>
        </w:rPr>
        <w:t xml:space="preserve">). C’est ce qui a rendu nécessaires les révisions de 1999 et 2008, cette dernière étendant le principe aux « responsabilités professionnelles et sociales ».</w:t>
      </w:r>
    </w:p>
    <w:p>
      <w:pPr>
        <w:pStyle w:val="ListParagraph"/>
        <w:numPr>
          <w:ilvl w:val="0"/>
          <w:numId w:val="2"/>
        </w:numPr>
        <w:spacing w:after="70" w:line="264"/>
        <w:jc w:val="both"/>
      </w:pPr>
      <w:r>
        <w:rPr>
          <w:rFonts w:ascii="Calibri" w:cs="Calibri" w:eastAsia="Calibri" w:hAnsi="Calibri"/>
          <w:b/>
          <w:bCs/>
          <w:color w:val="1A1A1A"/>
          <w:sz w:val="20"/>
          <w:szCs w:val="20"/>
        </w:rPr>
        <w:t xml:space="preserve">Le Conseil constitutionnel ne parle jamais de « discrimination positive ».</w:t>
      </w:r>
      <w:r>
        <w:rPr>
          <w:rFonts w:ascii="Calibri" w:cs="Calibri" w:eastAsia="Calibri" w:hAnsi="Calibri"/>
          <w:color w:val="1A1A1A"/>
          <w:sz w:val="20"/>
          <w:szCs w:val="20"/>
        </w:rPr>
        <w:t xml:space="preserve"> Sa grille est double : une différence de situation ou un motif d’intérêt général, en rapport direct avec l’objet de la loi. Les mesures doivent viser à réduire des inégalités, non à reconnaître des droits collectifs à un groupe (</w:t>
      </w:r>
      <w:r>
        <w:rPr>
          <w:rFonts w:ascii="Calibri" w:cs="Calibri" w:eastAsia="Calibri" w:hAnsi="Calibri"/>
          <w:color w:val="E91E63"/>
          <w:sz w:val="20"/>
          <w:szCs w:val="20"/>
        </w:rPr>
        <w:t xml:space="preserve">2006-535 DC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Les erreurs de date du fascicule.</w:t>
      </w:r>
      <w:r>
        <w:rPr>
          <w:rFonts w:ascii="Calibri" w:cs="Calibri" w:eastAsia="Calibri" w:hAnsi="Calibri"/>
          <w:color w:val="1A1A1A"/>
          <w:sz w:val="20"/>
          <w:szCs w:val="20"/>
        </w:rPr>
        <w:t xml:space="preserve"> La révision est celle du </w:t>
      </w:r>
      <w:r>
        <w:rPr>
          <w:rFonts w:ascii="Calibri" w:cs="Calibri" w:eastAsia="Calibri" w:hAnsi="Calibri"/>
          <w:b/>
          <w:bCs/>
          <w:color w:val="1A1A1A"/>
          <w:sz w:val="20"/>
          <w:szCs w:val="20"/>
        </w:rPr>
        <w:t xml:space="preserve">23 juillet 2008</w:t>
      </w:r>
      <w:r>
        <w:rPr>
          <w:rFonts w:ascii="Calibri" w:cs="Calibri" w:eastAsia="Calibri" w:hAnsi="Calibri"/>
          <w:color w:val="1A1A1A"/>
          <w:sz w:val="20"/>
          <w:szCs w:val="20"/>
        </w:rPr>
        <w:t xml:space="preserve"> (et non du « 3 juillet ») ; la Convention relative aux droits des personnes handicapées date de </w:t>
      </w:r>
      <w:r>
        <w:rPr>
          <w:rFonts w:ascii="Calibri" w:cs="Calibri" w:eastAsia="Calibri" w:hAnsi="Calibri"/>
          <w:b/>
          <w:bCs/>
          <w:color w:val="1A1A1A"/>
          <w:sz w:val="20"/>
          <w:szCs w:val="20"/>
        </w:rPr>
        <w:t xml:space="preserve">2006</w:t>
      </w:r>
      <w:r>
        <w:rPr>
          <w:rFonts w:ascii="Calibri" w:cs="Calibri" w:eastAsia="Calibri" w:hAnsi="Calibri"/>
          <w:color w:val="1A1A1A"/>
          <w:sz w:val="20"/>
          <w:szCs w:val="20"/>
        </w:rPr>
        <w:t xml:space="preserve"> (et non de 2000) ; la décision </w:t>
      </w:r>
      <w:r>
        <w:rPr>
          <w:rFonts w:ascii="Calibri" w:cs="Calibri" w:eastAsia="Calibri" w:hAnsi="Calibri"/>
          <w:color w:val="E91E63"/>
          <w:sz w:val="20"/>
          <w:szCs w:val="20"/>
        </w:rPr>
        <w:t xml:space="preserve">2003-489 DC</w:t>
      </w:r>
      <w:r>
        <w:rPr>
          <w:rFonts w:ascii="Calibri" w:cs="Calibri" w:eastAsia="Calibri" w:hAnsi="Calibri"/>
          <w:color w:val="1A1A1A"/>
          <w:sz w:val="20"/>
          <w:szCs w:val="20"/>
        </w:rPr>
        <w:t xml:space="preserve"> porte sur la loi de finances pour </w:t>
      </w:r>
      <w:r>
        <w:rPr>
          <w:rFonts w:ascii="Calibri" w:cs="Calibri" w:eastAsia="Calibri" w:hAnsi="Calibri"/>
          <w:b/>
          <w:bCs/>
          <w:color w:val="1A1A1A"/>
          <w:sz w:val="20"/>
          <w:szCs w:val="20"/>
        </w:rPr>
        <w:t xml:space="preserve">2004</w:t>
      </w:r>
      <w:r>
        <w:rPr>
          <w:rFonts w:ascii="Calibri" w:cs="Calibri" w:eastAsia="Calibri" w:hAnsi="Calibri"/>
          <w:color w:val="1A1A1A"/>
          <w:sz w:val="20"/>
          <w:szCs w:val="20"/>
        </w:rPr>
        <w:t xml:space="preserve"> ; l’arrêt s’intitule </w:t>
      </w:r>
      <w:r>
        <w:rPr>
          <w:rFonts w:ascii="Calibri" w:cs="Calibri" w:eastAsia="Calibri" w:hAnsi="Calibri"/>
          <w:color w:val="E91E63"/>
          <w:sz w:val="20"/>
          <w:szCs w:val="20"/>
        </w:rPr>
        <w:t xml:space="preserve">Çam c. Turquie</w:t>
      </w:r>
      <w:r>
        <w:rPr>
          <w:rFonts w:ascii="Calibri" w:cs="Calibri" w:eastAsia="Calibri" w:hAnsi="Calibri"/>
          <w:color w:val="1A1A1A"/>
          <w:sz w:val="20"/>
          <w:szCs w:val="20"/>
        </w:rPr>
        <w:t xml:space="preserve">.</w:t>
      </w:r>
    </w:p>
    <w:p>
      <w:r>
        <w:br w:type="page"/>
      </w:r>
    </w:p>
    <w:p>
      <w:pPr>
        <w:pStyle w:val="Heading2"/>
        <w:spacing w:after="120" w:before="280"/>
      </w:pPr>
      <w:r>
        <w:rPr>
          <w:rFonts w:ascii="Calibri" w:cs="Calibri" w:eastAsia="Calibri" w:hAnsi="Calibri"/>
          <w:b/>
          <w:bCs/>
          <w:color w:val="1A1A1A"/>
          <w:sz w:val="24"/>
          <w:szCs w:val="24"/>
        </w:rPr>
        <w:t xml:space="preserve">1. Notions et typologie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de la non-discrimination et « droit de l’égalisation »</w:t>
      </w:r>
    </w:p>
    <w:p>
      <w:pPr>
        <w:pStyle w:val="ListParagraph"/>
        <w:numPr>
          <w:ilvl w:val="0"/>
          <w:numId w:val="2"/>
        </w:numPr>
        <w:spacing w:after="70" w:line="264"/>
        <w:jc w:val="both"/>
      </w:pPr>
      <w:r>
        <w:rPr>
          <w:rFonts w:ascii="Calibri" w:cs="Calibri" w:eastAsia="Calibri" w:hAnsi="Calibri"/>
          <w:color w:val="1A1A1A"/>
          <w:sz w:val="20"/>
          <w:szCs w:val="20"/>
        </w:rPr>
        <w:t xml:space="preserve">Le premier contrôle les motifs des distinctions défavorables et repose sur l’intervention du juge.</w:t>
      </w:r>
    </w:p>
    <w:p>
      <w:pPr>
        <w:pStyle w:val="ListParagraph"/>
        <w:numPr>
          <w:ilvl w:val="0"/>
          <w:numId w:val="2"/>
        </w:numPr>
        <w:spacing w:after="70" w:line="264"/>
        <w:jc w:val="both"/>
      </w:pPr>
      <w:r>
        <w:rPr>
          <w:rFonts w:ascii="Calibri" w:cs="Calibri" w:eastAsia="Calibri" w:hAnsi="Calibri"/>
          <w:color w:val="1A1A1A"/>
          <w:sz w:val="20"/>
          <w:szCs w:val="20"/>
        </w:rPr>
        <w:t xml:space="preserve">Le second regroupe les politiques qui réduisent activement les inégalités : redistribution fiscale et sociale, programmes ciblés, mesures préférentielles et actions positives.</w:t>
      </w:r>
    </w:p>
    <w:p>
      <w:pPr>
        <w:pStyle w:val="ListParagraph"/>
        <w:numPr>
          <w:ilvl w:val="0"/>
          <w:numId w:val="2"/>
        </w:numPr>
        <w:spacing w:after="70" w:line="264"/>
        <w:jc w:val="both"/>
      </w:pPr>
      <w:r>
        <w:rPr>
          <w:rFonts w:ascii="Calibri" w:cs="Calibri" w:eastAsia="Calibri" w:hAnsi="Calibri"/>
          <w:b/>
          <w:bCs/>
          <w:color w:val="1A1A1A"/>
          <w:sz w:val="20"/>
          <w:szCs w:val="20"/>
        </w:rPr>
        <w:t xml:space="preserve">Discrimination négative et discrimination positive</w:t>
      </w:r>
      <w:r>
        <w:rPr>
          <w:rFonts w:ascii="Calibri" w:cs="Calibri" w:eastAsia="Calibri" w:hAnsi="Calibri"/>
          <w:color w:val="1A1A1A"/>
          <w:sz w:val="20"/>
          <w:szCs w:val="20"/>
        </w:rPr>
        <w:t xml:space="preserve"> : toutes deux rompent l’égalité formelle, mais dans des sens opposés. La première désavantage sans justification ; la seconde introduit volontairement une </w:t>
      </w:r>
      <w:r>
        <w:rPr>
          <w:rFonts w:ascii="Calibri" w:cs="Calibri" w:eastAsia="Calibri" w:hAnsi="Calibri"/>
          <w:b/>
          <w:bCs/>
          <w:color w:val="1A1A1A"/>
          <w:sz w:val="20"/>
          <w:szCs w:val="20"/>
        </w:rPr>
        <w:t xml:space="preserve">inégalité juridique temporaire</w:t>
      </w:r>
      <w:r>
        <w:rPr>
          <w:rFonts w:ascii="Calibri" w:cs="Calibri" w:eastAsia="Calibri" w:hAnsi="Calibri"/>
          <w:color w:val="1A1A1A"/>
          <w:sz w:val="20"/>
          <w:szCs w:val="20"/>
        </w:rPr>
        <w:t xml:space="preserve"> au profit des défavorisés. C’est un </w:t>
      </w:r>
      <w:r>
        <w:rPr>
          <w:rFonts w:ascii="Calibri" w:cs="Calibri" w:eastAsia="Calibri" w:hAnsi="Calibri"/>
          <w:b/>
          <w:bCs/>
          <w:color w:val="1A1A1A"/>
          <w:sz w:val="20"/>
          <w:szCs w:val="20"/>
        </w:rPr>
        <w:t xml:space="preserve">choix politique</w:t>
      </w:r>
      <w:r>
        <w:rPr>
          <w:rFonts w:ascii="Calibri" w:cs="Calibri" w:eastAsia="Calibri" w:hAnsi="Calibri"/>
          <w:color w:val="1A1A1A"/>
          <w:sz w:val="20"/>
          <w:szCs w:val="20"/>
        </w:rPr>
        <w:t xml:space="preserve"> affirmant la primauté de l’égalité réelle.</w:t>
      </w:r>
    </w:p>
    <w:p>
      <w:pPr>
        <w:pStyle w:val="ListParagraph"/>
        <w:numPr>
          <w:ilvl w:val="0"/>
          <w:numId w:val="2"/>
        </w:numPr>
        <w:spacing w:after="70" w:line="264"/>
        <w:jc w:val="both"/>
      </w:pPr>
      <w:r>
        <w:rPr>
          <w:rFonts w:ascii="Calibri" w:cs="Calibri" w:eastAsia="Calibri" w:hAnsi="Calibri"/>
          <w:b/>
          <w:bCs/>
          <w:color w:val="1A1A1A"/>
          <w:sz w:val="20"/>
          <w:szCs w:val="20"/>
        </w:rPr>
        <w:t xml:space="preserve">Les critères mobilisables en France</w:t>
      </w:r>
    </w:p>
    <w:p>
      <w:pPr>
        <w:pStyle w:val="ListParagraph"/>
        <w:numPr>
          <w:ilvl w:val="0"/>
          <w:numId w:val="2"/>
        </w:numPr>
        <w:spacing w:after="70" w:line="264"/>
        <w:jc w:val="both"/>
      </w:pPr>
      <w:r>
        <w:rPr>
          <w:rFonts w:ascii="Calibri" w:cs="Calibri" w:eastAsia="Calibri" w:hAnsi="Calibri"/>
          <w:color w:val="1A1A1A"/>
          <w:sz w:val="20"/>
          <w:szCs w:val="20"/>
        </w:rPr>
        <w:t xml:space="preserve">— Admis : le critère social (revenus, boursiers), territorial (éducation prioritaire, quartiers prioritaires, zones franches urbaines), le sexe (parité) et le handicap.</w:t>
      </w:r>
    </w:p>
    <w:p>
      <w:pPr>
        <w:pStyle w:val="ListParagraph"/>
        <w:numPr>
          <w:ilvl w:val="0"/>
          <w:numId w:val="2"/>
        </w:numPr>
        <w:spacing w:after="70" w:line="264"/>
        <w:jc w:val="both"/>
      </w:pPr>
      <w:r>
        <w:rPr>
          <w:rFonts w:ascii="Calibri" w:cs="Calibri" w:eastAsia="Calibri" w:hAnsi="Calibri"/>
          <w:color w:val="1A1A1A"/>
          <w:sz w:val="20"/>
          <w:szCs w:val="20"/>
        </w:rPr>
        <w:t xml:space="preserve">— Exclu : l’origine.</w:t>
      </w:r>
    </w:p>
    <w:p>
      <w:pPr>
        <w:pStyle w:val="ListParagraph"/>
        <w:numPr>
          <w:ilvl w:val="0"/>
          <w:numId w:val="2"/>
        </w:numPr>
        <w:spacing w:after="70" w:line="264"/>
        <w:jc w:val="both"/>
      </w:pPr>
      <w:r>
        <w:rPr>
          <w:rFonts w:ascii="Calibri" w:cs="Calibri" w:eastAsia="Calibri" w:hAnsi="Calibri"/>
          <w:color w:val="1A1A1A"/>
          <w:sz w:val="20"/>
          <w:szCs w:val="20"/>
        </w:rPr>
        <w:t xml:space="preserve">— D’où la formule de la « discrimination positive à la française », sociale et territoriale plutôt qu’ethnique.</w:t>
      </w:r>
    </w:p>
    <w:p>
      <w:pPr>
        <w:pStyle w:val="ListParagraph"/>
        <w:numPr>
          <w:ilvl w:val="0"/>
          <w:numId w:val="2"/>
        </w:numPr>
        <w:spacing w:after="70" w:line="264"/>
        <w:jc w:val="both"/>
      </w:pPr>
      <w:r>
        <w:rPr>
          <w:rFonts w:ascii="Calibri" w:cs="Calibri" w:eastAsia="Calibri" w:hAnsi="Calibri"/>
          <w:b/>
          <w:bCs/>
          <w:color w:val="1A1A1A"/>
          <w:sz w:val="20"/>
          <w:szCs w:val="20"/>
        </w:rPr>
        <w:t xml:space="preserve">Égalité des chances ou égalité des résultats</w:t>
      </w:r>
    </w:p>
    <w:p>
      <w:pPr>
        <w:pStyle w:val="ListParagraph"/>
        <w:numPr>
          <w:ilvl w:val="0"/>
          <w:numId w:val="2"/>
        </w:numPr>
        <w:spacing w:after="70" w:line="264"/>
        <w:jc w:val="both"/>
      </w:pPr>
      <w:r>
        <w:rPr>
          <w:rFonts w:ascii="Calibri" w:cs="Calibri" w:eastAsia="Calibri" w:hAnsi="Calibri"/>
          <w:color w:val="1A1A1A"/>
          <w:sz w:val="20"/>
          <w:szCs w:val="20"/>
        </w:rPr>
        <w:t xml:space="preserve">— La première améliore la position d’un groupe dans la compétition : préparation, conventions, aménagements.</w:t>
      </w:r>
    </w:p>
    <w:p>
      <w:pPr>
        <w:pStyle w:val="ListParagraph"/>
        <w:numPr>
          <w:ilvl w:val="0"/>
          <w:numId w:val="2"/>
        </w:numPr>
        <w:spacing w:after="70" w:line="264"/>
        <w:jc w:val="both"/>
      </w:pPr>
      <w:r>
        <w:rPr>
          <w:rFonts w:ascii="Calibri" w:cs="Calibri" w:eastAsia="Calibri" w:hAnsi="Calibri"/>
          <w:color w:val="1A1A1A"/>
          <w:sz w:val="20"/>
          <w:szCs w:val="20"/>
        </w:rPr>
        <w:t xml:space="preserve">— La seconde garantit un nombre déterminé de places : quotas (6 % de travailleurs handicapés, 40 % d’administrateurs de chaque sexe).</w:t>
      </w:r>
    </w:p>
    <w:p>
      <w:pPr>
        <w:pStyle w:val="ListParagraph"/>
        <w:numPr>
          <w:ilvl w:val="0"/>
          <w:numId w:val="2"/>
        </w:numPr>
        <w:spacing w:after="70" w:line="264"/>
        <w:jc w:val="both"/>
      </w:pPr>
      <w:r>
        <w:rPr>
          <w:rFonts w:ascii="Calibri" w:cs="Calibri" w:eastAsia="Calibri" w:hAnsi="Calibri"/>
          <w:b/>
          <w:bCs/>
          <w:color w:val="1A1A1A"/>
          <w:sz w:val="20"/>
          <w:szCs w:val="20"/>
        </w:rPr>
        <w:t xml:space="preserve">Un point du fascicule à corriger</w:t>
      </w:r>
      <w:r>
        <w:rPr>
          <w:rFonts w:ascii="Calibri" w:cs="Calibri" w:eastAsia="Calibri" w:hAnsi="Calibri"/>
          <w:color w:val="1A1A1A"/>
          <w:sz w:val="20"/>
          <w:szCs w:val="20"/>
        </w:rPr>
        <w:t xml:space="preserve"> : le texte définit les actions positives comme visant des catégories « non en raison d’une caractéristique permanente ou durable (sexe, origine) ». La négation est fautive : c’est précisément en raison d’une caractéristique durable que les actions positives se distinguent des mesures préférentielles, fondées sur un état contingent.</w:t>
      </w:r>
    </w:p>
    <w:p>
      <w:pPr>
        <w:pStyle w:val="Heading2"/>
        <w:spacing w:after="120" w:before="280"/>
      </w:pPr>
      <w:r>
        <w:rPr>
          <w:rFonts w:ascii="Calibri" w:cs="Calibri" w:eastAsia="Calibri" w:hAnsi="Calibri"/>
          <w:b/>
          <w:bCs/>
          <w:color w:val="1A1A1A"/>
          <w:sz w:val="24"/>
          <w:szCs w:val="24"/>
        </w:rPr>
        <w:t xml:space="preserve">2. Les sources</w:t>
      </w:r>
    </w:p>
    <w:p>
      <w:pPr>
        <w:pStyle w:val="ListParagraph"/>
        <w:numPr>
          <w:ilvl w:val="0"/>
          <w:numId w:val="2"/>
        </w:numPr>
        <w:spacing w:after="70" w:line="264"/>
        <w:jc w:val="both"/>
      </w:pPr>
      <w:r>
        <w:rPr>
          <w:rFonts w:ascii="Calibri" w:cs="Calibri" w:eastAsia="Calibri" w:hAnsi="Calibri"/>
          <w:b/>
          <w:bCs/>
          <w:color w:val="1A1A1A"/>
          <w:sz w:val="20"/>
          <w:szCs w:val="20"/>
        </w:rPr>
        <w:t xml:space="preserve">Droit international</w:t>
      </w:r>
      <w:r>
        <w:rPr>
          <w:rFonts w:ascii="Calibri" w:cs="Calibri" w:eastAsia="Calibri" w:hAnsi="Calibri"/>
          <w:color w:val="1A1A1A"/>
          <w:sz w:val="20"/>
          <w:szCs w:val="20"/>
        </w:rPr>
        <w:t xml:space="preserve"> : les conventions spécialisées autorisent expressément les « mesures spéciales temporaires ».</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1er § 4 et 2 § 2 de la Convention sur l’élimination de la discrimination raciale (1965)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4 § 1 CEDAW (1979)</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5 § 4 CRPD (2006)</w:t>
      </w:r>
      <w:r>
        <w:rPr>
          <w:rFonts w:ascii="Calibri" w:cs="Calibri" w:eastAsia="Calibri" w:hAnsi="Calibri"/>
          <w:color w:val="1A1A1A"/>
          <w:sz w:val="20"/>
          <w:szCs w:val="20"/>
        </w:rPr>
        <w:t xml:space="preserve"> : « les mesures spécifiques qui sont nécessaires pour accélérer ou assurer l’égalité de facto des personnes handicapées ne constituent pas une discrimination ».</w:t>
      </w:r>
    </w:p>
    <w:p>
      <w:pPr>
        <w:pStyle w:val="ListParagraph"/>
        <w:numPr>
          <w:ilvl w:val="0"/>
          <w:numId w:val="2"/>
        </w:numPr>
        <w:spacing w:after="70" w:line="264"/>
        <w:jc w:val="both"/>
      </w:pPr>
      <w:r>
        <w:rPr>
          <w:rFonts w:ascii="Calibri" w:cs="Calibri" w:eastAsia="Calibri" w:hAnsi="Calibri"/>
          <w:b/>
          <w:bCs/>
          <w:color w:val="1A1A1A"/>
          <w:sz w:val="20"/>
          <w:szCs w:val="20"/>
        </w:rPr>
        <w:t xml:space="preserve">Droit de l’Union</w:t>
      </w:r>
    </w:p>
    <w:p>
      <w:pPr>
        <w:pStyle w:val="ListParagraph"/>
        <w:numPr>
          <w:ilvl w:val="0"/>
          <w:numId w:val="2"/>
        </w:numPr>
        <w:spacing w:after="70" w:line="264"/>
        <w:jc w:val="both"/>
      </w:pPr>
      <w:r>
        <w:rPr>
          <w:rFonts w:ascii="Calibri" w:cs="Calibri" w:eastAsia="Calibri" w:hAnsi="Calibri"/>
          <w:color w:val="1A1A1A"/>
          <w:sz w:val="20"/>
          <w:szCs w:val="20"/>
        </w:rPr>
        <w:t xml:space="preserve">— Traité et Charte : </w:t>
      </w:r>
      <w:r>
        <w:rPr>
          <w:rFonts w:ascii="Calibri" w:cs="Calibri" w:eastAsia="Calibri" w:hAnsi="Calibri"/>
          <w:color w:val="1E88E5"/>
          <w:sz w:val="20"/>
          <w:szCs w:val="20"/>
        </w:rPr>
        <w:t xml:space="preserve">art. 157 § 4 TFUE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23 CDFUE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Clauses d’actions positives des directives : </w:t>
      </w:r>
      <w:r>
        <w:rPr>
          <w:rFonts w:ascii="Calibri" w:cs="Calibri" w:eastAsia="Calibri" w:hAnsi="Calibri"/>
          <w:color w:val="1E88E5"/>
          <w:sz w:val="20"/>
          <w:szCs w:val="20"/>
        </w:rPr>
        <w:t xml:space="preserve">art. 5 directive 2000/43</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7 directive 2000/78</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3 directive 2006/54</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directive (UE) 2022/2381 du 23 novembre 2022</w:t>
      </w:r>
      <w:r>
        <w:rPr>
          <w:rFonts w:ascii="Calibri" w:cs="Calibri" w:eastAsia="Calibri" w:hAnsi="Calibri"/>
          <w:color w:val="1A1A1A"/>
          <w:sz w:val="20"/>
          <w:szCs w:val="20"/>
        </w:rPr>
        <w:t xml:space="preserve"> (« Women on boards ») : 40 % d’administrateurs non exécutifs du sexe sous-représenté, ou 33 % de l’ensemble des administrateurs, dans les sociétés cotées au 30 juin 2026.</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directive (UE) 2023/970 du 10 mai 2023</w:t>
      </w:r>
      <w:r>
        <w:rPr>
          <w:rFonts w:ascii="Calibri" w:cs="Calibri" w:eastAsia="Calibri" w:hAnsi="Calibri"/>
          <w:color w:val="1A1A1A"/>
          <w:sz w:val="20"/>
          <w:szCs w:val="20"/>
        </w:rPr>
        <w:t xml:space="preserve"> sur la transparence des rémunérations, fondée sur les </w:t>
      </w:r>
      <w:r>
        <w:rPr>
          <w:rFonts w:ascii="Calibri" w:cs="Calibri" w:eastAsia="Calibri" w:hAnsi="Calibri"/>
          <w:color w:val="1E88E5"/>
          <w:sz w:val="20"/>
          <w:szCs w:val="20"/>
        </w:rPr>
        <w:t xml:space="preserve">art. 21 et 23 de la Charte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Actualité de la directive 2023/970</w:t>
      </w:r>
      <w:r>
        <w:rPr>
          <w:rFonts w:ascii="Calibri" w:cs="Calibri" w:eastAsia="Calibri" w:hAnsi="Calibri"/>
          <w:color w:val="1A1A1A"/>
          <w:sz w:val="20"/>
          <w:szCs w:val="20"/>
        </w:rPr>
        <w:t xml:space="preserve"> : la date limite de transposition était le 7 juin 2026, mais un projet de loi n’a été déposé au Sénat qu’en septembre 2026. L’index de l’égalité professionnelle (2019), jugé peu fidèle aux écarts réels, doit être remplacé. La France s’expose à un recours en manquement (</w:t>
      </w:r>
      <w:r>
        <w:rPr>
          <w:rFonts w:ascii="Calibri" w:cs="Calibri" w:eastAsia="Calibri" w:hAnsi="Calibri"/>
          <w:color w:val="1E88E5"/>
          <w:sz w:val="20"/>
          <w:szCs w:val="20"/>
        </w:rPr>
        <w:t xml:space="preserve">art. 258 TFUE</w:t>
      </w:r>
      <w:r>
        <w:rPr>
          <w:rFonts w:ascii="Calibri" w:cs="Calibri" w:eastAsia="Calibri" w:hAnsi="Calibri"/>
          <w:color w:val="1A1A1A"/>
          <w:sz w:val="20"/>
          <w:szCs w:val="20"/>
        </w:rPr>
        <w:t xml:space="preserve">), et les dispositions précises et inconditionnelles de la directive sont invocables contre l’État.</w:t>
      </w:r>
    </w:p>
    <w:p>
      <w:pPr>
        <w:pStyle w:val="ListParagraph"/>
        <w:numPr>
          <w:ilvl w:val="0"/>
          <w:numId w:val="2"/>
        </w:numPr>
        <w:spacing w:after="70" w:line="264"/>
        <w:jc w:val="both"/>
      </w:pPr>
      <w:r>
        <w:rPr>
          <w:rFonts w:ascii="Calibri" w:cs="Calibri" w:eastAsia="Calibri" w:hAnsi="Calibri"/>
          <w:b/>
          <w:bCs/>
          <w:color w:val="1A1A1A"/>
          <w:sz w:val="20"/>
          <w:szCs w:val="20"/>
        </w:rPr>
        <w:t xml:space="preserve">Droit français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1er al. 2 Constitution</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du 6 juin 2000</w:t>
      </w:r>
      <w:r>
        <w:rPr>
          <w:rFonts w:ascii="Calibri" w:cs="Calibri" w:eastAsia="Calibri" w:hAnsi="Calibri"/>
          <w:color w:val="1A1A1A"/>
          <w:sz w:val="20"/>
          <w:szCs w:val="20"/>
        </w:rPr>
        <w:t xml:space="preserve"> (parité électorale).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27 janvier 2011</w:t>
      </w:r>
      <w:r>
        <w:rPr>
          <w:rFonts w:ascii="Calibri" w:cs="Calibri" w:eastAsia="Calibri" w:hAnsi="Calibri"/>
          <w:color w:val="1A1A1A"/>
          <w:sz w:val="20"/>
          <w:szCs w:val="20"/>
        </w:rPr>
        <w:t xml:space="preserve"> (conseils d’administration) ; </w:t>
      </w:r>
      <w:r>
        <w:rPr>
          <w:rFonts w:ascii="Calibri" w:cs="Calibri" w:eastAsia="Calibri" w:hAnsi="Calibri"/>
          <w:color w:val="1E88E5"/>
          <w:sz w:val="20"/>
          <w:szCs w:val="20"/>
        </w:rPr>
        <w:t xml:space="preserve">loi n° 2012-347 du 12 mars 2012</w:t>
      </w:r>
      <w:r>
        <w:rPr>
          <w:rFonts w:ascii="Calibri" w:cs="Calibri" w:eastAsia="Calibri" w:hAnsi="Calibri"/>
          <w:color w:val="1A1A1A"/>
          <w:sz w:val="20"/>
          <w:szCs w:val="20"/>
        </w:rPr>
        <w:t xml:space="preserve"> (« Sauvadet » : primo-nominations aux emplois supérieurs de la fonction publique) ; </w:t>
      </w:r>
      <w:r>
        <w:rPr>
          <w:rFonts w:ascii="Calibri" w:cs="Calibri" w:eastAsia="Calibri" w:hAnsi="Calibri"/>
          <w:color w:val="1E88E5"/>
          <w:sz w:val="20"/>
          <w:szCs w:val="20"/>
        </w:rPr>
        <w:t xml:space="preserve">loi du 4 août 2014</w:t>
      </w:r>
      <w:r>
        <w:rPr>
          <w:rFonts w:ascii="Calibri" w:cs="Calibri" w:eastAsia="Calibri" w:hAnsi="Calibri"/>
          <w:color w:val="1A1A1A"/>
          <w:sz w:val="20"/>
          <w:szCs w:val="20"/>
        </w:rPr>
        <w:t xml:space="preserve"> pour l’égalité réelle entre les femmes et les hommes ; </w:t>
      </w:r>
      <w:r>
        <w:rPr>
          <w:rFonts w:ascii="Calibri" w:cs="Calibri" w:eastAsia="Calibri" w:hAnsi="Calibri"/>
          <w:color w:val="1E88E5"/>
          <w:sz w:val="20"/>
          <w:szCs w:val="20"/>
        </w:rPr>
        <w:t xml:space="preserve">loi du 24 décembre 2021</w:t>
      </w:r>
      <w:r>
        <w:rPr>
          <w:rFonts w:ascii="Calibri" w:cs="Calibri" w:eastAsia="Calibri" w:hAnsi="Calibri"/>
          <w:color w:val="1A1A1A"/>
          <w:sz w:val="20"/>
          <w:szCs w:val="20"/>
        </w:rPr>
        <w:t xml:space="preserve"> (Rixain).</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10 juillet 1987</w:t>
      </w:r>
      <w:r>
        <w:rPr>
          <w:rFonts w:ascii="Calibri" w:cs="Calibri" w:eastAsia="Calibri" w:hAnsi="Calibri"/>
          <w:color w:val="1A1A1A"/>
          <w:sz w:val="20"/>
          <w:szCs w:val="20"/>
        </w:rPr>
        <w:t xml:space="preserve"> (obligation d’emploi de 6 % de travailleurs handicapés) ; </w:t>
      </w:r>
      <w:r>
        <w:rPr>
          <w:rFonts w:ascii="Calibri" w:cs="Calibri" w:eastAsia="Calibri" w:hAnsi="Calibri"/>
          <w:color w:val="1E88E5"/>
          <w:sz w:val="20"/>
          <w:szCs w:val="20"/>
        </w:rPr>
        <w:t xml:space="preserve">art. L. 1225-9 C. trav.</w:t>
      </w:r>
      <w:r>
        <w:rPr>
          <w:rFonts w:ascii="Calibri" w:cs="Calibri" w:eastAsia="Calibri" w:hAnsi="Calibri"/>
          <w:color w:val="1A1A1A"/>
          <w:sz w:val="20"/>
          <w:szCs w:val="20"/>
        </w:rPr>
        <w:t xml:space="preserve"> (protection de la femme enceinte, exemple de mesure préférentielle).</w:t>
      </w:r>
    </w:p>
    <w:p>
      <w:pPr>
        <w:pStyle w:val="ListParagraph"/>
        <w:numPr>
          <w:ilvl w:val="0"/>
          <w:numId w:val="2"/>
        </w:numPr>
        <w:spacing w:after="70" w:line="264"/>
        <w:jc w:val="both"/>
      </w:pPr>
      <w:r>
        <w:rPr>
          <w:rFonts w:ascii="Calibri" w:cs="Calibri" w:eastAsia="Calibri" w:hAnsi="Calibri"/>
          <w:color w:val="1A1A1A"/>
          <w:sz w:val="20"/>
          <w:szCs w:val="20"/>
        </w:rPr>
        <w:t xml:space="preserve">— Parité dans les scrutins : en 2025, le Conseil a validé la généralisation du scrutin de liste paritaire aux communes de moins de 1 000 habitants, appliquée aux municipales de mars 2026.</w:t>
      </w:r>
    </w:p>
    <w:p>
      <w:pPr>
        <w:pStyle w:val="ListParagraph"/>
        <w:numPr>
          <w:ilvl w:val="0"/>
          <w:numId w:val="2"/>
        </w:numPr>
        <w:spacing w:after="70" w:line="264"/>
        <w:jc w:val="both"/>
      </w:pPr>
      <w:r>
        <w:rPr>
          <w:rFonts w:ascii="Calibri" w:cs="Calibri" w:eastAsia="Calibri" w:hAnsi="Calibri"/>
          <w:b/>
          <w:bCs/>
          <w:color w:val="1A1A1A"/>
          <w:sz w:val="20"/>
          <w:szCs w:val="20"/>
        </w:rPr>
        <w:t xml:space="preserve">Soft law</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Charte de la diversité en entreprise</w:t>
      </w:r>
      <w:r>
        <w:rPr>
          <w:rFonts w:ascii="Calibri" w:cs="Calibri" w:eastAsia="Calibri" w:hAnsi="Calibri"/>
          <w:color w:val="1A1A1A"/>
          <w:sz w:val="20"/>
          <w:szCs w:val="20"/>
        </w:rPr>
        <w:t xml:space="preserve"> (2004) ; </w:t>
      </w:r>
      <w:r>
        <w:rPr>
          <w:rFonts w:ascii="Calibri" w:cs="Calibri" w:eastAsia="Calibri" w:hAnsi="Calibri"/>
          <w:color w:val="1E88E5"/>
          <w:sz w:val="20"/>
          <w:szCs w:val="20"/>
        </w:rPr>
        <w:t xml:space="preserve">délibération du CSA du 10 novembre 2009</w:t>
      </w:r>
      <w:r>
        <w:rPr>
          <w:rFonts w:ascii="Calibri" w:cs="Calibri" w:eastAsia="Calibri" w:hAnsi="Calibri"/>
          <w:color w:val="1A1A1A"/>
          <w:sz w:val="20"/>
          <w:szCs w:val="20"/>
        </w:rPr>
        <w:t xml:space="preserve"> sur la représentation de la diversité à l’antenne.</w:t>
      </w:r>
    </w:p>
    <w:p>
      <w:pPr>
        <w:pStyle w:val="Heading2"/>
        <w:spacing w:after="120" w:before="280"/>
      </w:pPr>
      <w:r>
        <w:rPr>
          <w:rFonts w:ascii="Calibri" w:cs="Calibri" w:eastAsia="Calibri" w:hAnsi="Calibri"/>
          <w:b/>
          <w:bCs/>
          <w:color w:val="1A1A1A"/>
          <w:sz w:val="24"/>
          <w:szCs w:val="24"/>
        </w:rPr>
        <w:t xml:space="preserve">3. Les juges face aux mesures compensatoires</w:t>
      </w:r>
    </w:p>
    <w:p>
      <w:pPr>
        <w:pStyle w:val="Heading3"/>
        <w:spacing w:after="90" w:before="200"/>
      </w:pPr>
      <w:r>
        <w:rPr>
          <w:rFonts w:ascii="Calibri" w:cs="Calibri" w:eastAsia="Calibri" w:hAnsi="Calibri"/>
          <w:b/>
          <w:bCs/>
          <w:i/>
          <w:iCs/>
          <w:color w:val="5A5A5A"/>
          <w:sz w:val="21"/>
          <w:szCs w:val="21"/>
        </w:rPr>
        <w:t xml:space="preserve">3.1. Le Conseil constitutionnel</w:t>
      </w:r>
    </w:p>
    <w:p>
      <w:pPr>
        <w:pStyle w:val="ListParagraph"/>
        <w:numPr>
          <w:ilvl w:val="0"/>
          <w:numId w:val="2"/>
        </w:numPr>
        <w:spacing w:after="70" w:line="264"/>
        <w:jc w:val="both"/>
      </w:pPr>
      <w:r>
        <w:rPr>
          <w:rFonts w:ascii="Calibri" w:cs="Calibri" w:eastAsia="Calibri" w:hAnsi="Calibri"/>
          <w:b/>
          <w:bCs/>
          <w:color w:val="1A1A1A"/>
          <w:sz w:val="20"/>
          <w:szCs w:val="20"/>
        </w:rPr>
        <w:t xml:space="preserve">La grille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87-232 DC, 7 janvier 1988</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La différence de situation, appréciée au regard de la finalité de la loi, avec des critères objectifs et rationnels (</w:t>
      </w:r>
      <w:r>
        <w:rPr>
          <w:rFonts w:ascii="Calibri" w:cs="Calibri" w:eastAsia="Calibri" w:hAnsi="Calibri"/>
          <w:color w:val="E91E63"/>
          <w:sz w:val="20"/>
          <w:szCs w:val="20"/>
        </w:rPr>
        <w:t xml:space="preserve">79-107 DC, 12 juillet 1979</w:t>
      </w:r>
      <w:r>
        <w:rPr>
          <w:rFonts w:ascii="Calibri" w:cs="Calibri" w:eastAsia="Calibri" w:hAnsi="Calibri"/>
          <w:color w:val="1A1A1A"/>
          <w:sz w:val="20"/>
          <w:szCs w:val="20"/>
        </w:rPr>
        <w:t xml:space="preserve">, péages des ouvrages d’art ; </w:t>
      </w:r>
      <w:r>
        <w:rPr>
          <w:rFonts w:ascii="Calibri" w:cs="Calibri" w:eastAsia="Calibri" w:hAnsi="Calibri"/>
          <w:color w:val="E91E63"/>
          <w:sz w:val="20"/>
          <w:szCs w:val="20"/>
        </w:rPr>
        <w:t xml:space="preserve">81-132 DC, 16 janvier 1982</w:t>
      </w:r>
      <w:r>
        <w:rPr>
          <w:rFonts w:ascii="Calibri" w:cs="Calibri" w:eastAsia="Calibri" w:hAnsi="Calibri"/>
          <w:color w:val="1A1A1A"/>
          <w:sz w:val="20"/>
          <w:szCs w:val="20"/>
        </w:rPr>
        <w:t xml:space="preserve">, nationalisations).</w:t>
      </w:r>
    </w:p>
    <w:p>
      <w:pPr>
        <w:pStyle w:val="ListParagraph"/>
        <w:numPr>
          <w:ilvl w:val="0"/>
          <w:numId w:val="2"/>
        </w:numPr>
        <w:spacing w:after="70" w:line="264"/>
        <w:jc w:val="both"/>
      </w:pPr>
      <w:r>
        <w:rPr>
          <w:rFonts w:ascii="Calibri" w:cs="Calibri" w:eastAsia="Calibri" w:hAnsi="Calibri"/>
          <w:color w:val="1A1A1A"/>
          <w:sz w:val="20"/>
          <w:szCs w:val="20"/>
        </w:rPr>
        <w:t xml:space="preserve">— L’intérêt général, en lien direct avec l’objet de la loi.</w:t>
      </w:r>
    </w:p>
    <w:p>
      <w:pPr>
        <w:pStyle w:val="ListParagraph"/>
        <w:numPr>
          <w:ilvl w:val="0"/>
          <w:numId w:val="2"/>
        </w:numPr>
        <w:spacing w:after="70" w:line="264"/>
        <w:jc w:val="both"/>
      </w:pPr>
      <w:r>
        <w:rPr>
          <w:rFonts w:ascii="Calibri" w:cs="Calibri" w:eastAsia="Calibri" w:hAnsi="Calibri"/>
          <w:b/>
          <w:bCs/>
          <w:color w:val="1A1A1A"/>
          <w:sz w:val="20"/>
          <w:szCs w:val="20"/>
        </w:rPr>
        <w:t xml:space="preserve">Mesures admises</w:t>
      </w:r>
    </w:p>
    <w:p>
      <w:pPr>
        <w:pStyle w:val="ListParagraph"/>
        <w:numPr>
          <w:ilvl w:val="0"/>
          <w:numId w:val="2"/>
        </w:numPr>
        <w:spacing w:after="70" w:line="264"/>
        <w:jc w:val="both"/>
      </w:pPr>
      <w:r>
        <w:rPr>
          <w:rFonts w:ascii="Calibri" w:cs="Calibri" w:eastAsia="Calibri" w:hAnsi="Calibri"/>
          <w:color w:val="1A1A1A"/>
          <w:sz w:val="20"/>
          <w:szCs w:val="20"/>
        </w:rPr>
        <w:t xml:space="preserve">— Le législateur peut adopter des mesures « propres à venir en aide à des catégories de personnes défavorisées » (</w:t>
      </w:r>
      <w:r>
        <w:rPr>
          <w:rFonts w:ascii="Calibri" w:cs="Calibri" w:eastAsia="Calibri" w:hAnsi="Calibri"/>
          <w:color w:val="E91E63"/>
          <w:sz w:val="20"/>
          <w:szCs w:val="20"/>
        </w:rPr>
        <w:t xml:space="preserve">86-207 DC, 25-26 juin 1986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Conventions d’éducation prioritaire de Sciences Po (</w:t>
      </w:r>
      <w:r>
        <w:rPr>
          <w:rFonts w:ascii="Calibri" w:cs="Calibri" w:eastAsia="Calibri" w:hAnsi="Calibri"/>
          <w:color w:val="E91E63"/>
          <w:sz w:val="20"/>
          <w:szCs w:val="20"/>
        </w:rPr>
        <w:t xml:space="preserve">2001-450 DC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Dispositifs en faveur de l’emploi des jeunes, des seniors ou des salariés licenciés (</w:t>
      </w:r>
      <w:r>
        <w:rPr>
          <w:rFonts w:ascii="Calibri" w:cs="Calibri" w:eastAsia="Calibri" w:hAnsi="Calibri"/>
          <w:color w:val="E91E63"/>
          <w:sz w:val="20"/>
          <w:szCs w:val="20"/>
        </w:rPr>
        <w:t xml:space="preserve">89-257 DC, 25 juillet 1989</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2003-483 DC, 14 août 2003</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2006-535 DC, 30 mars 2006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Mesures en faveur des personnes « rencontrant des difficultés particulières » (</w:t>
      </w:r>
      <w:r>
        <w:rPr>
          <w:rFonts w:ascii="Calibri" w:cs="Calibri" w:eastAsia="Calibri" w:hAnsi="Calibri"/>
          <w:color w:val="E91E63"/>
          <w:sz w:val="20"/>
          <w:szCs w:val="20"/>
        </w:rPr>
        <w:t xml:space="preserve">2005-521 DC, 22 juillet 2005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Mesures censurées</w:t>
      </w:r>
    </w:p>
    <w:p>
      <w:pPr>
        <w:pStyle w:val="ListParagraph"/>
        <w:numPr>
          <w:ilvl w:val="0"/>
          <w:numId w:val="2"/>
        </w:numPr>
        <w:spacing w:after="70" w:line="264"/>
        <w:jc w:val="both"/>
      </w:pPr>
      <w:r>
        <w:rPr>
          <w:rFonts w:ascii="Calibri" w:cs="Calibri" w:eastAsia="Calibri" w:hAnsi="Calibri"/>
          <w:color w:val="1A1A1A"/>
          <w:sz w:val="20"/>
          <w:szCs w:val="20"/>
        </w:rPr>
        <w:t xml:space="preserve">— Critère de l’origine : </w:t>
      </w:r>
      <w:r>
        <w:rPr>
          <w:rFonts w:ascii="Calibri" w:cs="Calibri" w:eastAsia="Calibri" w:hAnsi="Calibri"/>
          <w:color w:val="E91E63"/>
          <w:sz w:val="20"/>
          <w:szCs w:val="20"/>
        </w:rPr>
        <w:t xml:space="preserve">84-177 DC, 30 août 1984</w:t>
      </w:r>
      <w:r>
        <w:rPr>
          <w:rFonts w:ascii="Calibri" w:cs="Calibri" w:eastAsia="Calibri" w:hAnsi="Calibri"/>
          <w:color w:val="1A1A1A"/>
          <w:sz w:val="20"/>
          <w:szCs w:val="20"/>
        </w:rPr>
        <w:t xml:space="preserve"> (Polynésie) ; </w:t>
      </w:r>
      <w:r>
        <w:rPr>
          <w:rFonts w:ascii="Calibri" w:cs="Calibri" w:eastAsia="Calibri" w:hAnsi="Calibri"/>
          <w:color w:val="E91E63"/>
          <w:sz w:val="20"/>
          <w:szCs w:val="20"/>
        </w:rPr>
        <w:t xml:space="preserve">85-196 DC, 8 août 1985</w:t>
      </w:r>
      <w:r>
        <w:rPr>
          <w:rFonts w:ascii="Calibri" w:cs="Calibri" w:eastAsia="Calibri" w:hAnsi="Calibri"/>
          <w:color w:val="1A1A1A"/>
          <w:sz w:val="20"/>
          <w:szCs w:val="20"/>
        </w:rPr>
        <w:t xml:space="preserve"> (Nouvelle-Calédonie) ; </w:t>
      </w:r>
      <w:r>
        <w:rPr>
          <w:rFonts w:ascii="Calibri" w:cs="Calibri" w:eastAsia="Calibri" w:hAnsi="Calibri"/>
          <w:color w:val="E91E63"/>
          <w:sz w:val="20"/>
          <w:szCs w:val="20"/>
        </w:rPr>
        <w:t xml:space="preserve">91-290 DC</w:t>
      </w:r>
      <w:r>
        <w:rPr>
          <w:rFonts w:ascii="Calibri" w:cs="Calibri" w:eastAsia="Calibri" w:hAnsi="Calibri"/>
          <w:color w:val="1A1A1A"/>
          <w:sz w:val="20"/>
          <w:szCs w:val="20"/>
        </w:rPr>
        <w:t xml:space="preserve"> (Corse) ; </w:t>
      </w:r>
      <w:r>
        <w:rPr>
          <w:rFonts w:ascii="Calibri" w:cs="Calibri" w:eastAsia="Calibri" w:hAnsi="Calibri"/>
          <w:color w:val="E91E63"/>
          <w:sz w:val="20"/>
          <w:szCs w:val="20"/>
        </w:rPr>
        <w:t xml:space="preserve">2007-557 DC</w:t>
      </w:r>
      <w:r>
        <w:rPr>
          <w:rFonts w:ascii="Calibri" w:cs="Calibri" w:eastAsia="Calibri" w:hAnsi="Calibri"/>
          <w:color w:val="1A1A1A"/>
          <w:sz w:val="20"/>
          <w:szCs w:val="20"/>
        </w:rPr>
        <w:t xml:space="preserve"> (statistiques ethniques).</w:t>
      </w:r>
    </w:p>
    <w:p>
      <w:pPr>
        <w:pStyle w:val="ListParagraph"/>
        <w:numPr>
          <w:ilvl w:val="0"/>
          <w:numId w:val="2"/>
        </w:numPr>
        <w:spacing w:after="70" w:line="264"/>
        <w:jc w:val="both"/>
      </w:pPr>
      <w:r>
        <w:rPr>
          <w:rFonts w:ascii="Calibri" w:cs="Calibri" w:eastAsia="Calibri" w:hAnsi="Calibri"/>
          <w:color w:val="1A1A1A"/>
          <w:sz w:val="20"/>
          <w:szCs w:val="20"/>
        </w:rPr>
        <w:t xml:space="preserve">— Quotas de sexe avant les révisions : </w:t>
      </w:r>
      <w:r>
        <w:rPr>
          <w:rFonts w:ascii="Calibri" w:cs="Calibri" w:eastAsia="Calibri" w:hAnsi="Calibri"/>
          <w:color w:val="E91E63"/>
          <w:sz w:val="20"/>
          <w:szCs w:val="20"/>
        </w:rPr>
        <w:t xml:space="preserve">82-146 DC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2006-533 DC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Absence de « droit à la différence » et de droit des groupes (</w:t>
      </w:r>
      <w:r>
        <w:rPr>
          <w:rFonts w:ascii="Calibri" w:cs="Calibri" w:eastAsia="Calibri" w:hAnsi="Calibri"/>
          <w:color w:val="E91E63"/>
          <w:sz w:val="20"/>
          <w:szCs w:val="20"/>
        </w:rPr>
        <w:t xml:space="preserve">99-412 DC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 contournement par la révision</w:t>
      </w:r>
      <w:r>
        <w:rPr>
          <w:rFonts w:ascii="Calibri" w:cs="Calibri" w:eastAsia="Calibri" w:hAnsi="Calibri"/>
          <w:color w:val="1A1A1A"/>
          <w:sz w:val="20"/>
          <w:szCs w:val="20"/>
        </w:rPr>
        <w:t xml:space="preserve"> : seule la Constitution peut lever ces verrous. Elle l’a fait pour les femmes (1999, 2008) et pour l’outre-mer : en Nouvelle-Calédonie, l’accord de Nouméa et l’</w:t>
      </w:r>
      <w:r>
        <w:rPr>
          <w:rFonts w:ascii="Calibri" w:cs="Calibri" w:eastAsia="Calibri" w:hAnsi="Calibri"/>
          <w:color w:val="1E88E5"/>
          <w:sz w:val="20"/>
          <w:szCs w:val="20"/>
        </w:rPr>
        <w:t xml:space="preserve">art. 77</w:t>
      </w:r>
      <w:r>
        <w:rPr>
          <w:rFonts w:ascii="Calibri" w:cs="Calibri" w:eastAsia="Calibri" w:hAnsi="Calibri"/>
          <w:color w:val="1A1A1A"/>
          <w:sz w:val="20"/>
          <w:szCs w:val="20"/>
        </w:rPr>
        <w:t xml:space="preserve"> ont permis une citoyenneté calédonienne, un corps électoral restreint et une préférence pour l’emploi local ; en Polynésie, l’</w:t>
      </w:r>
      <w:r>
        <w:rPr>
          <w:rFonts w:ascii="Calibri" w:cs="Calibri" w:eastAsia="Calibri" w:hAnsi="Calibri"/>
          <w:color w:val="1E88E5"/>
          <w:sz w:val="20"/>
          <w:szCs w:val="20"/>
        </w:rPr>
        <w:t xml:space="preserve">art. 74</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 contentieux de la parité</w:t>
      </w:r>
      <w:r>
        <w:rPr>
          <w:rFonts w:ascii="Calibri" w:cs="Calibri" w:eastAsia="Calibri" w:hAnsi="Calibri"/>
          <w:color w:val="1A1A1A"/>
          <w:sz w:val="20"/>
          <w:szCs w:val="20"/>
        </w:rPr>
        <w:t xml:space="preserve"> : validation de la loi du 6 juin 2000 (</w:t>
      </w:r>
      <w:r>
        <w:rPr>
          <w:rFonts w:ascii="Calibri" w:cs="Calibri" w:eastAsia="Calibri" w:hAnsi="Calibri"/>
          <w:color w:val="E91E63"/>
          <w:sz w:val="20"/>
          <w:szCs w:val="20"/>
        </w:rPr>
        <w:t xml:space="preserve">2000-429 DC, 30 mai 2000</w:t>
      </w:r>
      <w:r>
        <w:rPr>
          <w:rFonts w:ascii="Calibri" w:cs="Calibri" w:eastAsia="Calibri" w:hAnsi="Calibri"/>
          <w:color w:val="1A1A1A"/>
          <w:sz w:val="20"/>
          <w:szCs w:val="20"/>
        </w:rPr>
        <w:t xml:space="preserve">). Selon la doctrine, la parité est soit un </w:t>
      </w:r>
      <w:r>
        <w:rPr>
          <w:rFonts w:ascii="Calibri" w:cs="Calibri" w:eastAsia="Calibri" w:hAnsi="Calibri"/>
          <w:b/>
          <w:bCs/>
          <w:color w:val="1A1A1A"/>
          <w:sz w:val="20"/>
          <w:szCs w:val="20"/>
        </w:rPr>
        <w:t xml:space="preserve">prolongement</w:t>
      </w:r>
      <w:r>
        <w:rPr>
          <w:rFonts w:ascii="Calibri" w:cs="Calibri" w:eastAsia="Calibri" w:hAnsi="Calibri"/>
          <w:color w:val="1A1A1A"/>
          <w:sz w:val="20"/>
          <w:szCs w:val="20"/>
        </w:rPr>
        <w:t xml:space="preserve"> de l’égalité, soit une </w:t>
      </w:r>
      <w:r>
        <w:rPr>
          <w:rFonts w:ascii="Calibri" w:cs="Calibri" w:eastAsia="Calibri" w:hAnsi="Calibri"/>
          <w:b/>
          <w:bCs/>
          <w:color w:val="1A1A1A"/>
          <w:sz w:val="20"/>
          <w:szCs w:val="20"/>
        </w:rPr>
        <w:t xml:space="preserve">dérogation</w:t>
      </w:r>
      <w:r>
        <w:rPr>
          <w:rFonts w:ascii="Calibri" w:cs="Calibri" w:eastAsia="Calibri" w:hAnsi="Calibri"/>
          <w:color w:val="1A1A1A"/>
          <w:sz w:val="20"/>
          <w:szCs w:val="20"/>
        </w:rPr>
        <w:t xml:space="preserve"> que le juge doit interpréter strictement.</w:t>
      </w:r>
    </w:p>
    <w:p>
      <w:pPr>
        <w:pStyle w:val="Heading3"/>
        <w:spacing w:after="90" w:before="200"/>
      </w:pPr>
      <w:r>
        <w:rPr>
          <w:rFonts w:ascii="Calibri" w:cs="Calibri" w:eastAsia="Calibri" w:hAnsi="Calibri"/>
          <w:b/>
          <w:bCs/>
          <w:i/>
          <w:iCs/>
          <w:color w:val="5A5A5A"/>
          <w:sz w:val="21"/>
          <w:szCs w:val="21"/>
        </w:rPr>
        <w:t xml:space="preserve">3.2. Le Conseil d’État</w:t>
      </w:r>
    </w:p>
    <w:p>
      <w:pPr>
        <w:pStyle w:val="ListParagraph"/>
        <w:numPr>
          <w:ilvl w:val="0"/>
          <w:numId w:val="2"/>
        </w:numPr>
        <w:spacing w:after="70" w:line="264"/>
        <w:jc w:val="both"/>
      </w:pPr>
      <w:r>
        <w:rPr>
          <w:rFonts w:ascii="Calibri" w:cs="Calibri" w:eastAsia="Calibri" w:hAnsi="Calibri"/>
          <w:b/>
          <w:bCs/>
          <w:color w:val="1A1A1A"/>
          <w:sz w:val="20"/>
          <w:szCs w:val="20"/>
        </w:rPr>
        <w:t xml:space="preserve">Tarification sociale</w:t>
      </w:r>
    </w:p>
    <w:p>
      <w:pPr>
        <w:pStyle w:val="ListParagraph"/>
        <w:numPr>
          <w:ilvl w:val="0"/>
          <w:numId w:val="2"/>
        </w:numPr>
        <w:spacing w:after="70" w:line="264"/>
        <w:jc w:val="both"/>
      </w:pPr>
      <w:r>
        <w:rPr>
          <w:rFonts w:ascii="Calibri" w:cs="Calibri" w:eastAsia="Calibri" w:hAnsi="Calibri"/>
          <w:color w:val="1A1A1A"/>
          <w:sz w:val="20"/>
          <w:szCs w:val="20"/>
        </w:rPr>
        <w:t xml:space="preserve">— Le service public peut pratiquer des tarifs différenciés en cas de loi, de différence appréciable de situation ou de nécessité d’intérêt général (</w:t>
      </w:r>
      <w:r>
        <w:rPr>
          <w:rFonts w:ascii="Calibri" w:cs="Calibri" w:eastAsia="Calibri" w:hAnsi="Calibri"/>
          <w:color w:val="E91E63"/>
          <w:sz w:val="20"/>
          <w:szCs w:val="20"/>
        </w:rPr>
        <w:t xml:space="preserve">CE, Sect., 10 mai 1974, Denoyez et Chorques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L’intérêt général qui s’attache à l’accès de tous les enfants à l’enseignement de la musique justifie la modulation des droits d’inscription au conservatoire selon les revenus des familles (</w:t>
      </w:r>
      <w:r>
        <w:rPr>
          <w:rFonts w:ascii="Calibri" w:cs="Calibri" w:eastAsia="Calibri" w:hAnsi="Calibri"/>
          <w:color w:val="E91E63"/>
          <w:sz w:val="20"/>
          <w:szCs w:val="20"/>
        </w:rPr>
        <w:t xml:space="preserve">CE, 29 décembre 1997, Commune de Gennevilliers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La formule</w:t>
      </w:r>
      <w:r>
        <w:rPr>
          <w:rFonts w:ascii="Calibri" w:cs="Calibri" w:eastAsia="Calibri" w:hAnsi="Calibri"/>
          <w:color w:val="1A1A1A"/>
          <w:sz w:val="20"/>
          <w:szCs w:val="20"/>
        </w:rPr>
        <w:t xml:space="preserve"> : la différence de traitement doit être « en rapport avec l’objet de la norme qui l’établit et ne pas être manifestement disproportionnée au regard des différences de situation susceptibles de la justifier » (</w:t>
      </w:r>
      <w:r>
        <w:rPr>
          <w:rFonts w:ascii="Calibri" w:cs="Calibri" w:eastAsia="Calibri" w:hAnsi="Calibri"/>
          <w:color w:val="E91E63"/>
          <w:sz w:val="20"/>
          <w:szCs w:val="20"/>
        </w:rPr>
        <w:t xml:space="preserve">CE, Sect., 18 décembre 2002, Mme Duvignères</w:t>
      </w:r>
      <w:r>
        <w:rPr>
          <w:rFonts w:ascii="Calibri" w:cs="Calibri" w:eastAsia="Calibri" w:hAnsi="Calibri"/>
          <w:color w:val="1A1A1A"/>
          <w:sz w:val="20"/>
          <w:szCs w:val="20"/>
        </w:rPr>
        <w:t xml:space="preserve">). L’arrêt est surtout connu pour les circulaires impératives.</w:t>
      </w:r>
    </w:p>
    <w:p>
      <w:pPr>
        <w:pStyle w:val="ListParagraph"/>
        <w:numPr>
          <w:ilvl w:val="0"/>
          <w:numId w:val="2"/>
        </w:numPr>
        <w:spacing w:after="70" w:line="264"/>
        <w:jc w:val="both"/>
      </w:pPr>
      <w:r>
        <w:rPr>
          <w:rFonts w:ascii="Calibri" w:cs="Calibri" w:eastAsia="Calibri" w:hAnsi="Calibri"/>
          <w:b/>
          <w:bCs/>
          <w:color w:val="1A1A1A"/>
          <w:sz w:val="20"/>
          <w:szCs w:val="20"/>
        </w:rPr>
        <w:t xml:space="preserve">Compétence</w:t>
      </w:r>
      <w:r>
        <w:rPr>
          <w:rFonts w:ascii="Calibri" w:cs="Calibri" w:eastAsia="Calibri" w:hAnsi="Calibri"/>
          <w:color w:val="1A1A1A"/>
          <w:sz w:val="20"/>
          <w:szCs w:val="20"/>
        </w:rPr>
        <w:t xml:space="preserve"> : seule la loi peut mettre en œuvre les objectifs de parité autorisés par la Constitution (</w:t>
      </w:r>
      <w:r>
        <w:rPr>
          <w:rFonts w:ascii="Calibri" w:cs="Calibri" w:eastAsia="Calibri" w:hAnsi="Calibri"/>
          <w:color w:val="E91E63"/>
          <w:sz w:val="20"/>
          <w:szCs w:val="20"/>
        </w:rPr>
        <w:t xml:space="preserve">CE, 7 mai 2013, Fédération CFTC de l’agriculture</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3.3. La Cour européenne des droits de l’homme</w:t>
      </w:r>
    </w:p>
    <w:p>
      <w:pPr>
        <w:pStyle w:val="ListParagraph"/>
        <w:numPr>
          <w:ilvl w:val="0"/>
          <w:numId w:val="2"/>
        </w:numPr>
        <w:spacing w:after="70" w:line="264"/>
        <w:jc w:val="both"/>
      </w:pPr>
      <w:r>
        <w:rPr>
          <w:rFonts w:ascii="Calibri" w:cs="Calibri" w:eastAsia="Calibri" w:hAnsi="Calibri"/>
          <w:b/>
          <w:bCs/>
          <w:color w:val="1A1A1A"/>
          <w:sz w:val="20"/>
          <w:szCs w:val="20"/>
        </w:rPr>
        <w:t xml:space="preserve">Deux logiques</w:t>
      </w:r>
    </w:p>
    <w:p>
      <w:pPr>
        <w:pStyle w:val="ListParagraph"/>
        <w:numPr>
          <w:ilvl w:val="0"/>
          <w:numId w:val="2"/>
        </w:numPr>
        <w:spacing w:after="70" w:line="264"/>
        <w:jc w:val="both"/>
      </w:pPr>
      <w:r>
        <w:rPr>
          <w:rFonts w:ascii="Calibri" w:cs="Calibri" w:eastAsia="Calibri" w:hAnsi="Calibri"/>
          <w:color w:val="1A1A1A"/>
          <w:sz w:val="20"/>
          <w:szCs w:val="20"/>
        </w:rPr>
        <w:t xml:space="preserve">— Le refus de toute distinction fondée sur l’origine ethnique : une telle différence ne peut être objectivement justifiée dans une société démocratique (</w:t>
      </w:r>
      <w:r>
        <w:rPr>
          <w:rFonts w:ascii="Calibri" w:cs="Calibri" w:eastAsia="Calibri" w:hAnsi="Calibri"/>
          <w:color w:val="E91E63"/>
          <w:sz w:val="20"/>
          <w:szCs w:val="20"/>
        </w:rPr>
        <w:t xml:space="preserve">Timichev</w:t>
      </w:r>
      <w:r>
        <w:rPr>
          <w:rFonts w:ascii="Calibri" w:cs="Calibri" w:eastAsia="Calibri" w:hAnsi="Calibri"/>
          <w:color w:val="1A1A1A"/>
          <w:sz w:val="20"/>
          <w:szCs w:val="20"/>
        </w:rPr>
        <w:t xml:space="preserve">, 2005). Le critère appelle une interprétation « aussi stricte que possible » de la justification (</w:t>
      </w:r>
      <w:r>
        <w:rPr>
          <w:rFonts w:ascii="Calibri" w:cs="Calibri" w:eastAsia="Calibri" w:hAnsi="Calibri"/>
          <w:color w:val="E91E63"/>
          <w:sz w:val="20"/>
          <w:szCs w:val="20"/>
        </w:rPr>
        <w:t xml:space="preserve">D.H.</w:t>
      </w:r>
      <w:r>
        <w:rPr>
          <w:rFonts w:ascii="Calibri" w:cs="Calibri" w:eastAsia="Calibri" w:hAnsi="Calibri"/>
          <w:color w:val="1A1A1A"/>
          <w:sz w:val="20"/>
          <w:szCs w:val="20"/>
        </w:rPr>
        <w:t xml:space="preserve">, 2007 ; </w:t>
      </w:r>
      <w:r>
        <w:rPr>
          <w:rFonts w:ascii="Calibri" w:cs="Calibri" w:eastAsia="Calibri" w:hAnsi="Calibri"/>
          <w:color w:val="E91E63"/>
          <w:sz w:val="20"/>
          <w:szCs w:val="20"/>
        </w:rPr>
        <w:t xml:space="preserve">Sampanis c. Grèce</w:t>
      </w:r>
      <w:r>
        <w:rPr>
          <w:rFonts w:ascii="Calibri" w:cs="Calibri" w:eastAsia="Calibri" w:hAnsi="Calibri"/>
          <w:color w:val="1A1A1A"/>
          <w:sz w:val="20"/>
          <w:szCs w:val="20"/>
        </w:rPr>
        <w:t xml:space="preserve">, 5 juin 2008), et seules des « considérations très fortes » peuvent justifier une différence fondée exclusivement sur l’origine ethnique (</w:t>
      </w:r>
      <w:r>
        <w:rPr>
          <w:rFonts w:ascii="Calibri" w:cs="Calibri" w:eastAsia="Calibri" w:hAnsi="Calibri"/>
          <w:color w:val="E91E63"/>
          <w:sz w:val="20"/>
          <w:szCs w:val="20"/>
        </w:rPr>
        <w:t xml:space="preserve">Oršuš</w:t>
      </w:r>
      <w:r>
        <w:rPr>
          <w:rFonts w:ascii="Calibri" w:cs="Calibri" w:eastAsia="Calibri" w:hAnsi="Calibri"/>
          <w:color w:val="1A1A1A"/>
          <w:sz w:val="20"/>
          <w:szCs w:val="20"/>
        </w:rPr>
        <w:t xml:space="preserve">, GC, 16 mars 2010 : classes séparées pour les enfants roms en raison de leur maîtrise du croate).</w:t>
      </w:r>
    </w:p>
    <w:p>
      <w:pPr>
        <w:pStyle w:val="ListParagraph"/>
        <w:numPr>
          <w:ilvl w:val="0"/>
          <w:numId w:val="2"/>
        </w:numPr>
        <w:spacing w:after="70" w:line="264"/>
        <w:jc w:val="both"/>
      </w:pPr>
      <w:r>
        <w:rPr>
          <w:rFonts w:ascii="Calibri" w:cs="Calibri" w:eastAsia="Calibri" w:hAnsi="Calibri"/>
          <w:color w:val="1A1A1A"/>
          <w:sz w:val="20"/>
          <w:szCs w:val="20"/>
        </w:rPr>
        <w:t xml:space="preserve">— L’admission de corrections : l’</w:t>
      </w:r>
      <w:r>
        <w:rPr>
          <w:rFonts w:ascii="Calibri" w:cs="Calibri" w:eastAsia="Calibri" w:hAnsi="Calibri"/>
          <w:color w:val="1E88E5"/>
          <w:sz w:val="20"/>
          <w:szCs w:val="20"/>
        </w:rPr>
        <w:t xml:space="preserve">art. 14</w:t>
      </w:r>
      <w:r>
        <w:rPr>
          <w:rFonts w:ascii="Calibri" w:cs="Calibri" w:eastAsia="Calibri" w:hAnsi="Calibri"/>
          <w:color w:val="1A1A1A"/>
          <w:sz w:val="20"/>
          <w:szCs w:val="20"/>
        </w:rPr>
        <w:t xml:space="preserve"> n’interdit pas de traiter différemment des groupes pour corriger des « inégalités factuelles ». L’âge de la retraite différencié entre hommes et femmes était justifié à l’origine par la situation économique défavorable des femmes (</w:t>
      </w:r>
      <w:r>
        <w:rPr>
          <w:rFonts w:ascii="Calibri" w:cs="Calibri" w:eastAsia="Calibri" w:hAnsi="Calibri"/>
          <w:color w:val="E91E63"/>
          <w:sz w:val="20"/>
          <w:szCs w:val="20"/>
        </w:rPr>
        <w:t xml:space="preserve">Stec et autres c. Royaume-Uni</w:t>
      </w:r>
      <w:r>
        <w:rPr>
          <w:rFonts w:ascii="Calibri" w:cs="Calibri" w:eastAsia="Calibri" w:hAnsi="Calibri"/>
          <w:color w:val="1A1A1A"/>
          <w:sz w:val="20"/>
          <w:szCs w:val="20"/>
        </w:rPr>
        <w:t xml:space="preserve">, GC, 12 avril 2006).</w:t>
      </w:r>
    </w:p>
    <w:p>
      <w:pPr>
        <w:pStyle w:val="ListParagraph"/>
        <w:numPr>
          <w:ilvl w:val="0"/>
          <w:numId w:val="2"/>
        </w:numPr>
        <w:spacing w:after="70" w:line="264"/>
        <w:jc w:val="both"/>
      </w:pPr>
      <w:r>
        <w:rPr>
          <w:rFonts w:ascii="Calibri" w:cs="Calibri" w:eastAsia="Calibri" w:hAnsi="Calibri"/>
          <w:b/>
          <w:bCs/>
          <w:color w:val="1A1A1A"/>
          <w:sz w:val="20"/>
          <w:szCs w:val="20"/>
        </w:rPr>
        <w:t xml:space="preserve">L’aménagement raisonnable</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14</w:t>
      </w:r>
      <w:r>
        <w:rPr>
          <w:rFonts w:ascii="Calibri" w:cs="Calibri" w:eastAsia="Calibri" w:hAnsi="Calibri"/>
          <w:color w:val="1A1A1A"/>
          <w:sz w:val="20"/>
          <w:szCs w:val="20"/>
        </w:rPr>
        <w:t xml:space="preserve">, lu à la lumière de la CRPD, impose des aménagements raisonnables pour l’accès à l’éducation des personnes handicapées. Le refus d’inscrire une étudiante aveugle au conservatoire de musique viole l’</w:t>
      </w:r>
      <w:r>
        <w:rPr>
          <w:rFonts w:ascii="Calibri" w:cs="Calibri" w:eastAsia="Calibri" w:hAnsi="Calibri"/>
          <w:color w:val="1E88E5"/>
          <w:sz w:val="20"/>
          <w:szCs w:val="20"/>
        </w:rPr>
        <w:t xml:space="preserve">art. 14</w:t>
      </w:r>
      <w:r>
        <w:rPr>
          <w:rFonts w:ascii="Calibri" w:cs="Calibri" w:eastAsia="Calibri" w:hAnsi="Calibri"/>
          <w:color w:val="1A1A1A"/>
          <w:sz w:val="20"/>
          <w:szCs w:val="20"/>
        </w:rPr>
        <w:t xml:space="preserve"> combiné avec l’</w:t>
      </w:r>
      <w:r>
        <w:rPr>
          <w:rFonts w:ascii="Calibri" w:cs="Calibri" w:eastAsia="Calibri" w:hAnsi="Calibri"/>
          <w:color w:val="1E88E5"/>
          <w:sz w:val="20"/>
          <w:szCs w:val="20"/>
        </w:rPr>
        <w:t xml:space="preserve">art. 2 Prot. 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Çam c. Turquie</w:t>
      </w:r>
      <w:r>
        <w:rPr>
          <w:rFonts w:ascii="Calibri" w:cs="Calibri" w:eastAsia="Calibri" w:hAnsi="Calibri"/>
          <w:color w:val="1A1A1A"/>
          <w:sz w:val="20"/>
          <w:szCs w:val="20"/>
        </w:rPr>
        <w:t xml:space="preserve">, 23 février 2016).</w:t>
      </w:r>
    </w:p>
    <w:p>
      <w:pPr>
        <w:pStyle w:val="Heading3"/>
        <w:spacing w:after="90" w:before="200"/>
      </w:pPr>
      <w:r>
        <w:rPr>
          <w:rFonts w:ascii="Calibri" w:cs="Calibri" w:eastAsia="Calibri" w:hAnsi="Calibri"/>
          <w:b/>
          <w:bCs/>
          <w:i/>
          <w:iCs/>
          <w:color w:val="5A5A5A"/>
          <w:sz w:val="21"/>
          <w:szCs w:val="21"/>
        </w:rPr>
        <w:t xml:space="preserve">3.4. La Cour de justice</w:t>
      </w:r>
    </w:p>
    <w:p>
      <w:pPr>
        <w:pStyle w:val="ListParagraph"/>
        <w:numPr>
          <w:ilvl w:val="0"/>
          <w:numId w:val="2"/>
        </w:numPr>
        <w:spacing w:after="70" w:line="264"/>
        <w:jc w:val="both"/>
      </w:pPr>
      <w:r>
        <w:rPr>
          <w:rFonts w:ascii="Calibri" w:cs="Calibri" w:eastAsia="Calibri" w:hAnsi="Calibri"/>
          <w:b/>
          <w:bCs/>
          <w:color w:val="1A1A1A"/>
          <w:sz w:val="20"/>
          <w:szCs w:val="20"/>
        </w:rPr>
        <w:t xml:space="preserve">Les actions positives dans l’emploi</w:t>
      </w:r>
    </w:p>
    <w:p>
      <w:pPr>
        <w:pStyle w:val="ListParagraph"/>
        <w:numPr>
          <w:ilvl w:val="0"/>
          <w:numId w:val="2"/>
        </w:numPr>
        <w:spacing w:after="70" w:line="264"/>
        <w:jc w:val="both"/>
      </w:pPr>
      <w:r>
        <w:rPr>
          <w:rFonts w:ascii="Calibri" w:cs="Calibri" w:eastAsia="Calibri" w:hAnsi="Calibri"/>
          <w:color w:val="1A1A1A"/>
          <w:sz w:val="20"/>
          <w:szCs w:val="20"/>
        </w:rPr>
        <w:t xml:space="preserve">— Priorité automatique censurée (</w:t>
      </w:r>
      <w:r>
        <w:rPr>
          <w:rFonts w:ascii="Calibri" w:cs="Calibri" w:eastAsia="Calibri" w:hAnsi="Calibri"/>
          <w:color w:val="E91E63"/>
          <w:sz w:val="20"/>
          <w:szCs w:val="20"/>
        </w:rPr>
        <w:t xml:space="preserve">Kalanke</w:t>
      </w:r>
      <w:r>
        <w:rPr>
          <w:rFonts w:ascii="Calibri" w:cs="Calibri" w:eastAsia="Calibri" w:hAnsi="Calibri"/>
          <w:color w:val="1A1A1A"/>
          <w:sz w:val="20"/>
          <w:szCs w:val="20"/>
        </w:rPr>
        <w:t xml:space="preserve">, 1995).</w:t>
      </w:r>
    </w:p>
    <w:p>
      <w:pPr>
        <w:pStyle w:val="ListParagraph"/>
        <w:numPr>
          <w:ilvl w:val="0"/>
          <w:numId w:val="2"/>
        </w:numPr>
        <w:spacing w:after="70" w:line="264"/>
        <w:jc w:val="both"/>
      </w:pPr>
      <w:r>
        <w:rPr>
          <w:rFonts w:ascii="Calibri" w:cs="Calibri" w:eastAsia="Calibri" w:hAnsi="Calibri"/>
          <w:color w:val="1A1A1A"/>
          <w:sz w:val="20"/>
          <w:szCs w:val="20"/>
        </w:rPr>
        <w:t xml:space="preserve">— Priorité avec clause d’ouverture admise (</w:t>
      </w:r>
      <w:r>
        <w:rPr>
          <w:rFonts w:ascii="Calibri" w:cs="Calibri" w:eastAsia="Calibri" w:hAnsi="Calibri"/>
          <w:color w:val="E91E63"/>
          <w:sz w:val="20"/>
          <w:szCs w:val="20"/>
        </w:rPr>
        <w:t xml:space="preserve">Marschall</w:t>
      </w:r>
      <w:r>
        <w:rPr>
          <w:rFonts w:ascii="Calibri" w:cs="Calibri" w:eastAsia="Calibri" w:hAnsi="Calibri"/>
          <w:color w:val="1A1A1A"/>
          <w:sz w:val="20"/>
          <w:szCs w:val="20"/>
        </w:rPr>
        <w:t xml:space="preserve">, 1997 ; </w:t>
      </w:r>
      <w:r>
        <w:rPr>
          <w:rFonts w:ascii="Calibri" w:cs="Calibri" w:eastAsia="Calibri" w:hAnsi="Calibri"/>
          <w:color w:val="E91E63"/>
          <w:sz w:val="20"/>
          <w:szCs w:val="20"/>
        </w:rPr>
        <w:t xml:space="preserve">Badeck</w:t>
      </w:r>
      <w:r>
        <w:rPr>
          <w:rFonts w:ascii="Calibri" w:cs="Calibri" w:eastAsia="Calibri" w:hAnsi="Calibri"/>
          <w:color w:val="1A1A1A"/>
          <w:sz w:val="20"/>
          <w:szCs w:val="20"/>
        </w:rPr>
        <w:t xml:space="preserve">, 28 mars 2000).</w:t>
      </w:r>
    </w:p>
    <w:p>
      <w:pPr>
        <w:pStyle w:val="ListParagraph"/>
        <w:numPr>
          <w:ilvl w:val="0"/>
          <w:numId w:val="2"/>
        </w:numPr>
        <w:spacing w:after="70" w:line="264"/>
        <w:jc w:val="both"/>
      </w:pPr>
      <w:r>
        <w:rPr>
          <w:rFonts w:ascii="Calibri" w:cs="Calibri" w:eastAsia="Calibri" w:hAnsi="Calibri"/>
          <w:color w:val="1A1A1A"/>
          <w:sz w:val="20"/>
          <w:szCs w:val="20"/>
        </w:rPr>
        <w:t xml:space="preserve">— Préférence pour un candidat moins qualifié censurée (</w:t>
      </w:r>
      <w:r>
        <w:rPr>
          <w:rFonts w:ascii="Calibri" w:cs="Calibri" w:eastAsia="Calibri" w:hAnsi="Calibri"/>
          <w:color w:val="E91E63"/>
          <w:sz w:val="20"/>
          <w:szCs w:val="20"/>
        </w:rPr>
        <w:t xml:space="preserve">Abrahamsson</w:t>
      </w:r>
      <w:r>
        <w:rPr>
          <w:rFonts w:ascii="Calibri" w:cs="Calibri" w:eastAsia="Calibri" w:hAnsi="Calibri"/>
          <w:color w:val="1A1A1A"/>
          <w:sz w:val="20"/>
          <w:szCs w:val="20"/>
        </w:rPr>
        <w:t xml:space="preserve">, 6 juillet 2000).</w:t>
      </w:r>
    </w:p>
    <w:p>
      <w:pPr>
        <w:pStyle w:val="ListParagraph"/>
        <w:numPr>
          <w:ilvl w:val="0"/>
          <w:numId w:val="2"/>
        </w:numPr>
        <w:spacing w:after="70" w:line="264"/>
        <w:jc w:val="both"/>
      </w:pPr>
      <w:r>
        <w:rPr>
          <w:rFonts w:ascii="Calibri" w:cs="Calibri" w:eastAsia="Calibri" w:hAnsi="Calibri"/>
          <w:color w:val="1A1A1A"/>
          <w:sz w:val="20"/>
          <w:szCs w:val="20"/>
        </w:rPr>
        <w:t xml:space="preserve">— Places de crèche réservées aux enfants des fonctionnaires femmes admises, sous réserve d’une exception pour les pères élevant seuls leurs enfants (</w:t>
      </w:r>
      <w:r>
        <w:rPr>
          <w:rFonts w:ascii="Calibri" w:cs="Calibri" w:eastAsia="Calibri" w:hAnsi="Calibri"/>
          <w:color w:val="E91E63"/>
          <w:sz w:val="20"/>
          <w:szCs w:val="20"/>
        </w:rPr>
        <w:t xml:space="preserve">Lommers</w:t>
      </w:r>
      <w:r>
        <w:rPr>
          <w:rFonts w:ascii="Calibri" w:cs="Calibri" w:eastAsia="Calibri" w:hAnsi="Calibri"/>
          <w:color w:val="1A1A1A"/>
          <w:sz w:val="20"/>
          <w:szCs w:val="20"/>
        </w:rPr>
        <w:t xml:space="preserve">, 19 mars 2002).</w:t>
      </w:r>
    </w:p>
    <w:p>
      <w:pPr>
        <w:pStyle w:val="ListParagraph"/>
        <w:numPr>
          <w:ilvl w:val="0"/>
          <w:numId w:val="2"/>
        </w:numPr>
        <w:spacing w:after="70" w:line="264"/>
        <w:jc w:val="both"/>
      </w:pPr>
      <w:r>
        <w:rPr>
          <w:rFonts w:ascii="Calibri" w:cs="Calibri" w:eastAsia="Calibri" w:hAnsi="Calibri"/>
          <w:b/>
          <w:bCs/>
          <w:color w:val="1A1A1A"/>
          <w:sz w:val="20"/>
          <w:szCs w:val="20"/>
        </w:rPr>
        <w:t xml:space="preserve">Les avantages familiaux de retraite</w:t>
      </w:r>
    </w:p>
    <w:p>
      <w:pPr>
        <w:pStyle w:val="ListParagraph"/>
        <w:numPr>
          <w:ilvl w:val="0"/>
          <w:numId w:val="2"/>
        </w:numPr>
        <w:spacing w:after="70" w:line="264"/>
        <w:jc w:val="both"/>
      </w:pPr>
      <w:r>
        <w:rPr>
          <w:rFonts w:ascii="Calibri" w:cs="Calibri" w:eastAsia="Calibri" w:hAnsi="Calibri"/>
          <w:color w:val="1A1A1A"/>
          <w:sz w:val="20"/>
          <w:szCs w:val="20"/>
        </w:rPr>
        <w:t xml:space="preserve">— La bonification d’un an par enfant réservée aux mères fonctionnaires est discriminatoire, car elle compense l’éducation des enfants, que les pères peuvent assumer (</w:t>
      </w:r>
      <w:r>
        <w:rPr>
          <w:rFonts w:ascii="Calibri" w:cs="Calibri" w:eastAsia="Calibri" w:hAnsi="Calibri"/>
          <w:color w:val="E91E63"/>
          <w:sz w:val="20"/>
          <w:szCs w:val="20"/>
        </w:rPr>
        <w:t xml:space="preserve">CJCE, 29 novembre 2001, Griesmar, C-366/99</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La réforme française qui conditionne l’avantage à une interruption d’activité d’au moins deux mois crée une discrimination indirecte, la condition étant rarement remplie par les hommes (</w:t>
      </w:r>
      <w:r>
        <w:rPr>
          <w:rFonts w:ascii="Calibri" w:cs="Calibri" w:eastAsia="Calibri" w:hAnsi="Calibri"/>
          <w:color w:val="E91E63"/>
          <w:sz w:val="20"/>
          <w:szCs w:val="20"/>
        </w:rPr>
        <w:t xml:space="preserve">CJUE, 17 juillet 2014, Leone, C-173/13</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Voir aussi </w:t>
      </w:r>
      <w:r>
        <w:rPr>
          <w:rFonts w:ascii="Calibri" w:cs="Calibri" w:eastAsia="Calibri" w:hAnsi="Calibri"/>
          <w:color w:val="E91E63"/>
          <w:sz w:val="20"/>
          <w:szCs w:val="20"/>
        </w:rPr>
        <w:t xml:space="preserve">CJUE, 30 septembre 2010, Roca Álvarez, C-104/09</w:t>
      </w:r>
      <w:r>
        <w:rPr>
          <w:rFonts w:ascii="Calibri" w:cs="Calibri" w:eastAsia="Calibri" w:hAnsi="Calibri"/>
          <w:color w:val="1A1A1A"/>
          <w:sz w:val="20"/>
          <w:szCs w:val="20"/>
        </w:rPr>
        <w:t xml:space="preserve"> (congé d’allaitement réservé aux mères salariées).</w:t>
      </w:r>
    </w:p>
    <w:p>
      <w:pPr>
        <w:pStyle w:val="ListParagraph"/>
        <w:numPr>
          <w:ilvl w:val="0"/>
          <w:numId w:val="2"/>
        </w:numPr>
        <w:spacing w:after="70" w:line="264"/>
        <w:jc w:val="both"/>
      </w:pPr>
      <w:r>
        <w:rPr>
          <w:rFonts w:ascii="Calibri" w:cs="Calibri" w:eastAsia="Calibri" w:hAnsi="Calibri"/>
          <w:b/>
          <w:bCs/>
          <w:color w:val="1A1A1A"/>
          <w:sz w:val="20"/>
          <w:szCs w:val="20"/>
        </w:rPr>
        <w:t xml:space="preserve">Le dilemme</w:t>
      </w:r>
    </w:p>
    <w:p>
      <w:pPr>
        <w:pStyle w:val="ListParagraph"/>
        <w:numPr>
          <w:ilvl w:val="0"/>
          <w:numId w:val="2"/>
        </w:numPr>
        <w:spacing w:after="70" w:line="264"/>
        <w:jc w:val="both"/>
      </w:pPr>
      <w:r>
        <w:rPr>
          <w:rFonts w:ascii="Calibri" w:cs="Calibri" w:eastAsia="Calibri" w:hAnsi="Calibri"/>
          <w:color w:val="1A1A1A"/>
          <w:sz w:val="20"/>
          <w:szCs w:val="20"/>
        </w:rPr>
        <w:t xml:space="preserve">— Ne pas compenser les charges familiales appauvrit les femmes, dont la pension est en moyenne inférieure de près de 40 % à celle des hommes selon le fascicule.</w:t>
      </w:r>
    </w:p>
    <w:p>
      <w:pPr>
        <w:pStyle w:val="ListParagraph"/>
        <w:numPr>
          <w:ilvl w:val="0"/>
          <w:numId w:val="2"/>
        </w:numPr>
        <w:spacing w:after="70" w:line="264"/>
        <w:jc w:val="both"/>
      </w:pPr>
      <w:r>
        <w:rPr>
          <w:rFonts w:ascii="Calibri" w:cs="Calibri" w:eastAsia="Calibri" w:hAnsi="Calibri"/>
          <w:color w:val="1A1A1A"/>
          <w:sz w:val="20"/>
          <w:szCs w:val="20"/>
        </w:rPr>
        <w:t xml:space="preserve">— Les compenser entérine la division sexuée du travail.</w:t>
      </w:r>
    </w:p>
    <w:p>
      <w:pPr>
        <w:pStyle w:val="ListParagraph"/>
        <w:numPr>
          <w:ilvl w:val="0"/>
          <w:numId w:val="2"/>
        </w:numPr>
        <w:spacing w:after="70" w:line="264"/>
        <w:jc w:val="both"/>
      </w:pPr>
      <w:r>
        <w:rPr>
          <w:rFonts w:ascii="Calibri" w:cs="Calibri" w:eastAsia="Calibri" w:hAnsi="Calibri"/>
          <w:color w:val="1A1A1A"/>
          <w:sz w:val="20"/>
          <w:szCs w:val="20"/>
        </w:rPr>
        <w:t xml:space="preserve">— La Cour privilégie l’élimination des stéréotypes ; la France, une égalité matérielle.</w:t>
      </w:r>
    </w:p>
    <w:p>
      <w:pPr>
        <w:pStyle w:val="Heading2"/>
        <w:spacing w:after="120" w:before="280"/>
      </w:pPr>
      <w:r>
        <w:rPr>
          <w:rFonts w:ascii="Calibri" w:cs="Calibri" w:eastAsia="Calibri" w:hAnsi="Calibri"/>
          <w:b/>
          <w:bCs/>
          <w:color w:val="1A1A1A"/>
          <w:sz w:val="24"/>
          <w:szCs w:val="24"/>
        </w:rPr>
        <w:t xml:space="preserve">4. Critiques et perspectives</w:t>
      </w:r>
    </w:p>
    <w:p>
      <w:pPr>
        <w:pStyle w:val="ListParagraph"/>
        <w:numPr>
          <w:ilvl w:val="0"/>
          <w:numId w:val="2"/>
        </w:numPr>
        <w:spacing w:after="70" w:line="264"/>
        <w:jc w:val="both"/>
      </w:pPr>
      <w:r>
        <w:rPr>
          <w:rFonts w:ascii="Calibri" w:cs="Calibri" w:eastAsia="Calibri" w:hAnsi="Calibri"/>
          <w:b/>
          <w:bCs/>
          <w:color w:val="1A1A1A"/>
          <w:sz w:val="20"/>
          <w:szCs w:val="20"/>
        </w:rPr>
        <w:t xml:space="preserve">Les arguments contre</w:t>
      </w:r>
    </w:p>
    <w:p>
      <w:pPr>
        <w:pStyle w:val="ListParagraph"/>
        <w:numPr>
          <w:ilvl w:val="0"/>
          <w:numId w:val="2"/>
        </w:numPr>
        <w:spacing w:after="70" w:line="264"/>
        <w:jc w:val="both"/>
      </w:pPr>
      <w:r>
        <w:rPr>
          <w:rFonts w:ascii="Calibri" w:cs="Calibri" w:eastAsia="Calibri" w:hAnsi="Calibri"/>
          <w:color w:val="1A1A1A"/>
          <w:sz w:val="20"/>
          <w:szCs w:val="20"/>
        </w:rPr>
        <w:t xml:space="preserve">— Atteinte au mérite et à l’égalité formelle.</w:t>
      </w:r>
    </w:p>
    <w:p>
      <w:pPr>
        <w:pStyle w:val="ListParagraph"/>
        <w:numPr>
          <w:ilvl w:val="0"/>
          <w:numId w:val="2"/>
        </w:numPr>
        <w:spacing w:after="70" w:line="264"/>
        <w:jc w:val="both"/>
      </w:pPr>
      <w:r>
        <w:rPr>
          <w:rFonts w:ascii="Calibri" w:cs="Calibri" w:eastAsia="Calibri" w:hAnsi="Calibri"/>
          <w:color w:val="1A1A1A"/>
          <w:sz w:val="20"/>
          <w:szCs w:val="20"/>
        </w:rPr>
        <w:t xml:space="preserve">— Stigmatisation des bénéficiaires, soupçonnés de ne pas mériter leur place.</w:t>
      </w:r>
    </w:p>
    <w:p>
      <w:pPr>
        <w:pStyle w:val="ListParagraph"/>
        <w:numPr>
          <w:ilvl w:val="0"/>
          <w:numId w:val="2"/>
        </w:numPr>
        <w:spacing w:after="70" w:line="264"/>
        <w:jc w:val="both"/>
      </w:pPr>
      <w:r>
        <w:rPr>
          <w:rFonts w:ascii="Calibri" w:cs="Calibri" w:eastAsia="Calibri" w:hAnsi="Calibri"/>
          <w:color w:val="1A1A1A"/>
          <w:sz w:val="20"/>
          <w:szCs w:val="20"/>
        </w:rPr>
        <w:t xml:space="preserve">— Assignation identitaire et risque « communautariste ».</w:t>
      </w:r>
    </w:p>
    <w:p>
      <w:pPr>
        <w:pStyle w:val="ListParagraph"/>
        <w:numPr>
          <w:ilvl w:val="0"/>
          <w:numId w:val="2"/>
        </w:numPr>
        <w:spacing w:after="70" w:line="264"/>
        <w:jc w:val="both"/>
      </w:pPr>
      <w:r>
        <w:rPr>
          <w:rFonts w:ascii="Calibri" w:cs="Calibri" w:eastAsia="Calibri" w:hAnsi="Calibri"/>
          <w:color w:val="1A1A1A"/>
          <w:sz w:val="20"/>
          <w:szCs w:val="20"/>
        </w:rPr>
        <w:t xml:space="preserve">— Effets pervers : égalité intra-catégorielle, inégalités inter-catégorielles.</w:t>
      </w:r>
    </w:p>
    <w:p>
      <w:pPr>
        <w:pStyle w:val="ListParagraph"/>
        <w:numPr>
          <w:ilvl w:val="0"/>
          <w:numId w:val="2"/>
        </w:numPr>
        <w:spacing w:after="70" w:line="264"/>
        <w:jc w:val="both"/>
      </w:pPr>
      <w:r>
        <w:rPr>
          <w:rFonts w:ascii="Calibri" w:cs="Calibri" w:eastAsia="Calibri" w:hAnsi="Calibri"/>
          <w:color w:val="1A1A1A"/>
          <w:sz w:val="20"/>
          <w:szCs w:val="20"/>
        </w:rPr>
        <w:t xml:space="preserve">— Mesures temporaires qui deviennent permanentes.</w:t>
      </w:r>
    </w:p>
    <w:p>
      <w:pPr>
        <w:pStyle w:val="ListParagraph"/>
        <w:numPr>
          <w:ilvl w:val="0"/>
          <w:numId w:val="2"/>
        </w:numPr>
        <w:spacing w:after="70" w:line="264"/>
        <w:jc w:val="both"/>
      </w:pPr>
      <w:r>
        <w:rPr>
          <w:rFonts w:ascii="Calibri" w:cs="Calibri" w:eastAsia="Calibri" w:hAnsi="Calibri"/>
          <w:b/>
          <w:bCs/>
          <w:color w:val="1A1A1A"/>
          <w:sz w:val="20"/>
          <w:szCs w:val="20"/>
        </w:rPr>
        <w:t xml:space="preserve">Les arguments pour</w:t>
      </w:r>
    </w:p>
    <w:p>
      <w:pPr>
        <w:pStyle w:val="ListParagraph"/>
        <w:numPr>
          <w:ilvl w:val="0"/>
          <w:numId w:val="2"/>
        </w:numPr>
        <w:spacing w:after="70" w:line="264"/>
        <w:jc w:val="both"/>
      </w:pPr>
      <w:r>
        <w:rPr>
          <w:rFonts w:ascii="Calibri" w:cs="Calibri" w:eastAsia="Calibri" w:hAnsi="Calibri"/>
          <w:color w:val="1A1A1A"/>
          <w:sz w:val="20"/>
          <w:szCs w:val="20"/>
        </w:rPr>
        <w:t xml:space="preserve">— L’égalité formelle reproduit les inégalités de départ.</w:t>
      </w:r>
    </w:p>
    <w:p>
      <w:pPr>
        <w:pStyle w:val="ListParagraph"/>
        <w:numPr>
          <w:ilvl w:val="0"/>
          <w:numId w:val="2"/>
        </w:numPr>
        <w:spacing w:after="70" w:line="264"/>
        <w:jc w:val="both"/>
      </w:pPr>
      <w:r>
        <w:rPr>
          <w:rFonts w:ascii="Calibri" w:cs="Calibri" w:eastAsia="Calibri" w:hAnsi="Calibri"/>
          <w:color w:val="1A1A1A"/>
          <w:sz w:val="20"/>
          <w:szCs w:val="20"/>
        </w:rPr>
        <w:t xml:space="preserve">— L’</w:t>
      </w:r>
      <w:r>
        <w:rPr>
          <w:rFonts w:ascii="Calibri" w:cs="Calibri" w:eastAsia="Calibri" w:hAnsi="Calibri"/>
          <w:color w:val="1E88E5"/>
          <w:sz w:val="20"/>
          <w:szCs w:val="20"/>
        </w:rPr>
        <w:t xml:space="preserve">art. 1er DDHC</w:t>
      </w:r>
      <w:r>
        <w:rPr>
          <w:rFonts w:ascii="Calibri" w:cs="Calibri" w:eastAsia="Calibri" w:hAnsi="Calibri"/>
          <w:color w:val="1A1A1A"/>
          <w:sz w:val="20"/>
          <w:szCs w:val="20"/>
        </w:rPr>
        <w:t xml:space="preserve"> autorise les distinctions fondées sur « l’utilité commune ».</w:t>
      </w:r>
    </w:p>
    <w:p>
      <w:pPr>
        <w:pStyle w:val="ListParagraph"/>
        <w:numPr>
          <w:ilvl w:val="0"/>
          <w:numId w:val="2"/>
        </w:numPr>
        <w:spacing w:after="70" w:line="264"/>
        <w:jc w:val="both"/>
      </w:pPr>
      <w:r>
        <w:rPr>
          <w:rFonts w:ascii="Calibri" w:cs="Calibri" w:eastAsia="Calibri" w:hAnsi="Calibri"/>
          <w:color w:val="1A1A1A"/>
          <w:sz w:val="20"/>
          <w:szCs w:val="20"/>
        </w:rPr>
        <w:t xml:space="preserve">— La justice distributive de </w:t>
      </w:r>
      <w:r>
        <w:rPr>
          <w:rFonts w:ascii="Calibri" w:cs="Calibri" w:eastAsia="Calibri" w:hAnsi="Calibri"/>
          <w:color w:val="2E7D32"/>
          <w:sz w:val="20"/>
          <w:szCs w:val="20"/>
        </w:rPr>
        <w:t xml:space="preserve">John Rawls</w:t>
      </w:r>
      <w:r>
        <w:rPr>
          <w:rFonts w:ascii="Calibri" w:cs="Calibri" w:eastAsia="Calibri" w:hAnsi="Calibri"/>
          <w:color w:val="1A1A1A"/>
          <w:sz w:val="20"/>
          <w:szCs w:val="20"/>
        </w:rPr>
        <w:t xml:space="preserve"> : le principe de différence, selon lequel les inégalités ne sont justes que si elles profitent aux plus défavorisés (</w:t>
      </w:r>
      <w:r>
        <w:rPr>
          <w:rFonts w:ascii="Calibri" w:cs="Calibri" w:eastAsia="Calibri" w:hAnsi="Calibri"/>
          <w:color w:val="2E7D32"/>
          <w:sz w:val="20"/>
          <w:szCs w:val="20"/>
        </w:rPr>
        <w:t xml:space="preserve">Théorie de la justice</w:t>
      </w:r>
      <w:r>
        <w:rPr>
          <w:rFonts w:ascii="Calibri" w:cs="Calibri" w:eastAsia="Calibri" w:hAnsi="Calibri"/>
          <w:color w:val="1A1A1A"/>
          <w:sz w:val="20"/>
          <w:szCs w:val="20"/>
        </w:rPr>
        <w:t xml:space="preserve">, 1971).</w:t>
      </w:r>
    </w:p>
    <w:p>
      <w:pPr>
        <w:pStyle w:val="ListParagraph"/>
        <w:numPr>
          <w:ilvl w:val="0"/>
          <w:numId w:val="2"/>
        </w:numPr>
        <w:spacing w:after="70" w:line="264"/>
        <w:jc w:val="both"/>
      </w:pPr>
      <w:r>
        <w:rPr>
          <w:rFonts w:ascii="Calibri" w:cs="Calibri" w:eastAsia="Calibri" w:hAnsi="Calibri"/>
          <w:color w:val="1A1A1A"/>
          <w:sz w:val="20"/>
          <w:szCs w:val="20"/>
        </w:rPr>
        <w:t xml:space="preserve">— L’argument de </w:t>
      </w:r>
      <w:r>
        <w:rPr>
          <w:rFonts w:ascii="Calibri" w:cs="Calibri" w:eastAsia="Calibri" w:hAnsi="Calibri"/>
          <w:color w:val="2E7D32"/>
          <w:sz w:val="20"/>
          <w:szCs w:val="20"/>
        </w:rPr>
        <w:t xml:space="preserve">Ronald Dworkin</w:t>
      </w:r>
      <w:r>
        <w:rPr>
          <w:rFonts w:ascii="Calibri" w:cs="Calibri" w:eastAsia="Calibri" w:hAnsi="Calibri"/>
          <w:color w:val="1A1A1A"/>
          <w:sz w:val="20"/>
          <w:szCs w:val="20"/>
        </w:rPr>
        <w:t xml:space="preserve"> sur l’affirmative action (</w:t>
      </w:r>
      <w:r>
        <w:rPr>
          <w:rFonts w:ascii="Calibri" w:cs="Calibri" w:eastAsia="Calibri" w:hAnsi="Calibri"/>
          <w:color w:val="2E7D32"/>
          <w:sz w:val="20"/>
          <w:szCs w:val="20"/>
        </w:rPr>
        <w:t xml:space="preserve">Taking Rights Seriously</w:t>
      </w:r>
      <w:r>
        <w:rPr>
          <w:rFonts w:ascii="Calibri" w:cs="Calibri" w:eastAsia="Calibri" w:hAnsi="Calibri"/>
          <w:color w:val="1A1A1A"/>
          <w:sz w:val="20"/>
          <w:szCs w:val="20"/>
        </w:rPr>
        <w:t xml:space="preserve">, 1977).</w:t>
      </w:r>
    </w:p>
    <w:p>
      <w:pPr>
        <w:pStyle w:val="ListParagraph"/>
        <w:numPr>
          <w:ilvl w:val="0"/>
          <w:numId w:val="2"/>
        </w:numPr>
        <w:spacing w:after="70" w:line="264"/>
        <w:jc w:val="both"/>
      </w:pPr>
      <w:r>
        <w:rPr>
          <w:rFonts w:ascii="Calibri" w:cs="Calibri" w:eastAsia="Calibri" w:hAnsi="Calibri"/>
          <w:b/>
          <w:bCs/>
          <w:color w:val="1A1A1A"/>
          <w:sz w:val="20"/>
          <w:szCs w:val="20"/>
        </w:rPr>
        <w:t xml:space="preserve">Le paradoxe relevé par le fascicule</w:t>
      </w:r>
      <w:r>
        <w:rPr>
          <w:rFonts w:ascii="Calibri" w:cs="Calibri" w:eastAsia="Calibri" w:hAnsi="Calibri"/>
          <w:color w:val="1A1A1A"/>
          <w:sz w:val="20"/>
          <w:szCs w:val="20"/>
        </w:rPr>
        <w:t xml:space="preserve"> : les dérogations à l’égalité justifiées par l’intérêt général sont rarement critiquées. Ainsi le Conseil admet-il que la carte de résident soit subordonnée à une durée de résidence et à une condition d’intégration (</w:t>
      </w:r>
      <w:r>
        <w:rPr>
          <w:rFonts w:ascii="Calibri" w:cs="Calibri" w:eastAsia="Calibri" w:hAnsi="Calibri"/>
          <w:color w:val="E91E63"/>
          <w:sz w:val="20"/>
          <w:szCs w:val="20"/>
        </w:rPr>
        <w:t xml:space="preserve">2003-484 DC, 20 novembre 2003</w:t>
      </w:r>
      <w:r>
        <w:rPr>
          <w:rFonts w:ascii="Calibri" w:cs="Calibri" w:eastAsia="Calibri" w:hAnsi="Calibri"/>
          <w:color w:val="1A1A1A"/>
          <w:sz w:val="20"/>
          <w:szCs w:val="20"/>
        </w:rPr>
        <w:t xml:space="preserve">). À l’inverse, les mesures qui dérogent à l’égalité formelle pour réaliser l’égalité réelle suscitent la controverse.</w:t>
      </w:r>
    </w:p>
    <w:p>
      <w:pPr>
        <w:pStyle w:val="ListParagraph"/>
        <w:numPr>
          <w:ilvl w:val="0"/>
          <w:numId w:val="2"/>
        </w:numPr>
        <w:spacing w:after="70" w:line="264"/>
        <w:jc w:val="both"/>
      </w:pPr>
      <w:r>
        <w:rPr>
          <w:rFonts w:ascii="Calibri" w:cs="Calibri" w:eastAsia="Calibri" w:hAnsi="Calibri"/>
          <w:b/>
          <w:bCs/>
          <w:color w:val="1A1A1A"/>
          <w:sz w:val="20"/>
          <w:szCs w:val="20"/>
        </w:rPr>
        <w:t xml:space="preserve">Le débat sur la parité</w:t>
      </w:r>
      <w:r>
        <w:rPr>
          <w:rFonts w:ascii="Calibri" w:cs="Calibri" w:eastAsia="Calibri" w:hAnsi="Calibri"/>
          <w:color w:val="1A1A1A"/>
          <w:sz w:val="20"/>
          <w:szCs w:val="20"/>
        </w:rPr>
        <w:t xml:space="preserve"> : certains ont reproché au Conseil d’État et au Conseil constitutionnel une « course d’obstacles jurisprudentiels » ; d’autres saluent leur prudence face à une dérogation au principe d’égalité.</w:t>
      </w:r>
    </w:p>
    <w:p>
      <w:pPr>
        <w:pStyle w:val="ListParagraph"/>
        <w:numPr>
          <w:ilvl w:val="0"/>
          <w:numId w:val="2"/>
        </w:numPr>
        <w:spacing w:after="70" w:line="264"/>
        <w:jc w:val="both"/>
      </w:pPr>
      <w:r>
        <w:rPr>
          <w:rFonts w:ascii="Calibri" w:cs="Calibri" w:eastAsia="Calibri" w:hAnsi="Calibri"/>
          <w:b/>
          <w:bCs/>
          <w:color w:val="1A1A1A"/>
          <w:sz w:val="20"/>
          <w:szCs w:val="20"/>
        </w:rPr>
        <w:t xml:space="preserve">L’intelligence artificielle</w:t>
      </w:r>
      <w:r>
        <w:rPr>
          <w:rFonts w:ascii="Calibri" w:cs="Calibri" w:eastAsia="Calibri" w:hAnsi="Calibri"/>
          <w:color w:val="1A1A1A"/>
          <w:sz w:val="20"/>
          <w:szCs w:val="20"/>
        </w:rPr>
        <w:t xml:space="preserve"> : les métriques d’équité (« débiaisement ») obligent à choisir entre égalité des chances et égalité des résultats. Ces métriques sont souvent mathématiquement incompatibles entre elles, comme l’a montré la controverse COMPAS (ProPublica, 2016). La question redevient </w:t>
      </w:r>
      <w:r>
        <w:rPr>
          <w:rFonts w:ascii="Calibri" w:cs="Calibri" w:eastAsia="Calibri" w:hAnsi="Calibri"/>
          <w:b/>
          <w:bCs/>
          <w:color w:val="1A1A1A"/>
          <w:sz w:val="20"/>
          <w:szCs w:val="20"/>
        </w:rPr>
        <w:t xml:space="preserve">démocratique</w:t>
      </w:r>
      <w:r>
        <w:rPr>
          <w:rFonts w:ascii="Calibri" w:cs="Calibri" w:eastAsia="Calibri" w:hAnsi="Calibri"/>
          <w:color w:val="1A1A1A"/>
          <w:sz w:val="20"/>
          <w:szCs w:val="20"/>
        </w:rPr>
        <w:t xml:space="preserve"> plutôt que technique.</w:t>
      </w:r>
    </w:p>
    <w:p>
      <w:pPr>
        <w:pStyle w:val="Heading2"/>
        <w:spacing w:after="120" w:before="280"/>
      </w:pPr>
      <w:r>
        <w:rPr>
          <w:rFonts w:ascii="Calibri" w:cs="Calibri" w:eastAsia="Calibri" w:hAnsi="Calibri"/>
          <w:b/>
          <w:bCs/>
          <w:color w:val="1A1A1A"/>
          <w:sz w:val="24"/>
          <w:szCs w:val="24"/>
        </w:rPr>
        <w:t xml:space="preserve">5. Dispositif « Grand Oral »</w:t>
      </w:r>
    </w:p>
    <w:p>
      <w:pPr>
        <w:pStyle w:val="Heading3"/>
        <w:spacing w:after="90" w:before="200"/>
      </w:pPr>
      <w:r>
        <w:rPr>
          <w:rFonts w:ascii="Calibri" w:cs="Calibri" w:eastAsia="Calibri" w:hAnsi="Calibri"/>
          <w:b/>
          <w:bCs/>
          <w:i/>
          <w:iCs/>
          <w:color w:val="5A5A5A"/>
          <w:sz w:val="21"/>
          <w:szCs w:val="21"/>
        </w:rPr>
        <w:t xml:space="preserve">5.1.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Pourrait-on instaurer des quotas ethniques à l’université ? »</w:t>
      </w:r>
      <w:r>
        <w:rPr>
          <w:rFonts w:ascii="Calibri" w:cs="Calibri" w:eastAsia="Calibri" w:hAnsi="Calibri"/>
          <w:color w:val="1A1A1A"/>
          <w:sz w:val="20"/>
          <w:szCs w:val="20"/>
        </w:rPr>
        <w:t xml:space="preserve"> — Non sans révision constitutionnelle : l’</w:t>
      </w:r>
      <w:r>
        <w:rPr>
          <w:rFonts w:ascii="Calibri" w:cs="Calibri" w:eastAsia="Calibri" w:hAnsi="Calibri"/>
          <w:color w:val="1E88E5"/>
          <w:sz w:val="20"/>
          <w:szCs w:val="20"/>
        </w:rPr>
        <w:t xml:space="preserve">art. 1er</w:t>
      </w:r>
      <w:r>
        <w:rPr>
          <w:rFonts w:ascii="Calibri" w:cs="Calibri" w:eastAsia="Calibri" w:hAnsi="Calibri"/>
          <w:color w:val="1A1A1A"/>
          <w:sz w:val="20"/>
          <w:szCs w:val="20"/>
        </w:rPr>
        <w:t xml:space="preserve"> interdit les distinctions d’origine (</w:t>
      </w:r>
      <w:r>
        <w:rPr>
          <w:rFonts w:ascii="Calibri" w:cs="Calibri" w:eastAsia="Calibri" w:hAnsi="Calibri"/>
          <w:color w:val="E91E63"/>
          <w:sz w:val="20"/>
          <w:szCs w:val="20"/>
        </w:rPr>
        <w:t xml:space="preserve">91-290 DC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2007-557 DC</w:t>
      </w:r>
      <w:r>
        <w:rPr>
          <w:rFonts w:ascii="Calibri" w:cs="Calibri" w:eastAsia="Calibri" w:hAnsi="Calibri"/>
          <w:color w:val="1A1A1A"/>
          <w:sz w:val="20"/>
          <w:szCs w:val="20"/>
        </w:rPr>
        <w:t xml:space="preserve">). En revanche, des critères sociaux et territoriaux sont admis (</w:t>
      </w:r>
      <w:r>
        <w:rPr>
          <w:rFonts w:ascii="Calibri" w:cs="Calibri" w:eastAsia="Calibri" w:hAnsi="Calibri"/>
          <w:color w:val="E91E63"/>
          <w:sz w:val="20"/>
          <w:szCs w:val="20"/>
        </w:rPr>
        <w:t xml:space="preserve">2001-450 DC</w:t>
      </w:r>
      <w:r>
        <w:rPr>
          <w:rFonts w:ascii="Calibri" w:cs="Calibri" w:eastAsia="Calibri" w:hAnsi="Calibri"/>
          <w:color w:val="1A1A1A"/>
          <w:sz w:val="20"/>
          <w:szCs w:val="20"/>
        </w:rPr>
        <w:t xml:space="preserve">), ce qui permet une discrimination positive indirectement corrélée à l’origine.</w:t>
      </w:r>
    </w:p>
    <w:p>
      <w:pPr>
        <w:pStyle w:val="ListParagraph"/>
        <w:numPr>
          <w:ilvl w:val="0"/>
          <w:numId w:val="2"/>
        </w:numPr>
        <w:spacing w:after="70" w:line="264"/>
        <w:jc w:val="both"/>
      </w:pPr>
      <w:r>
        <w:rPr>
          <w:rFonts w:ascii="Calibri" w:cs="Calibri" w:eastAsia="Calibri" w:hAnsi="Calibri"/>
          <w:b/>
          <w:bCs/>
          <w:color w:val="1A1A1A"/>
          <w:sz w:val="20"/>
          <w:szCs w:val="20"/>
        </w:rPr>
        <w:t xml:space="preserve">« La parité n’est-elle pas contraire à l’universalité du suffrage ? »</w:t>
      </w:r>
      <w:r>
        <w:rPr>
          <w:rFonts w:ascii="Calibri" w:cs="Calibri" w:eastAsia="Calibri" w:hAnsi="Calibri"/>
          <w:color w:val="1A1A1A"/>
          <w:sz w:val="20"/>
          <w:szCs w:val="20"/>
        </w:rPr>
        <w:t xml:space="preserve"> — Elle l’était, selon le Conseil (</w:t>
      </w:r>
      <w:r>
        <w:rPr>
          <w:rFonts w:ascii="Calibri" w:cs="Calibri" w:eastAsia="Calibri" w:hAnsi="Calibri"/>
          <w:color w:val="E91E63"/>
          <w:sz w:val="20"/>
          <w:szCs w:val="20"/>
        </w:rPr>
        <w:t xml:space="preserve">82-146 DC</w:t>
      </w:r>
      <w:r>
        <w:rPr>
          <w:rFonts w:ascii="Calibri" w:cs="Calibri" w:eastAsia="Calibri" w:hAnsi="Calibri"/>
          <w:color w:val="1A1A1A"/>
          <w:sz w:val="20"/>
          <w:szCs w:val="20"/>
        </w:rPr>
        <w:t xml:space="preserve">). C’est le pouvoir constituant qui l’a imposée (1999, 2008). Depuis, le Conseil valide les lois paritaires, y compris la généralisation des listes paritaires aux petites communes (2025).</w:t>
      </w:r>
    </w:p>
    <w:p>
      <w:pPr>
        <w:pStyle w:val="ListParagraph"/>
        <w:numPr>
          <w:ilvl w:val="0"/>
          <w:numId w:val="2"/>
        </w:numPr>
        <w:spacing w:after="70" w:line="264"/>
        <w:jc w:val="both"/>
      </w:pPr>
      <w:r>
        <w:rPr>
          <w:rFonts w:ascii="Calibri" w:cs="Calibri" w:eastAsia="Calibri" w:hAnsi="Calibri"/>
          <w:b/>
          <w:bCs/>
          <w:color w:val="1A1A1A"/>
          <w:sz w:val="20"/>
          <w:szCs w:val="20"/>
        </w:rPr>
        <w:t xml:space="preserve">« Une mesure compensatoire peut-elle être permanente ? »</w:t>
      </w:r>
      <w:r>
        <w:rPr>
          <w:rFonts w:ascii="Calibri" w:cs="Calibri" w:eastAsia="Calibri" w:hAnsi="Calibri"/>
          <w:color w:val="1A1A1A"/>
          <w:sz w:val="20"/>
          <w:szCs w:val="20"/>
        </w:rPr>
        <w:t xml:space="preserve"> — En principe non : sa légitimité tient à la correction d’une inégalité de fait et doit cesser avec elle. Les conventions internationales parlent de « mesures spéciales temporaires » (</w:t>
      </w:r>
      <w:r>
        <w:rPr>
          <w:rFonts w:ascii="Calibri" w:cs="Calibri" w:eastAsia="Calibri" w:hAnsi="Calibri"/>
          <w:color w:val="1E88E5"/>
          <w:sz w:val="20"/>
          <w:szCs w:val="20"/>
        </w:rPr>
        <w:t xml:space="preserve">art. 4 CEDAW</w:t>
      </w:r>
      <w:r>
        <w:rPr>
          <w:rFonts w:ascii="Calibri" w:cs="Calibri" w:eastAsia="Calibri" w:hAnsi="Calibri"/>
          <w:color w:val="1A1A1A"/>
          <w:sz w:val="20"/>
          <w:szCs w:val="20"/>
        </w:rPr>
        <w:t xml:space="preserve">). La loi Rixain prévoit toutefois des seuils croissants sans terme.</w:t>
      </w:r>
    </w:p>
    <w:p>
      <w:pPr>
        <w:pStyle w:val="Heading3"/>
        <w:spacing w:after="90" w:before="200"/>
      </w:pPr>
      <w:r>
        <w:rPr>
          <w:rFonts w:ascii="Calibri" w:cs="Calibri" w:eastAsia="Calibri" w:hAnsi="Calibri"/>
          <w:b/>
          <w:bCs/>
          <w:i/>
          <w:iCs/>
          <w:color w:val="5A5A5A"/>
          <w:sz w:val="21"/>
          <w:szCs w:val="21"/>
        </w:rPr>
        <w:t xml:space="preserve">5.2.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La discrimination positive — Égalité formelle et égalité réelle — La parité — L’article 1er DDHC — Les quotas — Égalité et handicap — L’égalité entre les femmes et les hommes au travail — Commentaire : </w:t>
      </w:r>
      <w:r>
        <w:rPr>
          <w:rFonts w:ascii="Calibri" w:cs="Calibri" w:eastAsia="Calibri" w:hAnsi="Calibri"/>
          <w:color w:val="1E88E5"/>
          <w:sz w:val="20"/>
          <w:szCs w:val="20"/>
        </w:rPr>
        <w:t xml:space="preserve">article 1er DDHC</w:t>
      </w:r>
      <w:r>
        <w:rPr>
          <w:rFonts w:ascii="Calibri" w:cs="Calibri" w:eastAsia="Calibri" w:hAnsi="Calibri"/>
          <w:color w:val="1A1A1A"/>
          <w:sz w:val="20"/>
          <w:szCs w:val="20"/>
        </w:rPr>
        <w:t xml:space="preserve"> (sujet « Pour s’entraîner » du fascicule) — Commentaire : </w:t>
      </w:r>
      <w:r>
        <w:rPr>
          <w:rFonts w:ascii="Calibri" w:cs="Calibri" w:eastAsia="Calibri" w:hAnsi="Calibri"/>
          <w:color w:val="E91E63"/>
          <w:sz w:val="20"/>
          <w:szCs w:val="20"/>
        </w:rPr>
        <w:t xml:space="preserve">Kalanke</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Marschall</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5.3.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Qu’est-ce que la loi Copé-Zimmermann ?</w:t>
      </w:r>
      <w:r>
        <w:rPr>
          <w:rFonts w:ascii="Calibri" w:cs="Calibri" w:eastAsia="Calibri" w:hAnsi="Calibri"/>
          <w:color w:val="1A1A1A"/>
          <w:sz w:val="20"/>
          <w:szCs w:val="20"/>
        </w:rPr>
        <w:t xml:space="preserve"> — La loi du 27 janvier 2011 imposant 40 % d’administrateurs de chaque sexe dans les conseils d’administration et de surveillance des grandes sociétés.</w:t>
      </w:r>
    </w:p>
    <w:p>
      <w:pPr>
        <w:pStyle w:val="ListParagraph"/>
        <w:numPr>
          <w:ilvl w:val="0"/>
          <w:numId w:val="2"/>
        </w:numPr>
        <w:spacing w:after="70" w:line="264"/>
        <w:jc w:val="both"/>
      </w:pPr>
      <w:r>
        <w:rPr>
          <w:rFonts w:ascii="Calibri" w:cs="Calibri" w:eastAsia="Calibri" w:hAnsi="Calibri"/>
          <w:b/>
          <w:bCs/>
          <w:color w:val="1A1A1A"/>
          <w:sz w:val="20"/>
          <w:szCs w:val="20"/>
        </w:rPr>
        <w:t xml:space="preserve">Q. Quel quota s’applique depuis le 1er mars 2026 aux cadres dirigeants ?</w:t>
      </w:r>
      <w:r>
        <w:rPr>
          <w:rFonts w:ascii="Calibri" w:cs="Calibri" w:eastAsia="Calibri" w:hAnsi="Calibri"/>
          <w:color w:val="1A1A1A"/>
          <w:sz w:val="20"/>
          <w:szCs w:val="20"/>
        </w:rPr>
        <w:t xml:space="preserve"> — 30 % de chaque sexe dans les entreprises d’au moins 1 000 salariés, et 40 % en 2029 (loi Rixain).</w:t>
      </w:r>
    </w:p>
    <w:p>
      <w:pPr>
        <w:pStyle w:val="ListParagraph"/>
        <w:numPr>
          <w:ilvl w:val="0"/>
          <w:numId w:val="2"/>
        </w:numPr>
        <w:spacing w:after="70" w:line="264"/>
        <w:jc w:val="both"/>
      </w:pPr>
      <w:r>
        <w:rPr>
          <w:rFonts w:ascii="Calibri" w:cs="Calibri" w:eastAsia="Calibri" w:hAnsi="Calibri"/>
          <w:b/>
          <w:bCs/>
          <w:color w:val="1A1A1A"/>
          <w:sz w:val="20"/>
          <w:szCs w:val="20"/>
        </w:rPr>
        <w:t xml:space="preserve">Q. Qu’est-ce que la décision Bakke ?</w:t>
      </w:r>
      <w:r>
        <w:rPr>
          <w:rFonts w:ascii="Calibri" w:cs="Calibri" w:eastAsia="Calibri" w:hAnsi="Calibri"/>
          <w:color w:val="1A1A1A"/>
          <w:sz w:val="20"/>
          <w:szCs w:val="20"/>
        </w:rPr>
        <w:t xml:space="preserve"> — L’arrêt de la Cour suprême des États-Unis (1978) qui censure les quotas raciaux tout en admettant la prise en compte de la race comme un facteur parmi d’autres. Ce compromis a été abandonné en 2023 (</w:t>
      </w:r>
      <w:r>
        <w:rPr>
          <w:rFonts w:ascii="Calibri" w:cs="Calibri" w:eastAsia="Calibri" w:hAnsi="Calibri"/>
          <w:color w:val="E91E63"/>
          <w:sz w:val="20"/>
          <w:szCs w:val="20"/>
        </w:rPr>
        <w:t xml:space="preserve">Students for Fair Admissions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Quelle décision a ouvert Sciences Po aux lycées d’éducation prioritaire ?</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2001-450 DC</w:t>
      </w:r>
      <w:r>
        <w:rPr>
          <w:rFonts w:ascii="Calibri" w:cs="Calibri" w:eastAsia="Calibri" w:hAnsi="Calibri"/>
          <w:color w:val="1A1A1A"/>
          <w:sz w:val="20"/>
          <w:szCs w:val="20"/>
        </w:rPr>
        <w:t xml:space="preserve"> du 11 juillet 2001, sous réserve d’une sélection fondée sur des critères objectifs de nature à garantir le respect de l’égal accès à l’instruction.</w:t>
      </w:r>
    </w:p>
    <w:p>
      <w:pPr>
        <w:pStyle w:val="ListParagraph"/>
        <w:numPr>
          <w:ilvl w:val="0"/>
          <w:numId w:val="2"/>
        </w:numPr>
        <w:spacing w:after="70" w:line="264"/>
        <w:jc w:val="both"/>
      </w:pPr>
      <w:r>
        <w:rPr>
          <w:rFonts w:ascii="Calibri" w:cs="Calibri" w:eastAsia="Calibri" w:hAnsi="Calibri"/>
          <w:b/>
          <w:bCs/>
          <w:color w:val="1A1A1A"/>
          <w:sz w:val="20"/>
          <w:szCs w:val="20"/>
        </w:rPr>
        <w:t xml:space="preserve">Q. L’article 23 de la Charte permet-il des quotas automatiques ?</w:t>
      </w:r>
      <w:r>
        <w:rPr>
          <w:rFonts w:ascii="Calibri" w:cs="Calibri" w:eastAsia="Calibri" w:hAnsi="Calibri"/>
          <w:color w:val="1A1A1A"/>
          <w:sz w:val="20"/>
          <w:szCs w:val="20"/>
        </w:rPr>
        <w:t xml:space="preserve"> — Il autorise des « avantages spécifiques » en faveur du sexe sous-représenté, mais la Cour de justice exige une appréciation objective de la situation individuelle de chaque candidat (</w:t>
      </w:r>
      <w:r>
        <w:rPr>
          <w:rFonts w:ascii="Calibri" w:cs="Calibri" w:eastAsia="Calibri" w:hAnsi="Calibri"/>
          <w:color w:val="E91E63"/>
          <w:sz w:val="20"/>
          <w:szCs w:val="20"/>
        </w:rPr>
        <w:t xml:space="preserve">Marschall</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Abrahamsson</w:t>
      </w:r>
      <w:r>
        <w:rPr>
          <w:rFonts w:ascii="Calibri" w:cs="Calibri" w:eastAsia="Calibri" w:hAnsi="Calibri"/>
          <w:color w:val="1A1A1A"/>
          <w:sz w:val="20"/>
          <w:szCs w:val="20"/>
        </w:rPr>
        <w:t xml:space="preserve">).</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ANNEXE — COMPLÉMENTS À LA CHRONOLOGIE ET À L’INDEX (Partie VIII)</w:t>
      </w:r>
    </w:p>
    <w:p>
      <w:pPr>
        <w:pStyle w:val="Heading2"/>
        <w:spacing w:after="120" w:before="280"/>
      </w:pPr>
      <w:r>
        <w:rPr>
          <w:rFonts w:ascii="Calibri" w:cs="Calibri" w:eastAsia="Calibri" w:hAnsi="Calibri"/>
          <w:b/>
          <w:bCs/>
          <w:color w:val="1A1A1A"/>
          <w:sz w:val="24"/>
          <w:szCs w:val="24"/>
        </w:rPr>
        <w:t xml:space="preserve">I. Ajouts à la chronologie transversale</w:t>
      </w:r>
    </w:p>
    <w:p>
      <w:pPr>
        <w:pStyle w:val="ListParagraph"/>
        <w:numPr>
          <w:ilvl w:val="0"/>
          <w:numId w:val="2"/>
        </w:numPr>
        <w:spacing w:after="70" w:line="264"/>
        <w:jc w:val="both"/>
      </w:pPr>
      <w:r>
        <w:rPr>
          <w:rFonts w:ascii="Calibri" w:cs="Calibri" w:eastAsia="Calibri" w:hAnsi="Calibri"/>
          <w:b/>
          <w:bCs/>
          <w:color w:val="1A1A1A"/>
          <w:sz w:val="20"/>
          <w:szCs w:val="20"/>
        </w:rPr>
        <w:t xml:space="preserve">1789</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1er DDHC</w:t>
      </w:r>
      <w:r>
        <w:rPr>
          <w:rFonts w:ascii="Calibri" w:cs="Calibri" w:eastAsia="Calibri" w:hAnsi="Calibri"/>
          <w:color w:val="1A1A1A"/>
          <w:sz w:val="20"/>
          <w:szCs w:val="20"/>
        </w:rPr>
        <w:t xml:space="preserve"> (« utilité commune ») — </w:t>
      </w:r>
      <w:r>
        <w:rPr>
          <w:rFonts w:ascii="Calibri" w:cs="Calibri" w:eastAsia="Calibri" w:hAnsi="Calibri"/>
          <w:b/>
          <w:bCs/>
          <w:color w:val="1A1A1A"/>
          <w:sz w:val="20"/>
          <w:szCs w:val="20"/>
        </w:rPr>
        <w:t xml:space="preserve">1946</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Préambule</w:t>
      </w:r>
      <w:r>
        <w:rPr>
          <w:rFonts w:ascii="Calibri" w:cs="Calibri" w:eastAsia="Calibri" w:hAnsi="Calibri"/>
          <w:color w:val="1A1A1A"/>
          <w:sz w:val="20"/>
          <w:szCs w:val="20"/>
        </w:rPr>
        <w:t xml:space="preserve">, al. 3 (égalité femmes-hommes) et 11 — </w:t>
      </w:r>
      <w:r>
        <w:rPr>
          <w:rFonts w:ascii="Calibri" w:cs="Calibri" w:eastAsia="Calibri" w:hAnsi="Calibri"/>
          <w:b/>
          <w:bCs/>
          <w:color w:val="1A1A1A"/>
          <w:sz w:val="20"/>
          <w:szCs w:val="20"/>
        </w:rPr>
        <w:t xml:space="preserve">1948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Sect., Société du journal L’Aurore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1954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ass., Barel</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1965</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Convention sur l’élimination de la discrimination raciale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1968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Affaire linguistique belge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1971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Griggs v. Duke Power</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1974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CJCE, Sotgiu</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Sect., Denoyez et Chorques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1978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Bakke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1979</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CEDAW</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1982</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82-146 DC</w:t>
      </w:r>
      <w:r>
        <w:rPr>
          <w:rFonts w:ascii="Calibri" w:cs="Calibri" w:eastAsia="Calibri" w:hAnsi="Calibri"/>
          <w:color w:val="1A1A1A"/>
          <w:sz w:val="20"/>
          <w:szCs w:val="20"/>
        </w:rPr>
        <w:t xml:space="preserve"> (quotas censurés) — </w:t>
      </w:r>
      <w:r>
        <w:rPr>
          <w:rFonts w:ascii="Calibri" w:cs="Calibri" w:eastAsia="Calibri" w:hAnsi="Calibri"/>
          <w:b/>
          <w:bCs/>
          <w:color w:val="1A1A1A"/>
          <w:sz w:val="20"/>
          <w:szCs w:val="20"/>
        </w:rPr>
        <w:t xml:space="preserve">1985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Abdulaziz</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1986</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CJCE, Bilka</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1987</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10 juillet</w:t>
      </w:r>
      <w:r>
        <w:rPr>
          <w:rFonts w:ascii="Calibri" w:cs="Calibri" w:eastAsia="Calibri" w:hAnsi="Calibri"/>
          <w:color w:val="1A1A1A"/>
          <w:sz w:val="20"/>
          <w:szCs w:val="20"/>
        </w:rPr>
        <w:t xml:space="preserve"> (obligation d’emploi de 6 %).</w:t>
      </w:r>
    </w:p>
    <w:p>
      <w:pPr>
        <w:pStyle w:val="ListParagraph"/>
        <w:numPr>
          <w:ilvl w:val="0"/>
          <w:numId w:val="2"/>
        </w:numPr>
        <w:spacing w:after="70" w:line="264"/>
        <w:jc w:val="both"/>
      </w:pPr>
      <w:r>
        <w:rPr>
          <w:rFonts w:ascii="Calibri" w:cs="Calibri" w:eastAsia="Calibri" w:hAnsi="Calibri"/>
          <w:b/>
          <w:bCs/>
          <w:color w:val="1A1A1A"/>
          <w:sz w:val="20"/>
          <w:szCs w:val="20"/>
        </w:rPr>
        <w:t xml:space="preserve">1988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87-232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1991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91-290 DC</w:t>
      </w:r>
      <w:r>
        <w:rPr>
          <w:rFonts w:ascii="Calibri" w:cs="Calibri" w:eastAsia="Calibri" w:hAnsi="Calibri"/>
          <w:color w:val="1A1A1A"/>
          <w:sz w:val="20"/>
          <w:szCs w:val="20"/>
        </w:rPr>
        <w:t xml:space="preserve"> (Corse) — </w:t>
      </w:r>
      <w:r>
        <w:rPr>
          <w:rFonts w:ascii="Calibri" w:cs="Calibri" w:eastAsia="Calibri" w:hAnsi="Calibri"/>
          <w:b/>
          <w:bCs/>
          <w:color w:val="1A1A1A"/>
          <w:sz w:val="20"/>
          <w:szCs w:val="20"/>
        </w:rPr>
        <w:t xml:space="preserve">1995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CJCE, Kalanke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Convention-cadre pour la protection des minorités nationales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1996</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Cass. soc., Ponsolle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Gaygusuz</w:t>
      </w:r>
      <w:r>
        <w:rPr>
          <w:rFonts w:ascii="Calibri" w:cs="Calibri" w:eastAsia="Calibri" w:hAnsi="Calibri"/>
          <w:color w:val="1A1A1A"/>
          <w:sz w:val="20"/>
          <w:szCs w:val="20"/>
        </w:rPr>
        <w:t xml:space="preserve"> ; rapport public du Conseil d’État « Sur le principe d’égalité » — </w:t>
      </w:r>
      <w:r>
        <w:rPr>
          <w:rFonts w:ascii="Calibri" w:cs="Calibri" w:eastAsia="Calibri" w:hAnsi="Calibri"/>
          <w:b/>
          <w:bCs/>
          <w:color w:val="1A1A1A"/>
          <w:sz w:val="20"/>
          <w:szCs w:val="20"/>
        </w:rPr>
        <w:t xml:space="preserve">1997</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CJCE, Marschall</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ass., Baxter</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Commune de Gennevilliers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1999</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constitutionnelle du 8 juillet</w:t>
      </w:r>
      <w:r>
        <w:rPr>
          <w:rFonts w:ascii="Calibri" w:cs="Calibri" w:eastAsia="Calibri" w:hAnsi="Calibri"/>
          <w:color w:val="1A1A1A"/>
          <w:sz w:val="20"/>
          <w:szCs w:val="20"/>
        </w:rPr>
        <w:t xml:space="preserve"> (parité) ; </w:t>
      </w:r>
      <w:r>
        <w:rPr>
          <w:rFonts w:ascii="Calibri" w:cs="Calibri" w:eastAsia="Calibri" w:hAnsi="Calibri"/>
          <w:color w:val="E91E63"/>
          <w:sz w:val="20"/>
          <w:szCs w:val="20"/>
        </w:rPr>
        <w:t xml:space="preserve">Cons. const., 99-412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2000</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directives 2000/43 et 2000/78</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Protocole n° 12</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du 6 juin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Thlimmenos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CJCE, Badeck, Abrahamsson</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2001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2001-450 DC</w:t>
      </w:r>
      <w:r>
        <w:rPr>
          <w:rFonts w:ascii="Calibri" w:cs="Calibri" w:eastAsia="Calibri" w:hAnsi="Calibri"/>
          <w:color w:val="1A1A1A"/>
          <w:sz w:val="20"/>
          <w:szCs w:val="20"/>
        </w:rPr>
        <w:t xml:space="preserve"> (Sciences Po) ; </w:t>
      </w:r>
      <w:r>
        <w:rPr>
          <w:rFonts w:ascii="Calibri" w:cs="Calibri" w:eastAsia="Calibri" w:hAnsi="Calibri"/>
          <w:color w:val="E91E63"/>
          <w:sz w:val="20"/>
          <w:szCs w:val="20"/>
        </w:rPr>
        <w:t xml:space="preserve">CJCE, Griesmar</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Chapman</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About-Picard</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2002</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Duvignères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CJCE, Lommers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2002-461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2004</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30 décembre</w:t>
      </w:r>
      <w:r>
        <w:rPr>
          <w:rFonts w:ascii="Calibri" w:cs="Calibri" w:eastAsia="Calibri" w:hAnsi="Calibri"/>
          <w:color w:val="1A1A1A"/>
          <w:sz w:val="20"/>
          <w:szCs w:val="20"/>
        </w:rPr>
        <w:t xml:space="preserve"> (HALDE) ; </w:t>
      </w:r>
      <w:r>
        <w:rPr>
          <w:rFonts w:ascii="Calibri" w:cs="Calibri" w:eastAsia="Calibri" w:hAnsi="Calibri"/>
          <w:color w:val="1E88E5"/>
          <w:sz w:val="20"/>
          <w:szCs w:val="20"/>
        </w:rPr>
        <w:t xml:space="preserve">directive 2004/113</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2005</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11 février</w:t>
      </w:r>
      <w:r>
        <w:rPr>
          <w:rFonts w:ascii="Calibri" w:cs="Calibri" w:eastAsia="Calibri" w:hAnsi="Calibri"/>
          <w:color w:val="1A1A1A"/>
          <w:sz w:val="20"/>
          <w:szCs w:val="20"/>
        </w:rPr>
        <w:t xml:space="preserve"> (handicap) ; </w:t>
      </w:r>
      <w:r>
        <w:rPr>
          <w:rFonts w:ascii="Calibri" w:cs="Calibri" w:eastAsia="Calibri" w:hAnsi="Calibri"/>
          <w:color w:val="E91E63"/>
          <w:sz w:val="20"/>
          <w:szCs w:val="20"/>
        </w:rPr>
        <w:t xml:space="preserve">CEDH, Timichev</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CJCE, Mangold</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2006</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CRPD</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du 31 mars</w:t>
      </w:r>
      <w:r>
        <w:rPr>
          <w:rFonts w:ascii="Calibri" w:cs="Calibri" w:eastAsia="Calibri" w:hAnsi="Calibri"/>
          <w:color w:val="1A1A1A"/>
          <w:sz w:val="20"/>
          <w:szCs w:val="20"/>
        </w:rPr>
        <w:t xml:space="preserve"> (testing) ; </w:t>
      </w:r>
      <w:r>
        <w:rPr>
          <w:rFonts w:ascii="Calibri" w:cs="Calibri" w:eastAsia="Calibri" w:hAnsi="Calibri"/>
          <w:color w:val="E91E63"/>
          <w:sz w:val="20"/>
          <w:szCs w:val="20"/>
        </w:rPr>
        <w:t xml:space="preserve">Cons. const., 2006-533 DC</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2006-535 DC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Stec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2007</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D.H. c. République tchèque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2007-557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2008</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27 mai</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constitutionnelle du 23 juillet</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CJCE, Coleman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E.B. c. France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2009</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Opuz</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Sejdić et Finci</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2010</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2010-1 QPC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Carson</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Oršuš</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Alajos Kiss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2011</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27 janvier</w:t>
      </w:r>
      <w:r>
        <w:rPr>
          <w:rFonts w:ascii="Calibri" w:cs="Calibri" w:eastAsia="Calibri" w:hAnsi="Calibri"/>
          <w:color w:val="1A1A1A"/>
          <w:sz w:val="20"/>
          <w:szCs w:val="20"/>
        </w:rPr>
        <w:t xml:space="preserve"> (Copé-Zimmermann) ; </w:t>
      </w:r>
      <w:r>
        <w:rPr>
          <w:rFonts w:ascii="Calibri" w:cs="Calibri" w:eastAsia="Calibri" w:hAnsi="Calibri"/>
          <w:color w:val="1E88E5"/>
          <w:sz w:val="20"/>
          <w:szCs w:val="20"/>
        </w:rPr>
        <w:t xml:space="preserve">loi organique du 29 mars</w:t>
      </w:r>
      <w:r>
        <w:rPr>
          <w:rFonts w:ascii="Calibri" w:cs="Calibri" w:eastAsia="Calibri" w:hAnsi="Calibri"/>
          <w:color w:val="1A1A1A"/>
          <w:sz w:val="20"/>
          <w:szCs w:val="20"/>
        </w:rPr>
        <w:t xml:space="preserve"> (Défenseur des droits) ; </w:t>
      </w:r>
      <w:r>
        <w:rPr>
          <w:rFonts w:ascii="Calibri" w:cs="Calibri" w:eastAsia="Calibri" w:hAnsi="Calibri"/>
          <w:color w:val="E91E63"/>
          <w:sz w:val="20"/>
          <w:szCs w:val="20"/>
        </w:rPr>
        <w:t xml:space="preserve">CEDH, M.S.S.</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Kiyutin</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2012</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Sauvadet</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ass., GISTI</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Câmpeanu</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CJUE, Leone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2016</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24 juin</w:t>
      </w:r>
      <w:r>
        <w:rPr>
          <w:rFonts w:ascii="Calibri" w:cs="Calibri" w:eastAsia="Calibri" w:hAnsi="Calibri"/>
          <w:color w:val="1A1A1A"/>
          <w:sz w:val="20"/>
          <w:szCs w:val="20"/>
        </w:rPr>
        <w:t xml:space="preserve"> (précarité sociale) ; </w:t>
      </w:r>
      <w:r>
        <w:rPr>
          <w:rFonts w:ascii="Calibri" w:cs="Calibri" w:eastAsia="Calibri" w:hAnsi="Calibri"/>
          <w:color w:val="1E88E5"/>
          <w:sz w:val="20"/>
          <w:szCs w:val="20"/>
        </w:rPr>
        <w:t xml:space="preserve">loi J21</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Çam</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civ. 1re, contrôles au faciès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2019</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23 mars</w:t>
      </w:r>
      <w:r>
        <w:rPr>
          <w:rFonts w:ascii="Calibri" w:cs="Calibri" w:eastAsia="Calibri" w:hAnsi="Calibri"/>
          <w:color w:val="1A1A1A"/>
          <w:sz w:val="20"/>
          <w:szCs w:val="20"/>
        </w:rPr>
        <w:t xml:space="preserve"> (majeurs en tutelle) — </w:t>
      </w:r>
      <w:r>
        <w:rPr>
          <w:rFonts w:ascii="Calibri" w:cs="Calibri" w:eastAsia="Calibri" w:hAnsi="Calibri"/>
          <w:b/>
          <w:bCs/>
          <w:color w:val="1A1A1A"/>
          <w:sz w:val="20"/>
          <w:szCs w:val="20"/>
        </w:rPr>
        <w:t xml:space="preserve">2021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Lacatus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2020-888 QPC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Rixain</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2022</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directive 2022/2381</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du 31 janvier</w:t>
      </w:r>
      <w:r>
        <w:rPr>
          <w:rFonts w:ascii="Calibri" w:cs="Calibri" w:eastAsia="Calibri" w:hAnsi="Calibri"/>
          <w:color w:val="1A1A1A"/>
          <w:sz w:val="20"/>
          <w:szCs w:val="20"/>
        </w:rPr>
        <w:t xml:space="preserve"> (thérapies de conversion) ; </w:t>
      </w:r>
      <w:r>
        <w:rPr>
          <w:rFonts w:ascii="Calibri" w:cs="Calibri" w:eastAsia="Calibri" w:hAnsi="Calibri"/>
          <w:color w:val="E91E63"/>
          <w:sz w:val="20"/>
          <w:szCs w:val="20"/>
        </w:rPr>
        <w:t xml:space="preserve">CEDH, Khasanov et Rakhmanov</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2023</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directive 2023/970</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ass., Amnesty International France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SFFA v. Harvard</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2024</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règlement (UE) 2024/1689</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W.W. c. Pologne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2025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CJUE, Mousse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Bazhenov</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L. et autres c. France</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Seydi</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du 30 avril</w:t>
      </w:r>
      <w:r>
        <w:rPr>
          <w:rFonts w:ascii="Calibri" w:cs="Calibri" w:eastAsia="Calibri" w:hAnsi="Calibri"/>
          <w:color w:val="1A1A1A"/>
          <w:sz w:val="20"/>
          <w:szCs w:val="20"/>
        </w:rPr>
        <w:t xml:space="preserve"> (action de groupe) ; </w:t>
      </w:r>
      <w:r>
        <w:rPr>
          <w:rFonts w:ascii="Calibri" w:cs="Calibri" w:eastAsia="Calibri" w:hAnsi="Calibri"/>
          <w:color w:val="E91E63"/>
          <w:sz w:val="20"/>
          <w:szCs w:val="20"/>
        </w:rPr>
        <w:t xml:space="preserve">CJUE, Bervidi</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du 6 novembre</w:t>
      </w:r>
      <w:r>
        <w:rPr>
          <w:rFonts w:ascii="Calibri" w:cs="Calibri" w:eastAsia="Calibri" w:hAnsi="Calibri"/>
          <w:color w:val="1A1A1A"/>
          <w:sz w:val="20"/>
          <w:szCs w:val="20"/>
        </w:rPr>
        <w:t xml:space="preserve"> (consentement) ; </w:t>
      </w:r>
      <w:r>
        <w:rPr>
          <w:rFonts w:ascii="Calibri" w:cs="Calibri" w:eastAsia="Calibri" w:hAnsi="Calibri"/>
          <w:color w:val="E91E63"/>
          <w:sz w:val="20"/>
          <w:szCs w:val="20"/>
        </w:rPr>
        <w:t xml:space="preserve">CJUE [GC], Slagelse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2026</w:t>
      </w:r>
      <w:r>
        <w:rPr>
          <w:rFonts w:ascii="Calibri" w:cs="Calibri" w:eastAsia="Calibri" w:hAnsi="Calibri"/>
          <w:color w:val="1A1A1A"/>
          <w:sz w:val="20"/>
          <w:szCs w:val="20"/>
        </w:rPr>
        <w:t xml:space="preserve"> 1er mars : quota de 30 % pour les cadres dirigeants ; </w:t>
      </w:r>
      <w:r>
        <w:rPr>
          <w:rFonts w:ascii="Calibri" w:cs="Calibri" w:eastAsia="Calibri" w:hAnsi="Calibri"/>
          <w:color w:val="E91E63"/>
          <w:sz w:val="20"/>
          <w:szCs w:val="20"/>
        </w:rPr>
        <w:t xml:space="preserve">CEDH, H.D. c. Italie</w:t>
      </w:r>
      <w:r>
        <w:rPr>
          <w:rFonts w:ascii="Calibri" w:cs="Calibri" w:eastAsia="Calibri" w:hAnsi="Calibri"/>
          <w:color w:val="1A1A1A"/>
          <w:sz w:val="20"/>
          <w:szCs w:val="20"/>
        </w:rPr>
        <w:t xml:space="preserve"> (9 avril) ; </w:t>
      </w:r>
      <w:r>
        <w:rPr>
          <w:rFonts w:ascii="Calibri" w:cs="Calibri" w:eastAsia="Calibri" w:hAnsi="Calibri"/>
          <w:color w:val="1E88E5"/>
          <w:sz w:val="20"/>
          <w:szCs w:val="20"/>
        </w:rPr>
        <w:t xml:space="preserve">directive 2024/1346</w:t>
      </w:r>
      <w:r>
        <w:rPr>
          <w:rFonts w:ascii="Calibri" w:cs="Calibri" w:eastAsia="Calibri" w:hAnsi="Calibri"/>
          <w:color w:val="1A1A1A"/>
          <w:sz w:val="20"/>
          <w:szCs w:val="20"/>
        </w:rPr>
        <w:t xml:space="preserve"> applicable (12 juin) ; </w:t>
      </w:r>
      <w:r>
        <w:rPr>
          <w:rFonts w:ascii="Calibri" w:cs="Calibri" w:eastAsia="Calibri" w:hAnsi="Calibri"/>
          <w:color w:val="E91E63"/>
          <w:sz w:val="20"/>
          <w:szCs w:val="20"/>
        </w:rPr>
        <w:t xml:space="preserve">CEDH, S.T. c. République tchèque</w:t>
      </w:r>
      <w:r>
        <w:rPr>
          <w:rFonts w:ascii="Calibri" w:cs="Calibri" w:eastAsia="Calibri" w:hAnsi="Calibri"/>
          <w:color w:val="1A1A1A"/>
          <w:sz w:val="20"/>
          <w:szCs w:val="20"/>
        </w:rPr>
        <w:t xml:space="preserve"> (16 juillet) ; François-Noël Buffet, Défenseur des droits (juillet) ; </w:t>
      </w:r>
      <w:r>
        <w:rPr>
          <w:rFonts w:ascii="Calibri" w:cs="Calibri" w:eastAsia="Calibri" w:hAnsi="Calibri"/>
          <w:color w:val="E91E63"/>
          <w:sz w:val="20"/>
          <w:szCs w:val="20"/>
        </w:rPr>
        <w:t xml:space="preserve">CEDH, Strashunskyy</w:t>
      </w:r>
      <w:r>
        <w:rPr>
          <w:rFonts w:ascii="Calibri" w:cs="Calibri" w:eastAsia="Calibri" w:hAnsi="Calibri"/>
          <w:color w:val="1A1A1A"/>
          <w:sz w:val="20"/>
          <w:szCs w:val="20"/>
        </w:rPr>
        <w:t xml:space="preserve"> (17 septembre) ; proposition de loi « intégrale » contre les violences sexistes et sexuelles (1er octobre).</w:t>
      </w:r>
    </w:p>
    <w:p>
      <w:pPr>
        <w:pStyle w:val="Heading2"/>
        <w:spacing w:after="120" w:before="280"/>
      </w:pPr>
      <w:r>
        <w:rPr>
          <w:rFonts w:ascii="Calibri" w:cs="Calibri" w:eastAsia="Calibri" w:hAnsi="Calibri"/>
          <w:b/>
          <w:bCs/>
          <w:color w:val="1A1A1A"/>
          <w:sz w:val="24"/>
          <w:szCs w:val="24"/>
        </w:rPr>
        <w:t xml:space="preserve">II. Ajouts à l’index transversal</w:t>
      </w:r>
    </w:p>
    <w:p>
      <w:pPr>
        <w:pStyle w:val="ListParagraph"/>
        <w:numPr>
          <w:ilvl w:val="0"/>
          <w:numId w:val="2"/>
        </w:numPr>
        <w:spacing w:after="70" w:line="264"/>
        <w:jc w:val="both"/>
      </w:pPr>
      <w:r>
        <w:rPr>
          <w:rFonts w:ascii="Calibri" w:cs="Calibri" w:eastAsia="Calibri" w:hAnsi="Calibri"/>
          <w:b/>
          <w:bCs/>
          <w:color w:val="1A1A1A"/>
          <w:sz w:val="20"/>
          <w:szCs w:val="20"/>
        </w:rPr>
        <w:t xml:space="preserve">Discrimination indirecte</w:t>
      </w:r>
      <w:r>
        <w:rPr>
          <w:rFonts w:ascii="Calibri" w:cs="Calibri" w:eastAsia="Calibri" w:hAnsi="Calibri"/>
          <w:color w:val="1A1A1A"/>
          <w:sz w:val="20"/>
          <w:szCs w:val="20"/>
        </w:rPr>
        <w:t xml:space="preserve"> → fiches 47 (éducation, </w:t>
      </w:r>
      <w:r>
        <w:rPr>
          <w:rFonts w:ascii="Calibri" w:cs="Calibri" w:eastAsia="Calibri" w:hAnsi="Calibri"/>
          <w:color w:val="E91E63"/>
          <w:sz w:val="20"/>
          <w:szCs w:val="20"/>
        </w:rPr>
        <w:t xml:space="preserve">D.H.</w:t>
      </w:r>
      <w:r>
        <w:rPr>
          <w:rFonts w:ascii="Calibri" w:cs="Calibri" w:eastAsia="Calibri" w:hAnsi="Calibri"/>
          <w:color w:val="1A1A1A"/>
          <w:sz w:val="20"/>
          <w:szCs w:val="20"/>
        </w:rPr>
        <w:t xml:space="preserve">), 54 (</w:t>
      </w:r>
      <w:r>
        <w:rPr>
          <w:rFonts w:ascii="Calibri" w:cs="Calibri" w:eastAsia="Calibri" w:hAnsi="Calibri"/>
          <w:color w:val="E91E63"/>
          <w:sz w:val="20"/>
          <w:szCs w:val="20"/>
        </w:rPr>
        <w:t xml:space="preserve">Sotgiu</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Bilka</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2008</w:t>
      </w:r>
      <w:r>
        <w:rPr>
          <w:rFonts w:ascii="Calibri" w:cs="Calibri" w:eastAsia="Calibri" w:hAnsi="Calibri"/>
          <w:color w:val="1A1A1A"/>
          <w:sz w:val="20"/>
          <w:szCs w:val="20"/>
        </w:rPr>
        <w:t xml:space="preserve">), 56 (</w:t>
      </w:r>
      <w:r>
        <w:rPr>
          <w:rFonts w:ascii="Calibri" w:cs="Calibri" w:eastAsia="Calibri" w:hAnsi="Calibri"/>
          <w:color w:val="E91E63"/>
          <w:sz w:val="20"/>
          <w:szCs w:val="20"/>
        </w:rPr>
        <w:t xml:space="preserve">Leone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Preuve statistique et statistiques ethniques</w:t>
      </w:r>
      <w:r>
        <w:rPr>
          <w:rFonts w:ascii="Calibri" w:cs="Calibri" w:eastAsia="Calibri" w:hAnsi="Calibri"/>
          <w:color w:val="1A1A1A"/>
          <w:sz w:val="20"/>
          <w:szCs w:val="20"/>
        </w:rPr>
        <w:t xml:space="preserve"> → fiches 35 (données sensibles), 54 (</w:t>
      </w:r>
      <w:r>
        <w:rPr>
          <w:rFonts w:ascii="Calibri" w:cs="Calibri" w:eastAsia="Calibri" w:hAnsi="Calibri"/>
          <w:color w:val="E91E63"/>
          <w:sz w:val="20"/>
          <w:szCs w:val="20"/>
        </w:rPr>
        <w:t xml:space="preserve">2007-557 DC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D.H.</w:t>
      </w:r>
      <w:r>
        <w:rPr>
          <w:rFonts w:ascii="Calibri" w:cs="Calibri" w:eastAsia="Calibri" w:hAnsi="Calibri"/>
          <w:color w:val="1A1A1A"/>
          <w:sz w:val="20"/>
          <w:szCs w:val="20"/>
        </w:rPr>
        <w:t xml:space="preserve">), 56 (critique doctrinale).</w:t>
      </w:r>
    </w:p>
    <w:p>
      <w:pPr>
        <w:pStyle w:val="ListParagraph"/>
        <w:numPr>
          <w:ilvl w:val="0"/>
          <w:numId w:val="2"/>
        </w:numPr>
        <w:spacing w:after="70" w:line="264"/>
        <w:jc w:val="both"/>
      </w:pPr>
      <w:r>
        <w:rPr>
          <w:rFonts w:ascii="Calibri" w:cs="Calibri" w:eastAsia="Calibri" w:hAnsi="Calibri"/>
          <w:b/>
          <w:bCs/>
          <w:color w:val="1A1A1A"/>
          <w:sz w:val="20"/>
          <w:szCs w:val="20"/>
        </w:rPr>
        <w:t xml:space="preserve">Vulnérabilité (compléments)</w:t>
      </w:r>
      <w:r>
        <w:rPr>
          <w:rFonts w:ascii="Calibri" w:cs="Calibri" w:eastAsia="Calibri" w:hAnsi="Calibri"/>
          <w:color w:val="1A1A1A"/>
          <w:sz w:val="20"/>
          <w:szCs w:val="20"/>
        </w:rPr>
        <w:t xml:space="preserve"> → fiches 28 (</w:t>
      </w:r>
      <w:r>
        <w:rPr>
          <w:rFonts w:ascii="Calibri" w:cs="Calibri" w:eastAsia="Calibri" w:hAnsi="Calibri"/>
          <w:color w:val="E91E63"/>
          <w:sz w:val="20"/>
          <w:szCs w:val="20"/>
        </w:rPr>
        <w:t xml:space="preserve">Bouyid</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Strashunskyy</w:t>
      </w:r>
      <w:r>
        <w:rPr>
          <w:rFonts w:ascii="Calibri" w:cs="Calibri" w:eastAsia="Calibri" w:hAnsi="Calibri"/>
          <w:color w:val="1A1A1A"/>
          <w:sz w:val="20"/>
          <w:szCs w:val="20"/>
        </w:rPr>
        <w:t xml:space="preserve">), 43 et 53 (étrangers et asile, </w:t>
      </w:r>
      <w:r>
        <w:rPr>
          <w:rFonts w:ascii="Calibri" w:cs="Calibri" w:eastAsia="Calibri" w:hAnsi="Calibri"/>
          <w:color w:val="E91E63"/>
          <w:sz w:val="20"/>
          <w:szCs w:val="20"/>
        </w:rPr>
        <w:t xml:space="preserve">M.S.S.</w:t>
      </w:r>
      <w:r>
        <w:rPr>
          <w:rFonts w:ascii="Calibri" w:cs="Calibri" w:eastAsia="Calibri" w:hAnsi="Calibri"/>
          <w:color w:val="1A1A1A"/>
          <w:sz w:val="20"/>
          <w:szCs w:val="20"/>
        </w:rPr>
        <w:t xml:space="preserve">), 51 (hébergement), 55 (notion générale, cumul des facteurs, </w:t>
      </w:r>
      <w:r>
        <w:rPr>
          <w:rFonts w:ascii="Calibri" w:cs="Calibri" w:eastAsia="Calibri" w:hAnsi="Calibri"/>
          <w:color w:val="E91E63"/>
          <w:sz w:val="20"/>
          <w:szCs w:val="20"/>
        </w:rPr>
        <w:t xml:space="preserve">S.T. c. République tchèque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Roms</w:t>
      </w:r>
      <w:r>
        <w:rPr>
          <w:rFonts w:ascii="Calibri" w:cs="Calibri" w:eastAsia="Calibri" w:hAnsi="Calibri"/>
          <w:color w:val="1A1A1A"/>
          <w:sz w:val="20"/>
          <w:szCs w:val="20"/>
        </w:rPr>
        <w:t xml:space="preserve"> → fiches 33 (vie privée, </w:t>
      </w:r>
      <w:r>
        <w:rPr>
          <w:rFonts w:ascii="Calibri" w:cs="Calibri" w:eastAsia="Calibri" w:hAnsi="Calibri"/>
          <w:color w:val="E91E63"/>
          <w:sz w:val="20"/>
          <w:szCs w:val="20"/>
        </w:rPr>
        <w:t xml:space="preserve">Yordanova</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Winterstein</w:t>
      </w:r>
      <w:r>
        <w:rPr>
          <w:rFonts w:ascii="Calibri" w:cs="Calibri" w:eastAsia="Calibri" w:hAnsi="Calibri"/>
          <w:color w:val="1A1A1A"/>
          <w:sz w:val="20"/>
          <w:szCs w:val="20"/>
        </w:rPr>
        <w:t xml:space="preserve">), 47 (éducation), 54 (</w:t>
      </w:r>
      <w:r>
        <w:rPr>
          <w:rFonts w:ascii="Calibri" w:cs="Calibri" w:eastAsia="Calibri" w:hAnsi="Calibri"/>
          <w:color w:val="E91E63"/>
          <w:sz w:val="20"/>
          <w:szCs w:val="20"/>
        </w:rPr>
        <w:t xml:space="preserve">D.H.</w:t>
      </w:r>
      <w:r>
        <w:rPr>
          <w:rFonts w:ascii="Calibri" w:cs="Calibri" w:eastAsia="Calibri" w:hAnsi="Calibri"/>
          <w:color w:val="1A1A1A"/>
          <w:sz w:val="20"/>
          <w:szCs w:val="20"/>
        </w:rPr>
        <w:t xml:space="preserve">), 55 (</w:t>
      </w:r>
      <w:r>
        <w:rPr>
          <w:rFonts w:ascii="Calibri" w:cs="Calibri" w:eastAsia="Calibri" w:hAnsi="Calibri"/>
          <w:color w:val="E91E63"/>
          <w:sz w:val="20"/>
          <w:szCs w:val="20"/>
        </w:rPr>
        <w:t xml:space="preserve">N.B. c. Slovaquie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Lacatus</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S.T.</w:t>
      </w:r>
      <w:r>
        <w:rPr>
          <w:rFonts w:ascii="Calibri" w:cs="Calibri" w:eastAsia="Calibri" w:hAnsi="Calibri"/>
          <w:color w:val="1A1A1A"/>
          <w:sz w:val="20"/>
          <w:szCs w:val="20"/>
        </w:rPr>
        <w:t xml:space="preserve">), 56 (</w:t>
      </w:r>
      <w:r>
        <w:rPr>
          <w:rFonts w:ascii="Calibri" w:cs="Calibri" w:eastAsia="Calibri" w:hAnsi="Calibri"/>
          <w:color w:val="E91E63"/>
          <w:sz w:val="20"/>
          <w:szCs w:val="20"/>
        </w:rPr>
        <w:t xml:space="preserve">Oršuš</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Parité et égalité femmes-hommes</w:t>
      </w:r>
      <w:r>
        <w:rPr>
          <w:rFonts w:ascii="Calibri" w:cs="Calibri" w:eastAsia="Calibri" w:hAnsi="Calibri"/>
          <w:color w:val="1A1A1A"/>
          <w:sz w:val="20"/>
          <w:szCs w:val="20"/>
        </w:rPr>
        <w:t xml:space="preserve"> → fiches 9 (sources constitutionnelles), 42 (élections, listes paritaires), 50 (travail), 56 (</w:t>
      </w:r>
      <w:r>
        <w:rPr>
          <w:rFonts w:ascii="Calibri" w:cs="Calibri" w:eastAsia="Calibri" w:hAnsi="Calibri"/>
          <w:color w:val="E91E63"/>
          <w:sz w:val="20"/>
          <w:szCs w:val="20"/>
        </w:rPr>
        <w:t xml:space="preserve">82-146 DC</w:t>
      </w:r>
      <w:r>
        <w:rPr>
          <w:rFonts w:ascii="Calibri" w:cs="Calibri" w:eastAsia="Calibri" w:hAnsi="Calibri"/>
          <w:color w:val="1A1A1A"/>
          <w:sz w:val="20"/>
          <w:szCs w:val="20"/>
        </w:rPr>
        <w:t xml:space="preserve">, Copé-Zimmermann, Rixain, </w:t>
      </w:r>
      <w:r>
        <w:rPr>
          <w:rFonts w:ascii="Calibri" w:cs="Calibri" w:eastAsia="Calibri" w:hAnsi="Calibri"/>
          <w:color w:val="E91E63"/>
          <w:sz w:val="20"/>
          <w:szCs w:val="20"/>
        </w:rPr>
        <w:t xml:space="preserve">Kalanke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Indivisibilité du peuple et minorités</w:t>
      </w:r>
      <w:r>
        <w:rPr>
          <w:rFonts w:ascii="Calibri" w:cs="Calibri" w:eastAsia="Calibri" w:hAnsi="Calibri"/>
          <w:color w:val="1A1A1A"/>
          <w:sz w:val="20"/>
          <w:szCs w:val="20"/>
        </w:rPr>
        <w:t xml:space="preserve"> → fiches 9, 44 (peuples, autodétermination), 54 (</w:t>
      </w:r>
      <w:r>
        <w:rPr>
          <w:rFonts w:ascii="Calibri" w:cs="Calibri" w:eastAsia="Calibri" w:hAnsi="Calibri"/>
          <w:color w:val="E91E63"/>
          <w:sz w:val="20"/>
          <w:szCs w:val="20"/>
        </w:rPr>
        <w:t xml:space="preserve">91-290 DC</w:t>
      </w:r>
      <w:r>
        <w:rPr>
          <w:rFonts w:ascii="Calibri" w:cs="Calibri" w:eastAsia="Calibri" w:hAnsi="Calibri"/>
          <w:color w:val="1A1A1A"/>
          <w:sz w:val="20"/>
          <w:szCs w:val="20"/>
        </w:rPr>
        <w:t xml:space="preserve">), 55 (</w:t>
      </w:r>
      <w:r>
        <w:rPr>
          <w:rFonts w:ascii="Calibri" w:cs="Calibri" w:eastAsia="Calibri" w:hAnsi="Calibri"/>
          <w:color w:val="E91E63"/>
          <w:sz w:val="20"/>
          <w:szCs w:val="20"/>
        </w:rPr>
        <w:t xml:space="preserve">99-412 DC</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27 PIDCP</w:t>
      </w:r>
      <w:r>
        <w:rPr>
          <w:rFonts w:ascii="Calibri" w:cs="Calibri" w:eastAsia="Calibri" w:hAnsi="Calibri"/>
          <w:color w:val="1A1A1A"/>
          <w:sz w:val="20"/>
          <w:szCs w:val="20"/>
        </w:rPr>
        <w:t xml:space="preserve">), 56 (Nouvelle-Calédonie).</w:t>
      </w:r>
    </w:p>
    <w:p>
      <w:pPr>
        <w:pStyle w:val="ListParagraph"/>
        <w:numPr>
          <w:ilvl w:val="0"/>
          <w:numId w:val="2"/>
        </w:numPr>
        <w:spacing w:after="70" w:line="264"/>
        <w:jc w:val="both"/>
      </w:pPr>
      <w:r>
        <w:rPr>
          <w:rFonts w:ascii="Calibri" w:cs="Calibri" w:eastAsia="Calibri" w:hAnsi="Calibri"/>
          <w:b/>
          <w:bCs/>
          <w:color w:val="1A1A1A"/>
          <w:sz w:val="20"/>
          <w:szCs w:val="20"/>
        </w:rPr>
        <w:t xml:space="preserve">Défenseur des droits</w:t>
      </w:r>
      <w:r>
        <w:rPr>
          <w:rFonts w:ascii="Calibri" w:cs="Calibri" w:eastAsia="Calibri" w:hAnsi="Calibri"/>
          <w:color w:val="1A1A1A"/>
          <w:sz w:val="20"/>
          <w:szCs w:val="20"/>
        </w:rPr>
        <w:t xml:space="preserve"> → fiches 20 (AAI), 54 (lutte contre les discriminations), 55 (droits de l’enfant).</w:t>
      </w:r>
    </w:p>
    <w:p>
      <w:pPr>
        <w:pStyle w:val="ListParagraph"/>
        <w:numPr>
          <w:ilvl w:val="0"/>
          <w:numId w:val="2"/>
        </w:numPr>
        <w:spacing w:after="70" w:line="264"/>
        <w:jc w:val="both"/>
      </w:pPr>
      <w:r>
        <w:rPr>
          <w:rFonts w:ascii="Calibri" w:cs="Calibri" w:eastAsia="Calibri" w:hAnsi="Calibri"/>
          <w:b/>
          <w:bCs/>
          <w:color w:val="1A1A1A"/>
          <w:sz w:val="20"/>
          <w:szCs w:val="20"/>
        </w:rPr>
        <w:t xml:space="preserve">Algorithmes et discriminations</w:t>
      </w:r>
      <w:r>
        <w:rPr>
          <w:rFonts w:ascii="Calibri" w:cs="Calibri" w:eastAsia="Calibri" w:hAnsi="Calibri"/>
          <w:color w:val="1A1A1A"/>
          <w:sz w:val="20"/>
          <w:szCs w:val="20"/>
        </w:rPr>
        <w:t xml:space="preserve"> → fiches 35 (données, décisions automatisées), 54 (biais et proxy), 56 (métriques de débiaisement).</w:t>
      </w:r>
    </w:p>
    <w:p>
      <w:pPr>
        <w:pStyle w:val="ListParagraph"/>
        <w:numPr>
          <w:ilvl w:val="0"/>
          <w:numId w:val="2"/>
        </w:numPr>
        <w:spacing w:after="70" w:line="264"/>
        <w:jc w:val="both"/>
      </w:pPr>
      <w:r>
        <w:rPr>
          <w:rFonts w:ascii="Calibri" w:cs="Calibri" w:eastAsia="Calibri" w:hAnsi="Calibri"/>
          <w:b/>
          <w:bCs/>
          <w:color w:val="1A1A1A"/>
          <w:sz w:val="20"/>
          <w:szCs w:val="20"/>
        </w:rPr>
        <w:t xml:space="preserve">Mineurs (compléments)</w:t>
      </w:r>
      <w:r>
        <w:rPr>
          <w:rFonts w:ascii="Calibri" w:cs="Calibri" w:eastAsia="Calibri" w:hAnsi="Calibri"/>
          <w:color w:val="1A1A1A"/>
          <w:sz w:val="20"/>
          <w:szCs w:val="20"/>
        </w:rPr>
        <w:t xml:space="preserve"> → fiches 34 (vie familiale), 43 (mineurs étrangers), 55 (</w:t>
      </w:r>
      <w:r>
        <w:rPr>
          <w:rFonts w:ascii="Calibri" w:cs="Calibri" w:eastAsia="Calibri" w:hAnsi="Calibri"/>
          <w:color w:val="1E88E5"/>
          <w:sz w:val="20"/>
          <w:szCs w:val="20"/>
        </w:rPr>
        <w:t xml:space="preserve">CJPM</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2002-461 DC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L. et autres c. France</w:t>
      </w:r>
      <w:r>
        <w:rPr>
          <w:rFonts w:ascii="Calibri" w:cs="Calibri" w:eastAsia="Calibri" w:hAnsi="Calibri"/>
          <w:color w:val="1A1A1A"/>
          <w:sz w:val="20"/>
          <w:szCs w:val="20"/>
        </w:rPr>
        <w:t xml:space="preserve">).</w:t>
      </w:r>
    </w:p>
    <w:sectPr>
      <w:footerReference w:type="default" r:id="rId7"/>
      <w:pgSz w:w="11906" w:h="16838" w:orient="portrait"/>
      <w:pgMar w:top="1020" w:right="1077" w:bottom="1020" w:left="10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5"/>
        <w:szCs w:val="15"/>
      </w:rPr>
      <w:t xml:space="preserve">Grand Oral CRFPA — Libertés publiques et droits fondamentaux — Partie VIII   |   </w:t>
    </w:r>
    <w:r>
      <w:rPr>
        <w:rFonts w:ascii="Calibri" w:cs="Calibri" w:eastAsia="Calibri" w:hAnsi="Calibri"/>
        <w:color w:val="5A5A5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lvl w:ilvl="2" w15:tentative="1">
      <w:start w:val="1"/>
      <w:numFmt w:val="bullet"/>
      <w:lvlText w:val="·"/>
      <w:lvlJc w:val="left"/>
      <w:pPr>
        <w:ind w:left="10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Oral CRFPA — Libertés publiques et droits fondamentaux — Partie VIII</dc:title>
  <dc:creator>Simon</dc:creator>
  <dc:description>Fiches de révision n° 54 à 56</dc:description>
  <cp:lastModifiedBy>Un-named</cp:lastModifiedBy>
  <cp:revision>1</cp:revision>
  <dcterms:created xsi:type="dcterms:W3CDTF">2026-10-04T17:04:00.880Z</dcterms:created>
  <dcterms:modified xsi:type="dcterms:W3CDTF">2026-10-04T17:04:00.881Z</dcterms:modified>
</cp:coreProperties>
</file>

<file path=docProps/custom.xml><?xml version="1.0" encoding="utf-8"?>
<Properties xmlns="http://schemas.openxmlformats.org/officeDocument/2006/custom-properties" xmlns:vt="http://schemas.openxmlformats.org/officeDocument/2006/docPropsVTypes"/>
</file>