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00"/>
        <w:jc w:val="center"/>
      </w:pPr>
      <w:r>
        <w:rPr>
          <w:rFonts w:ascii="Calibri" w:cs="Calibri" w:eastAsia="Calibri" w:hAnsi="Calibri"/>
          <w:b/>
          <w:bCs/>
          <w:color w:val="5A5A5A"/>
          <w:spacing w:val="60"/>
          <w:sz w:val="26"/>
          <w:szCs w:val="26"/>
        </w:rPr>
        <w:t xml:space="preserve">GRAND ORAL DU CRFPA</w:t>
      </w:r>
    </w:p>
    <w:p>
      <w:pPr>
        <w:spacing w:after="100"/>
        <w:jc w:val="center"/>
      </w:pPr>
      <w:r>
        <w:rPr>
          <w:rFonts w:ascii="Calibri" w:cs="Calibri" w:eastAsia="Calibri" w:hAnsi="Calibri"/>
          <w:b/>
          <w:bCs/>
          <w:color w:val="8C1C2B"/>
          <w:sz w:val="44"/>
          <w:szCs w:val="44"/>
        </w:rPr>
        <w:t xml:space="preserve">LIBERTÉS PUBLIQUES ET DROITS FONDAMENTAUX</w:t>
      </w:r>
    </w:p>
    <w:p>
      <w:pPr>
        <w:spacing w:after="600"/>
        <w:jc w:val="center"/>
      </w:pPr>
      <w:r>
        <w:rPr>
          <w:rFonts w:ascii="Calibri" w:cs="Calibri" w:eastAsia="Calibri" w:hAnsi="Calibri"/>
          <w:color w:val="1A1A1A"/>
          <w:sz w:val="26"/>
          <w:szCs w:val="26"/>
        </w:rPr>
        <w:t xml:space="preserve">Partie VII-A — Libertés économiques et droits sociaux fondamentaux (fiches n° 45 à 48)</w:t>
      </w:r>
    </w:p>
    <w:p>
      <w:pPr>
        <w:spacing w:after="100"/>
        <w:jc w:val="center"/>
      </w:pPr>
      <w:r>
        <w:rPr>
          <w:rFonts w:ascii="Calibri" w:cs="Calibri" w:eastAsia="Calibri" w:hAnsi="Calibri"/>
          <w:i/>
          <w:iCs/>
          <w:color w:val="5A5A5A"/>
          <w:sz w:val="20"/>
          <w:szCs w:val="20"/>
        </w:rPr>
        <w:t xml:space="preserve">Fiches de révision exhaustives — exposé de 15 minutes et entretien avec le jury</w:t>
      </w:r>
    </w:p>
    <w:p>
      <w:pPr>
        <w:spacing w:after="700"/>
        <w:jc w:val="center"/>
      </w:pPr>
      <w:r>
        <w:rPr>
          <w:rFonts w:ascii="Calibri" w:cs="Calibri" w:eastAsia="Calibri" w:hAnsi="Calibri"/>
          <w:i/>
          <w:iCs/>
          <w:color w:val="5A5A5A"/>
          <w:sz w:val="18"/>
          <w:szCs w:val="18"/>
        </w:rPr>
        <w:t xml:space="preserve">D’après le fascicule Objectif Barreau 2026</w:t>
      </w:r>
    </w:p>
    <w:p>
      <w:pPr>
        <w:spacing w:after="120" w:before="200"/>
      </w:pPr>
      <w:r>
        <w:rPr>
          <w:rFonts w:ascii="Calibri" w:cs="Calibri" w:eastAsia="Calibri" w:hAnsi="Calibri"/>
          <w:b/>
          <w:bCs/>
          <w:color w:val="1A1A1A"/>
          <w:sz w:val="22"/>
          <w:szCs w:val="22"/>
        </w:rPr>
        <w:t xml:space="preserve">CODE COULEUR</w:t>
      </w:r>
    </w:p>
    <w:p>
      <w:pPr>
        <w:pStyle w:val="ListParagraph"/>
        <w:numPr>
          <w:ilvl w:val="0"/>
          <w:numId w:val="2"/>
        </w:numPr>
        <w:spacing w:after="60"/>
      </w:pPr>
      <w:r>
        <w:rPr>
          <w:rFonts w:ascii="Calibri" w:cs="Calibri" w:eastAsia="Calibri" w:hAnsi="Calibri"/>
          <w:color w:val="1E88E5"/>
          <w:sz w:val="20"/>
          <w:szCs w:val="20"/>
        </w:rPr>
        <w:t xml:space="preserve">Textes normatifs</w:t>
      </w:r>
      <w:r>
        <w:rPr>
          <w:rFonts w:ascii="Calibri" w:cs="Calibri" w:eastAsia="Calibri" w:hAnsi="Calibri"/>
          <w:color w:val="1A1A1A"/>
          <w:sz w:val="20"/>
          <w:szCs w:val="20"/>
        </w:rPr>
        <w:t xml:space="preserve"> — traités, conventions, Constitution, codes, lois, règlements.</w:t>
      </w:r>
    </w:p>
    <w:p>
      <w:pPr>
        <w:pStyle w:val="ListParagraph"/>
        <w:numPr>
          <w:ilvl w:val="0"/>
          <w:numId w:val="2"/>
        </w:numPr>
        <w:spacing w:after="60"/>
      </w:pPr>
      <w:r>
        <w:rPr>
          <w:rFonts w:ascii="Calibri" w:cs="Calibri" w:eastAsia="Calibri" w:hAnsi="Calibri"/>
          <w:color w:val="E91E63"/>
          <w:sz w:val="20"/>
          <w:szCs w:val="20"/>
        </w:rPr>
        <w:t xml:space="preserve">Jurisprudence</w:t>
      </w:r>
      <w:r>
        <w:rPr>
          <w:rFonts w:ascii="Calibri" w:cs="Calibri" w:eastAsia="Calibri" w:hAnsi="Calibri"/>
          <w:color w:val="1A1A1A"/>
          <w:sz w:val="20"/>
          <w:szCs w:val="20"/>
        </w:rPr>
        <w:t xml:space="preserve"> — Cass., CE, Cons. const., CEDH, CJUE, décisions QPC.</w:t>
      </w:r>
    </w:p>
    <w:p>
      <w:pPr>
        <w:pStyle w:val="ListParagraph"/>
        <w:numPr>
          <w:ilvl w:val="0"/>
          <w:numId w:val="2"/>
        </w:numPr>
        <w:spacing w:after="60"/>
      </w:pPr>
      <w:r>
        <w:rPr>
          <w:rFonts w:ascii="Calibri" w:cs="Calibri" w:eastAsia="Calibri" w:hAnsi="Calibri"/>
          <w:color w:val="2E7D32"/>
          <w:sz w:val="20"/>
          <w:szCs w:val="20"/>
        </w:rPr>
        <w:t xml:space="preserve">Doctrine</w:t>
      </w:r>
      <w:r>
        <w:rPr>
          <w:rFonts w:ascii="Calibri" w:cs="Calibri" w:eastAsia="Calibri" w:hAnsi="Calibri"/>
          <w:color w:val="1A1A1A"/>
          <w:sz w:val="20"/>
          <w:szCs w:val="20"/>
        </w:rPr>
        <w:t xml:space="preserve"> — auteurs, thèses, controverses universitaires, avis institutionnels.</w:t>
      </w:r>
    </w:p>
    <w:p>
      <w:pPr>
        <w:pStyle w:val="ListParagraph"/>
        <w:numPr>
          <w:ilvl w:val="0"/>
          <w:numId w:val="2"/>
        </w:numPr>
        <w:spacing w:after="60"/>
      </w:pPr>
      <w:r>
        <w:rPr>
          <w:rFonts w:ascii="Calibri" w:cs="Calibri" w:eastAsia="Calibri" w:hAnsi="Calibri"/>
          <w:b/>
          <w:bCs/>
          <w:color w:val="1A1A1A"/>
          <w:sz w:val="20"/>
          <w:szCs w:val="20"/>
        </w:rPr>
        <w:t xml:space="preserve">Gras</w:t>
      </w:r>
      <w:r>
        <w:rPr>
          <w:rFonts w:ascii="Calibri" w:cs="Calibri" w:eastAsia="Calibri" w:hAnsi="Calibri"/>
          <w:color w:val="1A1A1A"/>
          <w:sz w:val="20"/>
          <w:szCs w:val="20"/>
        </w:rPr>
        <w:t xml:space="preserve"> — réservé au seul apport à mémoriser. La couleur dit d’où vient la règle, le gras dit ce qu’il faut réciter.</w:t>
      </w:r>
    </w:p>
    <w:p>
      <w:pPr>
        <w:pStyle w:val="ListParagraph"/>
        <w:numPr>
          <w:ilvl w:val="0"/>
          <w:numId w:val="2"/>
        </w:numPr>
        <w:spacing w:after="300"/>
      </w:pPr>
      <w:r>
        <w:rPr>
          <w:rFonts w:ascii="Calibri" w:cs="Calibri" w:eastAsia="Calibri" w:hAnsi="Calibri"/>
          <w:color w:val="1A1A1A"/>
          <w:sz w:val="20"/>
          <w:szCs w:val="20"/>
        </w:rPr>
        <w:t xml:space="preserve">★</w:t>
      </w:r>
      <w:r>
        <w:rPr>
          <w:rFonts w:ascii="Calibri" w:cs="Calibri" w:eastAsia="Calibri" w:hAnsi="Calibri"/>
          <w:color w:val="1A1A1A"/>
          <w:sz w:val="20"/>
          <w:szCs w:val="20"/>
        </w:rPr>
        <w:t xml:space="preserve"> — référence incontournable, à citer de mémoire le jour J.</w:t>
      </w:r>
    </w:p>
    <w:p>
      <w:pPr>
        <w:spacing w:after="120" w:before="200"/>
      </w:pPr>
      <w:r>
        <w:rPr>
          <w:rFonts w:ascii="Calibri" w:cs="Calibri" w:eastAsia="Calibri" w:hAnsi="Calibri"/>
          <w:b/>
          <w:bCs/>
          <w:color w:val="1A1A1A"/>
          <w:sz w:val="22"/>
          <w:szCs w:val="22"/>
        </w:rPr>
        <w:t xml:space="preserve">SOMMAIRE</w:t>
      </w:r>
    </w:p>
    <w:p>
      <w:pPr>
        <w:pStyle w:val="ListParagraph"/>
        <w:numPr>
          <w:ilvl w:val="0"/>
          <w:numId w:val="2"/>
        </w:numPr>
        <w:spacing w:after="40"/>
      </w:pPr>
      <w:r>
        <w:rPr>
          <w:rFonts w:ascii="Calibri" w:cs="Calibri" w:eastAsia="Calibri" w:hAnsi="Calibri"/>
          <w:color w:val="1A1A1A"/>
          <w:sz w:val="20"/>
          <w:szCs w:val="20"/>
        </w:rPr>
        <w:t xml:space="preserve">Fiche n° 45 — La liberté du commerce et de l’industrie</w:t>
      </w:r>
    </w:p>
    <w:p>
      <w:pPr>
        <w:pStyle w:val="ListParagraph"/>
        <w:numPr>
          <w:ilvl w:val="0"/>
          <w:numId w:val="2"/>
        </w:numPr>
        <w:spacing w:after="40"/>
      </w:pPr>
      <w:r>
        <w:rPr>
          <w:rFonts w:ascii="Calibri" w:cs="Calibri" w:eastAsia="Calibri" w:hAnsi="Calibri"/>
          <w:color w:val="1A1A1A"/>
          <w:sz w:val="20"/>
          <w:szCs w:val="20"/>
        </w:rPr>
        <w:t xml:space="preserve">Fiche n° 46 — Le droit de propriété</w:t>
      </w:r>
    </w:p>
    <w:p>
      <w:pPr>
        <w:pStyle w:val="ListParagraph"/>
        <w:numPr>
          <w:ilvl w:val="0"/>
          <w:numId w:val="2"/>
        </w:numPr>
        <w:spacing w:after="40"/>
      </w:pPr>
      <w:r>
        <w:rPr>
          <w:rFonts w:ascii="Calibri" w:cs="Calibri" w:eastAsia="Calibri" w:hAnsi="Calibri"/>
          <w:color w:val="1A1A1A"/>
          <w:sz w:val="20"/>
          <w:szCs w:val="20"/>
        </w:rPr>
        <w:t xml:space="preserve">Fiche n° 47 — Le droit à l’éducation et à la formation</w:t>
      </w:r>
    </w:p>
    <w:p>
      <w:pPr>
        <w:pStyle w:val="ListParagraph"/>
        <w:numPr>
          <w:ilvl w:val="0"/>
          <w:numId w:val="2"/>
        </w:numPr>
        <w:spacing w:after="40"/>
      </w:pPr>
      <w:r>
        <w:rPr>
          <w:rFonts w:ascii="Calibri" w:cs="Calibri" w:eastAsia="Calibri" w:hAnsi="Calibri"/>
          <w:color w:val="1A1A1A"/>
          <w:sz w:val="20"/>
          <w:szCs w:val="20"/>
        </w:rPr>
        <w:t xml:space="preserve">Fiche n° 48 — Le droit à la santé et à la protection sociale</w:t>
      </w:r>
    </w:p>
    <w:p>
      <w:pPr>
        <w:pStyle w:val="ListParagraph"/>
        <w:numPr>
          <w:ilvl w:val="0"/>
          <w:numId w:val="2"/>
        </w:numPr>
        <w:spacing w:after="40"/>
      </w:pPr>
      <w:r>
        <w:rPr>
          <w:rFonts w:ascii="Calibri" w:cs="Calibri" w:eastAsia="Calibri" w:hAnsi="Calibri"/>
          <w:color w:val="1A1A1A"/>
          <w:sz w:val="20"/>
          <w:szCs w:val="20"/>
        </w:rPr>
        <w:t xml:space="preserve">Annexe — Compléments à la chronologie et à l’index</w:t>
      </w:r>
    </w:p>
    <w:p>
      <w:pPr>
        <w:spacing w:after="80" w:before="300"/>
      </w:pPr>
      <w:r>
        <w:rPr>
          <w:rFonts w:ascii="Calibri" w:cs="Calibri" w:eastAsia="Calibri" w:hAnsi="Calibri"/>
          <w:i/>
          <w:iCs/>
          <w:color w:val="5A5A5A"/>
          <w:sz w:val="18"/>
          <w:szCs w:val="18"/>
        </w:rPr>
        <w:t xml:space="preserve">Chaque fiche s’ouvre sur une FICHE-MÉMOIRE d’une page — accroche, définition en trois lignes, cinq références incontournables, deux matrices de plan, trois pièges. C’est elle que l’on relit ; les pages suivantes forment le dossier de consultation.</w:t>
      </w:r>
    </w:p>
    <w:p>
      <w:r>
        <w:rPr>
          <w:rFonts w:ascii="Calibri" w:cs="Calibri" w:eastAsia="Calibri" w:hAnsi="Calibri"/>
          <w:i/>
          <w:iCs/>
          <w:color w:val="5A5A5A"/>
          <w:sz w:val="18"/>
          <w:szCs w:val="18"/>
        </w:rPr>
        <w:t xml:space="preserve">Dossier : architecture textuelle — ligne prétorienne et évolutions — débats doctrinaux et critiques — dispositif « Grand Oral » (relances du jury, sujets d’exposé, angles morts formulés en question / réponse pour le rappel actif).</w:t>
      </w:r>
    </w:p>
    <w:p>
      <w:r>
        <w:br w:type="page"/>
      </w:r>
    </w:p>
    <w:p>
      <w:pPr>
        <w:pStyle w:val="Heading1"/>
        <w:pBdr>
          <w:bottom w:val="single" w:color="8C1C2B" w:sz="12" w:space="6"/>
        </w:pBdr>
        <w:spacing w:after="200" w:before="240"/>
      </w:pPr>
      <w:r>
        <w:rPr>
          <w:rFonts w:ascii="Calibri" w:cs="Calibri" w:eastAsia="Calibri" w:hAnsi="Calibri"/>
          <w:b/>
          <w:bCs/>
          <w:color w:val="8C1C2B"/>
          <w:sz w:val="30"/>
          <w:szCs w:val="30"/>
        </w:rPr>
        <w:t xml:space="preserve">FICHE N° 45 — LA LIBERTÉ DU COMMERCE ET DE L’INDUSTRIE</w:t>
      </w:r>
    </w:p>
    <w:p>
      <w:pPr>
        <w:pStyle w:val="Heading2"/>
        <w:spacing w:after="120" w:before="280"/>
      </w:pPr>
      <w:r>
        <w:rPr>
          <w:rFonts w:ascii="Calibri" w:cs="Calibri" w:eastAsia="Calibri" w:hAnsi="Calibri"/>
          <w:b/>
          <w:bCs/>
          <w:color w:val="1A1A1A"/>
          <w:sz w:val="24"/>
          <w:szCs w:val="24"/>
        </w:rPr>
        <w:t xml:space="preserve">◆ FICHE-MÉMOIRE — à réviser en trois minutes</w:t>
      </w:r>
    </w:p>
    <w:p>
      <w:pPr>
        <w:pStyle w:val="Heading3"/>
        <w:spacing w:after="90" w:before="200"/>
      </w:pPr>
      <w:r>
        <w:rPr>
          <w:rFonts w:ascii="Calibri" w:cs="Calibri" w:eastAsia="Calibri" w:hAnsi="Calibri"/>
          <w:b/>
          <w:bCs/>
          <w:i/>
          <w:iCs/>
          <w:color w:val="5A5A5A"/>
          <w:sz w:val="21"/>
          <w:szCs w:val="21"/>
        </w:rPr>
        <w:t xml:space="preserve">Accroche</w:t>
      </w:r>
    </w:p>
    <w:p>
      <w:pPr>
        <w:pStyle w:val="ListParagraph"/>
        <w:numPr>
          <w:ilvl w:val="0"/>
          <w:numId w:val="2"/>
        </w:numPr>
        <w:spacing w:after="70" w:line="264"/>
        <w:jc w:val="both"/>
      </w:pPr>
      <w:r>
        <w:rPr>
          <w:rFonts w:ascii="Calibri" w:cs="Calibri" w:eastAsia="Calibri" w:hAnsi="Calibri"/>
          <w:color w:val="1A1A1A"/>
          <w:sz w:val="20"/>
          <w:szCs w:val="20"/>
        </w:rPr>
        <w:t xml:space="preserve">Le 2 mars 1791, le décret d’Allarde proclame qu’« il sera libre à toute personne de faire tel négoce ou d’exercer telle profession, art ou métier qu’elle trouvera bon » ; trois mois plus tard, la loi Le Chapelier abolit les corporations. Deux siècles après, le Conseil d’État annule l’interdiction de tous les produits du vapotage en Polynésie : </w:t>
      </w:r>
      <w:r>
        <w:rPr>
          <w:rFonts w:ascii="Calibri" w:cs="Calibri" w:eastAsia="Calibri" w:hAnsi="Calibri"/>
          <w:b/>
          <w:bCs/>
          <w:color w:val="1A1A1A"/>
          <w:sz w:val="20"/>
          <w:szCs w:val="20"/>
        </w:rPr>
        <w:t xml:space="preserve">on peut interdire un produit dangereux, pas un marché entier par commodité</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 23 décembre 2025, Vape X</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color w:val="1A1A1A"/>
          <w:sz w:val="20"/>
          <w:szCs w:val="20"/>
        </w:rPr>
        <w:t xml:space="preserve">Accroche alternative : en 1982, la gauche nationalise cinq groupes industriels et trente-neuf banques ; le Conseil constitutionnel valide le principe mais consacre, au passage, la </w:t>
      </w:r>
      <w:r>
        <w:rPr>
          <w:rFonts w:ascii="Calibri" w:cs="Calibri" w:eastAsia="Calibri" w:hAnsi="Calibri"/>
          <w:b/>
          <w:bCs/>
          <w:color w:val="1A1A1A"/>
          <w:sz w:val="20"/>
          <w:szCs w:val="20"/>
        </w:rPr>
        <w:t xml:space="preserve">liberté d’entreprendre</w:t>
      </w:r>
      <w:r>
        <w:rPr>
          <w:rFonts w:ascii="Calibri" w:cs="Calibri" w:eastAsia="Calibri" w:hAnsi="Calibri"/>
          <w:color w:val="1A1A1A"/>
          <w:sz w:val="20"/>
          <w:szCs w:val="20"/>
        </w:rPr>
        <w:t xml:space="preserve"> comme liberté de valeur constitutionnelle tirée de l’</w:t>
      </w:r>
      <w:r>
        <w:rPr>
          <w:rFonts w:ascii="Calibri" w:cs="Calibri" w:eastAsia="Calibri" w:hAnsi="Calibri"/>
          <w:color w:val="1E88E5"/>
          <w:sz w:val="20"/>
          <w:szCs w:val="20"/>
        </w:rPr>
        <w:t xml:space="preserve">art. 4 DDHC</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81-132 DC</w:t>
      </w:r>
      <w:r>
        <w:rPr>
          <w:rFonts w:ascii="Calibri" w:cs="Calibri" w:eastAsia="Calibri" w:hAnsi="Calibri"/>
          <w:color w:val="1A1A1A"/>
          <w:sz w:val="20"/>
          <w:szCs w:val="20"/>
        </w:rPr>
        <w:t xml:space="preserve">). </w:t>
      </w:r>
      <w:r>
        <w:rPr>
          <w:rFonts w:ascii="Calibri" w:cs="Calibri" w:eastAsia="Calibri" w:hAnsi="Calibri"/>
          <w:b/>
          <w:bCs/>
          <w:color w:val="1A1A1A"/>
          <w:sz w:val="20"/>
          <w:szCs w:val="20"/>
        </w:rPr>
        <w:t xml:space="preserve">La liberté économique est entrée dans le bloc de constitutionnalité par la porte de sa limitation.</w:t>
      </w:r>
    </w:p>
    <w:p>
      <w:pPr>
        <w:pStyle w:val="Heading3"/>
        <w:spacing w:after="90" w:before="200"/>
      </w:pPr>
      <w:r>
        <w:rPr>
          <w:rFonts w:ascii="Calibri" w:cs="Calibri" w:eastAsia="Calibri" w:hAnsi="Calibri"/>
          <w:b/>
          <w:bCs/>
          <w:i/>
          <w:iCs/>
          <w:color w:val="5A5A5A"/>
          <w:sz w:val="21"/>
          <w:szCs w:val="21"/>
        </w:rPr>
        <w:t xml:space="preserve">Définition en trois lignes</w:t>
      </w:r>
    </w:p>
    <w:p>
      <w:pPr>
        <w:pStyle w:val="ListParagraph"/>
        <w:numPr>
          <w:ilvl w:val="0"/>
          <w:numId w:val="2"/>
        </w:numPr>
        <w:spacing w:after="70" w:line="264"/>
        <w:jc w:val="both"/>
      </w:pPr>
      <w:r>
        <w:rPr>
          <w:rFonts w:ascii="Calibri" w:cs="Calibri" w:eastAsia="Calibri" w:hAnsi="Calibri"/>
          <w:color w:val="1A1A1A"/>
          <w:sz w:val="20"/>
          <w:szCs w:val="20"/>
        </w:rPr>
        <w:t xml:space="preserve">La liberté du commerce et de l’industrie est le droit pour toute personne d’accéder à une activité économique de son choix (liberté d’établissement) et de l’exercer librement (liberté d’exploitation et de gestion), dans le respect de la réglementation ; elle comprend la </w:t>
      </w:r>
      <w:r>
        <w:rPr>
          <w:rFonts w:ascii="Calibri" w:cs="Calibri" w:eastAsia="Calibri" w:hAnsi="Calibri"/>
          <w:b/>
          <w:bCs/>
          <w:color w:val="1A1A1A"/>
          <w:sz w:val="20"/>
          <w:szCs w:val="20"/>
        </w:rPr>
        <w:t xml:space="preserve">liberté contractuelle</w:t>
      </w:r>
      <w:r>
        <w:rPr>
          <w:rFonts w:ascii="Calibri" w:cs="Calibri" w:eastAsia="Calibri" w:hAnsi="Calibri"/>
          <w:color w:val="1A1A1A"/>
          <w:sz w:val="20"/>
          <w:szCs w:val="20"/>
        </w:rPr>
        <w:t xml:space="preserve"> et s’articule avec la </w:t>
      </w:r>
      <w:r>
        <w:rPr>
          <w:rFonts w:ascii="Calibri" w:cs="Calibri" w:eastAsia="Calibri" w:hAnsi="Calibri"/>
          <w:b/>
          <w:bCs/>
          <w:color w:val="1A1A1A"/>
          <w:sz w:val="20"/>
          <w:szCs w:val="20"/>
        </w:rPr>
        <w:t xml:space="preserve">libre concurrence</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color w:val="1A1A1A"/>
          <w:sz w:val="20"/>
          <w:szCs w:val="20"/>
        </w:rPr>
        <w:t xml:space="preserve">En droit constitutionnel, elle est absorbée par la </w:t>
      </w:r>
      <w:r>
        <w:rPr>
          <w:rFonts w:ascii="Calibri" w:cs="Calibri" w:eastAsia="Calibri" w:hAnsi="Calibri"/>
          <w:b/>
          <w:bCs/>
          <w:color w:val="1A1A1A"/>
          <w:sz w:val="20"/>
          <w:szCs w:val="20"/>
        </w:rPr>
        <w:t xml:space="preserve">liberté d’entreprendre</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art. 4 DDHC</w:t>
      </w:r>
      <w:r>
        <w:rPr>
          <w:rFonts w:ascii="Calibri" w:cs="Calibri" w:eastAsia="Calibri" w:hAnsi="Calibri"/>
          <w:color w:val="1A1A1A"/>
          <w:sz w:val="20"/>
          <w:szCs w:val="20"/>
        </w:rPr>
        <w:t xml:space="preserve">) ; le législateur peut y apporter des limitations liées à des exigences constitutionnelles ou justifiées par l’intérêt général, à condition qu’il n’en résulte pas d’atteintes </w:t>
      </w:r>
      <w:r>
        <w:rPr>
          <w:rFonts w:ascii="Calibri" w:cs="Calibri" w:eastAsia="Calibri" w:hAnsi="Calibri"/>
          <w:b/>
          <w:bCs/>
          <w:color w:val="1A1A1A"/>
          <w:sz w:val="20"/>
          <w:szCs w:val="20"/>
        </w:rPr>
        <w:t xml:space="preserve">disproportionnées</w:t>
      </w:r>
      <w:r>
        <w:rPr>
          <w:rFonts w:ascii="Calibri" w:cs="Calibri" w:eastAsia="Calibri" w:hAnsi="Calibri"/>
          <w:color w:val="1A1A1A"/>
          <w:sz w:val="20"/>
          <w:szCs w:val="20"/>
        </w:rPr>
        <w:t xml:space="preserve"> au regard de l’objectif poursuivi (</w:t>
      </w:r>
      <w:r>
        <w:rPr>
          <w:rFonts w:ascii="Calibri" w:cs="Calibri" w:eastAsia="Calibri" w:hAnsi="Calibri"/>
          <w:color w:val="E91E63"/>
          <w:sz w:val="20"/>
          <w:szCs w:val="20"/>
        </w:rPr>
        <w:t xml:space="preserve">2000-439 DC</w:t>
      </w:r>
      <w:r>
        <w:rPr>
          <w:rFonts w:ascii="Calibri" w:cs="Calibri" w:eastAsia="Calibri" w:hAnsi="Calibri"/>
          <w:color w:val="1A1A1A"/>
          <w:sz w:val="20"/>
          <w:szCs w:val="20"/>
        </w:rPr>
        <w:t xml:space="preserve">).</w:t>
      </w:r>
    </w:p>
    <w:p>
      <w:pPr>
        <w:pStyle w:val="Heading3"/>
        <w:spacing w:after="90" w:before="200"/>
      </w:pPr>
      <w:r>
        <w:rPr>
          <w:rFonts w:ascii="Calibri" w:cs="Calibri" w:eastAsia="Calibri" w:hAnsi="Calibri"/>
          <w:b/>
          <w:bCs/>
          <w:i/>
          <w:iCs/>
          <w:color w:val="5A5A5A"/>
          <w:sz w:val="21"/>
          <w:szCs w:val="21"/>
        </w:rPr>
        <w:t xml:space="preserve">Les cinq références incontournables</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Décret d’Allarde des 2-17 mars 1791, art. 7</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4 DDHC</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16 CDFUE</w:t>
      </w:r>
      <w:r>
        <w:rPr>
          <w:rFonts w:ascii="Calibri" w:cs="Calibri" w:eastAsia="Calibri" w:hAnsi="Calibri"/>
          <w:color w:val="1A1A1A"/>
          <w:sz w:val="20"/>
          <w:szCs w:val="20"/>
        </w:rPr>
        <w:t xml:space="preserve"> (liberté d’entreprise) ; </w:t>
      </w:r>
      <w:r>
        <w:rPr>
          <w:rFonts w:ascii="Calibri" w:cs="Calibri" w:eastAsia="Calibri" w:hAnsi="Calibri"/>
          <w:color w:val="1E88E5"/>
          <w:sz w:val="20"/>
          <w:szCs w:val="20"/>
        </w:rPr>
        <w:t xml:space="preserve">art. 49 et 56 TFUE</w:t>
      </w:r>
      <w:r>
        <w:rPr>
          <w:rFonts w:ascii="Calibri" w:cs="Calibri" w:eastAsia="Calibri" w:hAnsi="Calibri"/>
          <w:color w:val="1A1A1A"/>
          <w:sz w:val="20"/>
          <w:szCs w:val="20"/>
        </w:rPr>
        <w:t xml:space="preserve"> (établissement, services).</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Cons. const., déc. n° 81-132 DC, 16 janvier 1982, Nationalisations</w:t>
      </w:r>
      <w:r>
        <w:rPr>
          <w:rFonts w:ascii="Calibri" w:cs="Calibri" w:eastAsia="Calibri" w:hAnsi="Calibri"/>
          <w:color w:val="1A1A1A"/>
          <w:sz w:val="20"/>
          <w:szCs w:val="20"/>
        </w:rPr>
        <w:t xml:space="preserve"> : valeur constitutionnelle de la liberté d’entreprendre, qui ne saurait être préservée si des restrictions arbitraires ou abusives lui étaient apportées.</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 ass., 22 juin 1951, Daudignac</w:t>
      </w:r>
      <w:r>
        <w:rPr>
          <w:rFonts w:ascii="Calibri" w:cs="Calibri" w:eastAsia="Calibri" w:hAnsi="Calibri"/>
          <w:color w:val="1A1A1A"/>
          <w:sz w:val="20"/>
          <w:szCs w:val="20"/>
        </w:rPr>
        <w:t xml:space="preserve"> : le pouvoir de police ne peut soumettre à autorisation préalable l’exercice d’une profession — seul le législateur le peut.</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 ass., 31 mai 2006, Ordre des avocats au barreau de Paris, n° 275531</w:t>
      </w:r>
      <w:r>
        <w:rPr>
          <w:rFonts w:ascii="Calibri" w:cs="Calibri" w:eastAsia="Calibri" w:hAnsi="Calibri"/>
          <w:color w:val="1A1A1A"/>
          <w:sz w:val="20"/>
          <w:szCs w:val="20"/>
        </w:rPr>
        <w:t xml:space="preserve"> : une personne publique peut intervenir sur un marché si un </w:t>
      </w:r>
      <w:r>
        <w:rPr>
          <w:rFonts w:ascii="Calibri" w:cs="Calibri" w:eastAsia="Calibri" w:hAnsi="Calibri"/>
          <w:b/>
          <w:bCs/>
          <w:color w:val="1A1A1A"/>
          <w:sz w:val="20"/>
          <w:szCs w:val="20"/>
        </w:rPr>
        <w:t xml:space="preserve">intérêt public</w:t>
      </w:r>
      <w:r>
        <w:rPr>
          <w:rFonts w:ascii="Calibri" w:cs="Calibri" w:eastAsia="Calibri" w:hAnsi="Calibri"/>
          <w:color w:val="1A1A1A"/>
          <w:sz w:val="20"/>
          <w:szCs w:val="20"/>
        </w:rPr>
        <w:t xml:space="preserve"> le justifie, sans fausser le libre jeu de la concurrence.</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Cons. const., déc. n° 2019-823 QPC, 31 janvier 2020, Union des industries de la protection des plantes</w:t>
      </w:r>
      <w:r>
        <w:rPr>
          <w:rFonts w:ascii="Calibri" w:cs="Calibri" w:eastAsia="Calibri" w:hAnsi="Calibri"/>
          <w:color w:val="1A1A1A"/>
          <w:sz w:val="20"/>
          <w:szCs w:val="20"/>
        </w:rPr>
        <w:t xml:space="preserve"> : la protection de l’environnement, </w:t>
      </w:r>
      <w:r>
        <w:rPr>
          <w:rFonts w:ascii="Calibri" w:cs="Calibri" w:eastAsia="Calibri" w:hAnsi="Calibri"/>
          <w:b/>
          <w:bCs/>
          <w:color w:val="1A1A1A"/>
          <w:sz w:val="20"/>
          <w:szCs w:val="20"/>
        </w:rPr>
        <w:t xml:space="preserve">patrimoine commun des êtres humains</w:t>
      </w:r>
      <w:r>
        <w:rPr>
          <w:rFonts w:ascii="Calibri" w:cs="Calibri" w:eastAsia="Calibri" w:hAnsi="Calibri"/>
          <w:color w:val="1A1A1A"/>
          <w:sz w:val="20"/>
          <w:szCs w:val="20"/>
        </w:rPr>
        <w:t xml:space="preserve">, objectif de valeur constitutionnelle, justifie l’interdiction de produire en France des pesticides interdits dans l’Union.</w:t>
      </w:r>
    </w:p>
    <w:p>
      <w:pPr>
        <w:pStyle w:val="Heading3"/>
        <w:spacing w:after="90" w:before="200"/>
      </w:pPr>
      <w:r>
        <w:rPr>
          <w:rFonts w:ascii="Calibri" w:cs="Calibri" w:eastAsia="Calibri" w:hAnsi="Calibri"/>
          <w:b/>
          <w:bCs/>
          <w:i/>
          <w:iCs/>
          <w:color w:val="5A5A5A"/>
          <w:sz w:val="21"/>
          <w:szCs w:val="21"/>
        </w:rPr>
        <w:t xml:space="preserve">Deux matrices de plan</w:t>
      </w:r>
    </w:p>
    <w:p>
      <w:pPr>
        <w:pStyle w:val="ListParagraph"/>
        <w:numPr>
          <w:ilvl w:val="0"/>
          <w:numId w:val="2"/>
        </w:numPr>
        <w:spacing w:after="70" w:line="264"/>
        <w:jc w:val="both"/>
      </w:pPr>
      <w:r>
        <w:rPr>
          <w:rFonts w:ascii="Calibri" w:cs="Calibri" w:eastAsia="Calibri" w:hAnsi="Calibri"/>
          <w:b/>
          <w:bCs/>
          <w:color w:val="1A1A1A"/>
          <w:sz w:val="20"/>
          <w:szCs w:val="20"/>
        </w:rPr>
        <w:t xml:space="preserve">Sujet « La liberté d’entreprendre, liberté fondamentale ? »</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I. Une liberté constitutionnellement protégée</w:t>
      </w:r>
      <w:r>
        <w:rPr>
          <w:rFonts w:ascii="Calibri" w:cs="Calibri" w:eastAsia="Calibri" w:hAnsi="Calibri"/>
          <w:color w:val="1A1A1A"/>
          <w:sz w:val="20"/>
          <w:szCs w:val="20"/>
        </w:rPr>
        <w:t xml:space="preserve"> (A. Une consécration tardive et indirecte : </w:t>
      </w:r>
      <w:r>
        <w:rPr>
          <w:rFonts w:ascii="Calibri" w:cs="Calibri" w:eastAsia="Calibri" w:hAnsi="Calibri"/>
          <w:color w:val="1E88E5"/>
          <w:sz w:val="20"/>
          <w:szCs w:val="20"/>
        </w:rPr>
        <w:t xml:space="preserve">art. 4 DDHC</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81-132 DC</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2000-439 DC</w:t>
      </w:r>
      <w:r>
        <w:rPr>
          <w:rFonts w:ascii="Calibri" w:cs="Calibri" w:eastAsia="Calibri" w:hAnsi="Calibri"/>
          <w:color w:val="1A1A1A"/>
          <w:sz w:val="20"/>
          <w:szCs w:val="20"/>
        </w:rPr>
        <w:t xml:space="preserve"> ; B. Des composantes protégées : accès, exploitation, liberté contractuelle </w:t>
      </w:r>
      <w:r>
        <w:rPr>
          <w:rFonts w:ascii="Calibri" w:cs="Calibri" w:eastAsia="Calibri" w:hAnsi="Calibri"/>
          <w:color w:val="E91E63"/>
          <w:sz w:val="20"/>
          <w:szCs w:val="20"/>
        </w:rPr>
        <w:t xml:space="preserve">2013-672 DC</w:t>
      </w:r>
      <w:r>
        <w:rPr>
          <w:rFonts w:ascii="Calibri" w:cs="Calibri" w:eastAsia="Calibri" w:hAnsi="Calibri"/>
          <w:color w:val="1A1A1A"/>
          <w:sz w:val="20"/>
          <w:szCs w:val="20"/>
        </w:rPr>
        <w:t xml:space="preserve">, référé-liberté) / </w:t>
      </w:r>
      <w:r>
        <w:rPr>
          <w:rFonts w:ascii="Calibri" w:cs="Calibri" w:eastAsia="Calibri" w:hAnsi="Calibri"/>
          <w:b/>
          <w:bCs/>
          <w:color w:val="1A1A1A"/>
          <w:sz w:val="20"/>
          <w:szCs w:val="20"/>
        </w:rPr>
        <w:t xml:space="preserve">II. Une liberté de second rang ?</w:t>
      </w:r>
      <w:r>
        <w:rPr>
          <w:rFonts w:ascii="Calibri" w:cs="Calibri" w:eastAsia="Calibri" w:hAnsi="Calibri"/>
          <w:color w:val="1A1A1A"/>
          <w:sz w:val="20"/>
          <w:szCs w:val="20"/>
        </w:rPr>
        <w:t xml:space="preserve"> (A. Un contrôle de proportionnalité souvent restreint : </w:t>
      </w:r>
      <w:r>
        <w:rPr>
          <w:rFonts w:ascii="Calibri" w:cs="Calibri" w:eastAsia="Calibri" w:hAnsi="Calibri"/>
          <w:color w:val="E91E63"/>
          <w:sz w:val="20"/>
          <w:szCs w:val="20"/>
        </w:rPr>
        <w:t xml:space="preserve">2001-455 DC</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90-283 DC</w:t>
      </w:r>
      <w:r>
        <w:rPr>
          <w:rFonts w:ascii="Calibri" w:cs="Calibri" w:eastAsia="Calibri" w:hAnsi="Calibri"/>
          <w:color w:val="1A1A1A"/>
          <w:sz w:val="20"/>
          <w:szCs w:val="20"/>
        </w:rPr>
        <w:t xml:space="preserve"> (loi Évin) ; B. Une conciliation de plus en plus exigeante avec la santé et l’environnement : </w:t>
      </w:r>
      <w:r>
        <w:rPr>
          <w:rFonts w:ascii="Calibri" w:cs="Calibri" w:eastAsia="Calibri" w:hAnsi="Calibri"/>
          <w:color w:val="E91E63"/>
          <w:sz w:val="20"/>
          <w:szCs w:val="20"/>
        </w:rPr>
        <w:t xml:space="preserve">2019-823 QPC</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 23 décembre 2025</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 13 mai 2026</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Sujet « La soumission de la liberté d’entreprendre à autorisation »</w:t>
      </w:r>
      <w:r>
        <w:rPr>
          <w:rFonts w:ascii="Calibri" w:cs="Calibri" w:eastAsia="Calibri" w:hAnsi="Calibri"/>
          <w:color w:val="1A1A1A"/>
          <w:sz w:val="20"/>
          <w:szCs w:val="20"/>
        </w:rPr>
        <w:t xml:space="preserve"> (sujet « Pour s’entraîner ») — </w:t>
      </w:r>
      <w:r>
        <w:rPr>
          <w:rFonts w:ascii="Calibri" w:cs="Calibri" w:eastAsia="Calibri" w:hAnsi="Calibri"/>
          <w:b/>
          <w:bCs/>
          <w:color w:val="1A1A1A"/>
          <w:sz w:val="20"/>
          <w:szCs w:val="20"/>
        </w:rPr>
        <w:t xml:space="preserve">I. Une exception légitime</w:t>
      </w:r>
      <w:r>
        <w:rPr>
          <w:rFonts w:ascii="Calibri" w:cs="Calibri" w:eastAsia="Calibri" w:hAnsi="Calibri"/>
          <w:color w:val="1A1A1A"/>
          <w:sz w:val="20"/>
          <w:szCs w:val="20"/>
        </w:rPr>
        <w:t xml:space="preserve"> (A. La compétence exclusive du législateur : </w:t>
      </w:r>
      <w:r>
        <w:rPr>
          <w:rFonts w:ascii="Calibri" w:cs="Calibri" w:eastAsia="Calibri" w:hAnsi="Calibri"/>
          <w:color w:val="1E88E5"/>
          <w:sz w:val="20"/>
          <w:szCs w:val="20"/>
        </w:rPr>
        <w:t xml:space="preserve">art. 34</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Daudignac</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de Laboulaye</w:t>
      </w:r>
      <w:r>
        <w:rPr>
          <w:rFonts w:ascii="Calibri" w:cs="Calibri" w:eastAsia="Calibri" w:hAnsi="Calibri"/>
          <w:color w:val="1A1A1A"/>
          <w:sz w:val="20"/>
          <w:szCs w:val="20"/>
        </w:rPr>
        <w:t xml:space="preserve"> ; B. Des motifs d’intérêt général : santé, sécurité, aménagement — débits de boissons, pharmacies, taxis, urbanisme commercial) / </w:t>
      </w:r>
      <w:r>
        <w:rPr>
          <w:rFonts w:ascii="Calibri" w:cs="Calibri" w:eastAsia="Calibri" w:hAnsi="Calibri"/>
          <w:b/>
          <w:bCs/>
          <w:color w:val="1A1A1A"/>
          <w:sz w:val="20"/>
          <w:szCs w:val="20"/>
        </w:rPr>
        <w:t xml:space="preserve">II. Une exception encadrée</w:t>
      </w:r>
      <w:r>
        <w:rPr>
          <w:rFonts w:ascii="Calibri" w:cs="Calibri" w:eastAsia="Calibri" w:hAnsi="Calibri"/>
          <w:color w:val="1A1A1A"/>
          <w:sz w:val="20"/>
          <w:szCs w:val="20"/>
        </w:rPr>
        <w:t xml:space="preserve"> (A. Proportionnalité et non-discrimination : </w:t>
      </w:r>
      <w:r>
        <w:rPr>
          <w:rFonts w:ascii="Calibri" w:cs="Calibri" w:eastAsia="Calibri" w:hAnsi="Calibri"/>
          <w:color w:val="E91E63"/>
          <w:sz w:val="20"/>
          <w:szCs w:val="20"/>
        </w:rPr>
        <w:t xml:space="preserve">Gebhard</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directive « services » 2006/123/CE</w:t>
      </w:r>
      <w:r>
        <w:rPr>
          <w:rFonts w:ascii="Calibri" w:cs="Calibri" w:eastAsia="Calibri" w:hAnsi="Calibri"/>
          <w:color w:val="1A1A1A"/>
          <w:sz w:val="20"/>
          <w:szCs w:val="20"/>
        </w:rPr>
        <w:t xml:space="preserve"> ; B. Le contrôle du juge : légalité des refus (</w:t>
      </w:r>
      <w:r>
        <w:rPr>
          <w:rFonts w:ascii="Calibri" w:cs="Calibri" w:eastAsia="Calibri" w:hAnsi="Calibri"/>
          <w:color w:val="E91E63"/>
          <w:sz w:val="20"/>
          <w:szCs w:val="20"/>
        </w:rPr>
        <w:t xml:space="preserve">Dame Lamotte</w:t>
      </w:r>
      <w:r>
        <w:rPr>
          <w:rFonts w:ascii="Calibri" w:cs="Calibri" w:eastAsia="Calibri" w:hAnsi="Calibri"/>
          <w:color w:val="1A1A1A"/>
          <w:sz w:val="20"/>
          <w:szCs w:val="20"/>
        </w:rPr>
        <w:t xml:space="preserve">), concurrence (</w:t>
      </w:r>
      <w:r>
        <w:rPr>
          <w:rFonts w:ascii="Calibri" w:cs="Calibri" w:eastAsia="Calibri" w:hAnsi="Calibri"/>
          <w:color w:val="E91E63"/>
          <w:sz w:val="20"/>
          <w:szCs w:val="20"/>
        </w:rPr>
        <w:t xml:space="preserve">Million et Marais</w:t>
      </w:r>
      <w:r>
        <w:rPr>
          <w:rFonts w:ascii="Calibri" w:cs="Calibri" w:eastAsia="Calibri" w:hAnsi="Calibri"/>
          <w:color w:val="1A1A1A"/>
          <w:sz w:val="20"/>
          <w:szCs w:val="20"/>
        </w:rPr>
        <w:t xml:space="preserve">), responsabilité).</w:t>
      </w:r>
    </w:p>
    <w:p>
      <w:pPr>
        <w:pStyle w:val="Heading3"/>
        <w:spacing w:after="90" w:before="200"/>
      </w:pPr>
      <w:r>
        <w:rPr>
          <w:rFonts w:ascii="Calibri" w:cs="Calibri" w:eastAsia="Calibri" w:hAnsi="Calibri"/>
          <w:b/>
          <w:bCs/>
          <w:i/>
          <w:iCs/>
          <w:color w:val="5A5A5A"/>
          <w:sz w:val="21"/>
          <w:szCs w:val="21"/>
        </w:rPr>
        <w:t xml:space="preserve">Trois pièges</w:t>
      </w:r>
    </w:p>
    <w:p>
      <w:pPr>
        <w:pStyle w:val="ListParagraph"/>
        <w:numPr>
          <w:ilvl w:val="0"/>
          <w:numId w:val="2"/>
        </w:numPr>
        <w:spacing w:after="70" w:line="264"/>
        <w:jc w:val="both"/>
      </w:pPr>
      <w:r>
        <w:rPr>
          <w:rFonts w:ascii="Calibri" w:cs="Calibri" w:eastAsia="Calibri" w:hAnsi="Calibri"/>
          <w:b/>
          <w:bCs/>
          <w:color w:val="1A1A1A"/>
          <w:sz w:val="20"/>
          <w:szCs w:val="20"/>
        </w:rPr>
        <w:t xml:space="preserve">Liberté d’entreprendre ≠ liberté de concurrence</w:t>
      </w:r>
      <w:r>
        <w:rPr>
          <w:rFonts w:ascii="Calibri" w:cs="Calibri" w:eastAsia="Calibri" w:hAnsi="Calibri"/>
          <w:color w:val="1A1A1A"/>
          <w:sz w:val="20"/>
          <w:szCs w:val="20"/>
        </w:rPr>
        <w:t xml:space="preserve"> : le Conseil constitutionnel n’a jamais reconnu de valeur constitutionnelle autonome à la libre concurrence ; c’est le droit de l’Union (</w:t>
      </w:r>
      <w:r>
        <w:rPr>
          <w:rFonts w:ascii="Calibri" w:cs="Calibri" w:eastAsia="Calibri" w:hAnsi="Calibri"/>
          <w:color w:val="1E88E5"/>
          <w:sz w:val="20"/>
          <w:szCs w:val="20"/>
        </w:rPr>
        <w:t xml:space="preserve">art. 101 et 102 TFUE</w:t>
      </w:r>
      <w:r>
        <w:rPr>
          <w:rFonts w:ascii="Calibri" w:cs="Calibri" w:eastAsia="Calibri" w:hAnsi="Calibri"/>
          <w:color w:val="1A1A1A"/>
          <w:sz w:val="20"/>
          <w:szCs w:val="20"/>
        </w:rPr>
        <w:t xml:space="preserve">) et la loi (</w:t>
      </w:r>
      <w:r>
        <w:rPr>
          <w:rFonts w:ascii="Calibri" w:cs="Calibri" w:eastAsia="Calibri" w:hAnsi="Calibri"/>
          <w:color w:val="1E88E5"/>
          <w:sz w:val="20"/>
          <w:szCs w:val="20"/>
        </w:rPr>
        <w:t xml:space="preserve">art. L. 420-1 et s. C. com.</w:t>
      </w:r>
      <w:r>
        <w:rPr>
          <w:rFonts w:ascii="Calibri" w:cs="Calibri" w:eastAsia="Calibri" w:hAnsi="Calibri"/>
          <w:color w:val="1A1A1A"/>
          <w:sz w:val="20"/>
          <w:szCs w:val="20"/>
        </w:rPr>
        <w:t xml:space="preserve">) qui la protègent.</w:t>
      </w:r>
    </w:p>
    <w:p>
      <w:pPr>
        <w:pStyle w:val="ListParagraph"/>
        <w:numPr>
          <w:ilvl w:val="0"/>
          <w:numId w:val="2"/>
        </w:numPr>
        <w:spacing w:after="70" w:line="264"/>
        <w:jc w:val="both"/>
      </w:pPr>
      <w:r>
        <w:rPr>
          <w:rFonts w:ascii="Calibri" w:cs="Calibri" w:eastAsia="Calibri" w:hAnsi="Calibri"/>
          <w:b/>
          <w:bCs/>
          <w:color w:val="1A1A1A"/>
          <w:sz w:val="20"/>
          <w:szCs w:val="20"/>
        </w:rPr>
        <w:t xml:space="preserve">Intervention publique sur le marché</w:t>
      </w:r>
      <w:r>
        <w:rPr>
          <w:rFonts w:ascii="Calibri" w:cs="Calibri" w:eastAsia="Calibri" w:hAnsi="Calibri"/>
          <w:color w:val="1A1A1A"/>
          <w:sz w:val="20"/>
          <w:szCs w:val="20"/>
        </w:rPr>
        <w:t xml:space="preserve"> : le juge est passé d’une interdiction de principe (</w:t>
      </w:r>
      <w:r>
        <w:rPr>
          <w:rFonts w:ascii="Calibri" w:cs="Calibri" w:eastAsia="Calibri" w:hAnsi="Calibri"/>
          <w:color w:val="E91E63"/>
          <w:sz w:val="20"/>
          <w:szCs w:val="20"/>
        </w:rPr>
        <w:t xml:space="preserve">CE, sect., 30 mai 1930, Chambre syndicale du commerce en détail de Nevers</w:t>
      </w:r>
      <w:r>
        <w:rPr>
          <w:rFonts w:ascii="Calibri" w:cs="Calibri" w:eastAsia="Calibri" w:hAnsi="Calibri"/>
          <w:color w:val="1A1A1A"/>
          <w:sz w:val="20"/>
          <w:szCs w:val="20"/>
        </w:rPr>
        <w:t xml:space="preserve">, carence de l’initiative privée exigée) à l’exigence d’un simple </w:t>
      </w:r>
      <w:r>
        <w:rPr>
          <w:rFonts w:ascii="Calibri" w:cs="Calibri" w:eastAsia="Calibri" w:hAnsi="Calibri"/>
          <w:b/>
          <w:bCs/>
          <w:color w:val="1A1A1A"/>
          <w:sz w:val="20"/>
          <w:szCs w:val="20"/>
        </w:rPr>
        <w:t xml:space="preserve">intérêt public</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Ordre des avocats au barreau de Paris</w:t>
      </w:r>
      <w:r>
        <w:rPr>
          <w:rFonts w:ascii="Calibri" w:cs="Calibri" w:eastAsia="Calibri" w:hAnsi="Calibri"/>
          <w:color w:val="1A1A1A"/>
          <w:sz w:val="20"/>
          <w:szCs w:val="20"/>
        </w:rPr>
        <w:t xml:space="preserve">, 2006). Citer les deux étapes.</w:t>
      </w:r>
    </w:p>
    <w:p>
      <w:pPr>
        <w:pStyle w:val="ListParagraph"/>
        <w:numPr>
          <w:ilvl w:val="0"/>
          <w:numId w:val="2"/>
        </w:numPr>
        <w:spacing w:after="70" w:line="264"/>
        <w:jc w:val="both"/>
      </w:pPr>
      <w:r>
        <w:rPr>
          <w:rFonts w:ascii="Calibri" w:cs="Calibri" w:eastAsia="Calibri" w:hAnsi="Calibri"/>
          <w:b/>
          <w:bCs/>
          <w:color w:val="1A1A1A"/>
          <w:sz w:val="20"/>
          <w:szCs w:val="20"/>
        </w:rPr>
        <w:t xml:space="preserve">La santé n’autorise pas tout</w:t>
      </w:r>
      <w:r>
        <w:rPr>
          <w:rFonts w:ascii="Calibri" w:cs="Calibri" w:eastAsia="Calibri" w:hAnsi="Calibri"/>
          <w:color w:val="1A1A1A"/>
          <w:sz w:val="20"/>
          <w:szCs w:val="20"/>
        </w:rPr>
        <w:t xml:space="preserve"> : interdiction ciblée des sachets de nicotine validée, mais interdiction générale de tous les produits du vapotage censurée, d’autres mesures moins attentatoires existant déjà (</w:t>
      </w:r>
      <w:r>
        <w:rPr>
          <w:rFonts w:ascii="Calibri" w:cs="Calibri" w:eastAsia="Calibri" w:hAnsi="Calibri"/>
          <w:color w:val="E91E63"/>
          <w:sz w:val="20"/>
          <w:szCs w:val="20"/>
        </w:rPr>
        <w:t xml:space="preserve">CE, 23 décembre 2025, Vape X</w:t>
      </w:r>
      <w:r>
        <w:rPr>
          <w:rFonts w:ascii="Calibri" w:cs="Calibri" w:eastAsia="Calibri" w:hAnsi="Calibri"/>
          <w:color w:val="1A1A1A"/>
          <w:sz w:val="20"/>
          <w:szCs w:val="20"/>
        </w:rPr>
        <w:t xml:space="preserve">) ; la suspension des importations de denrées traitées avec cinq pesticides interdits est admise sur données scientifiques (</w:t>
      </w:r>
      <w:r>
        <w:rPr>
          <w:rFonts w:ascii="Calibri" w:cs="Calibri" w:eastAsia="Calibri" w:hAnsi="Calibri"/>
          <w:color w:val="E91E63"/>
          <w:sz w:val="20"/>
          <w:szCs w:val="20"/>
        </w:rPr>
        <w:t xml:space="preserve">CE, 13 mai 2026</w:t>
      </w:r>
      <w:r>
        <w:rPr>
          <w:rFonts w:ascii="Calibri" w:cs="Calibri" w:eastAsia="Calibri" w:hAnsi="Calibri"/>
          <w:color w:val="1A1A1A"/>
          <w:sz w:val="20"/>
          <w:szCs w:val="20"/>
        </w:rPr>
        <w:t xml:space="preserve">).</w:t>
      </w:r>
    </w:p>
    <w:p>
      <w:r>
        <w:br w:type="page"/>
      </w:r>
    </w:p>
    <w:p>
      <w:pPr>
        <w:pStyle w:val="Heading2"/>
        <w:spacing w:after="120" w:before="280"/>
      </w:pPr>
      <w:r>
        <w:rPr>
          <w:rFonts w:ascii="Calibri" w:cs="Calibri" w:eastAsia="Calibri" w:hAnsi="Calibri"/>
          <w:b/>
          <w:bCs/>
          <w:color w:val="1A1A1A"/>
          <w:sz w:val="24"/>
          <w:szCs w:val="24"/>
        </w:rPr>
        <w:t xml:space="preserve">1. Architecture textuelle</w:t>
      </w:r>
    </w:p>
    <w:p>
      <w:pPr>
        <w:pStyle w:val="ListParagraph"/>
        <w:numPr>
          <w:ilvl w:val="0"/>
          <w:numId w:val="2"/>
        </w:numPr>
        <w:spacing w:after="70" w:line="264"/>
        <w:jc w:val="both"/>
      </w:pPr>
      <w:r>
        <w:rPr>
          <w:rFonts w:ascii="Calibri" w:cs="Calibri" w:eastAsia="Calibri" w:hAnsi="Calibri"/>
          <w:b/>
          <w:bCs/>
          <w:color w:val="1A1A1A"/>
          <w:sz w:val="20"/>
          <w:szCs w:val="20"/>
        </w:rPr>
        <w:t xml:space="preserve">Droit international et européen</w:t>
      </w:r>
      <w:r>
        <w:rPr>
          <w:rFonts w:ascii="Calibri" w:cs="Calibri" w:eastAsia="Calibri" w:hAnsi="Calibri"/>
          <w:color w:val="1A1A1A"/>
          <w:sz w:val="20"/>
          <w:szCs w:val="20"/>
        </w:rPr>
        <w:t xml:space="preserve"> : aucun des deux Pactes ni la </w:t>
      </w:r>
      <w:r>
        <w:rPr>
          <w:rFonts w:ascii="Calibri" w:cs="Calibri" w:eastAsia="Calibri" w:hAnsi="Calibri"/>
          <w:color w:val="1E88E5"/>
          <w:sz w:val="20"/>
          <w:szCs w:val="20"/>
        </w:rPr>
        <w:t xml:space="preserve">CEDH</w:t>
      </w:r>
      <w:r>
        <w:rPr>
          <w:rFonts w:ascii="Calibri" w:cs="Calibri" w:eastAsia="Calibri" w:hAnsi="Calibri"/>
          <w:color w:val="1A1A1A"/>
          <w:sz w:val="20"/>
          <w:szCs w:val="20"/>
        </w:rPr>
        <w:t xml:space="preserve"> ne consacrent la liberté d’entreprendre ; l’accès à une profession n’est protégé qu’indirectement (vie privée professionnelle : </w:t>
      </w:r>
      <w:r>
        <w:rPr>
          <w:rFonts w:ascii="Calibri" w:cs="Calibri" w:eastAsia="Calibri" w:hAnsi="Calibri"/>
          <w:color w:val="E91E63"/>
          <w:sz w:val="20"/>
          <w:szCs w:val="20"/>
        </w:rPr>
        <w:t xml:space="preserve">CEDH, 27 juillet 2004, Sidabras et Džiautas c. Lituanie</w:t>
      </w:r>
      <w:r>
        <w:rPr>
          <w:rFonts w:ascii="Calibri" w:cs="Calibri" w:eastAsia="Calibri" w:hAnsi="Calibri"/>
          <w:color w:val="1A1A1A"/>
          <w:sz w:val="20"/>
          <w:szCs w:val="20"/>
        </w:rPr>
        <w:t xml:space="preserve"> ; biens : clientèle, licences, </w:t>
      </w:r>
      <w:r>
        <w:rPr>
          <w:rFonts w:ascii="Calibri" w:cs="Calibri" w:eastAsia="Calibri" w:hAnsi="Calibri"/>
          <w:color w:val="1E88E5"/>
          <w:sz w:val="20"/>
          <w:szCs w:val="20"/>
        </w:rPr>
        <w:t xml:space="preserve">art. 1er Prot. 1</w:t>
      </w:r>
      <w:r>
        <w:rPr>
          <w:rFonts w:ascii="Calibri" w:cs="Calibri" w:eastAsia="Calibri" w:hAnsi="Calibri"/>
          <w:color w:val="1A1A1A"/>
          <w:sz w:val="20"/>
          <w:szCs w:val="20"/>
        </w:rPr>
        <w:t xml:space="preserve">). Droit de l’Union : libertés de circulation (</w:t>
      </w:r>
      <w:r>
        <w:rPr>
          <w:rFonts w:ascii="Calibri" w:cs="Calibri" w:eastAsia="Calibri" w:hAnsi="Calibri"/>
          <w:color w:val="1E88E5"/>
          <w:sz w:val="20"/>
          <w:szCs w:val="20"/>
        </w:rPr>
        <w:t xml:space="preserve">art. 34, 45, 49, 56, 63 TFUE</w:t>
      </w:r>
      <w:r>
        <w:rPr>
          <w:rFonts w:ascii="Calibri" w:cs="Calibri" w:eastAsia="Calibri" w:hAnsi="Calibri"/>
          <w:color w:val="1A1A1A"/>
          <w:sz w:val="20"/>
          <w:szCs w:val="20"/>
        </w:rPr>
        <w:t xml:space="preserve">) ; principe général de libre exercice des activités professionnelles (</w:t>
      </w:r>
      <w:r>
        <w:rPr>
          <w:rFonts w:ascii="Calibri" w:cs="Calibri" w:eastAsia="Calibri" w:hAnsi="Calibri"/>
          <w:color w:val="E91E63"/>
          <w:sz w:val="20"/>
          <w:szCs w:val="20"/>
        </w:rPr>
        <w:t xml:space="preserve">CJCE, 14 mai 1974, Nold, 4/73</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16 CDFUE</w:t>
      </w:r>
      <w:r>
        <w:rPr>
          <w:rFonts w:ascii="Calibri" w:cs="Calibri" w:eastAsia="Calibri" w:hAnsi="Calibri"/>
          <w:color w:val="1A1A1A"/>
          <w:sz w:val="20"/>
          <w:szCs w:val="20"/>
        </w:rPr>
        <w:t xml:space="preserve"> — « liberté d’entreprise », qui « peut être soumise à un large éventail d’interventions de la puissance publique » (</w:t>
      </w:r>
      <w:r>
        <w:rPr>
          <w:rFonts w:ascii="Calibri" w:cs="Calibri" w:eastAsia="Calibri" w:hAnsi="Calibri"/>
          <w:color w:val="E91E63"/>
          <w:sz w:val="20"/>
          <w:szCs w:val="20"/>
        </w:rPr>
        <w:t xml:space="preserve">CJUE, 22 janvier 2013, Sky Österreich, C-283/11</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Droit constitutionnel</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4 DDHC</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81-132 DC</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al. 5 Préambule 1946</w:t>
      </w:r>
      <w:r>
        <w:rPr>
          <w:rFonts w:ascii="Calibri" w:cs="Calibri" w:eastAsia="Calibri" w:hAnsi="Calibri"/>
          <w:color w:val="1A1A1A"/>
          <w:sz w:val="20"/>
          <w:szCs w:val="20"/>
        </w:rPr>
        <w:t xml:space="preserve"> (devoir de travailler, droit d’obtenir un emploi), à concilier (</w:t>
      </w:r>
      <w:r>
        <w:rPr>
          <w:rFonts w:ascii="Calibri" w:cs="Calibri" w:eastAsia="Calibri" w:hAnsi="Calibri"/>
          <w:color w:val="E91E63"/>
          <w:sz w:val="20"/>
          <w:szCs w:val="20"/>
        </w:rPr>
        <w:t xml:space="preserve">2001-455 DC, 12 janvier 2002, Loi de modernisation sociale</w:t>
      </w:r>
      <w:r>
        <w:rPr>
          <w:rFonts w:ascii="Calibri" w:cs="Calibri" w:eastAsia="Calibri" w:hAnsi="Calibri"/>
          <w:color w:val="1A1A1A"/>
          <w:sz w:val="20"/>
          <w:szCs w:val="20"/>
        </w:rPr>
        <w:t xml:space="preserve"> : censure d’une définition du licenciement économique qui empêchait l’employeur d’anticiper les difficultés) ; </w:t>
      </w:r>
      <w:r>
        <w:rPr>
          <w:rFonts w:ascii="Calibri" w:cs="Calibri" w:eastAsia="Calibri" w:hAnsi="Calibri"/>
          <w:color w:val="1E88E5"/>
          <w:sz w:val="20"/>
          <w:szCs w:val="20"/>
        </w:rPr>
        <w:t xml:space="preserve">al. 9</w:t>
      </w:r>
      <w:r>
        <w:rPr>
          <w:rFonts w:ascii="Calibri" w:cs="Calibri" w:eastAsia="Calibri" w:hAnsi="Calibri"/>
          <w:color w:val="1A1A1A"/>
          <w:sz w:val="20"/>
          <w:szCs w:val="20"/>
        </w:rPr>
        <w:t xml:space="preserve"> (service public national ou monopole de fait propriété de la collectivité) ; </w:t>
      </w:r>
      <w:r>
        <w:rPr>
          <w:rFonts w:ascii="Calibri" w:cs="Calibri" w:eastAsia="Calibri" w:hAnsi="Calibri"/>
          <w:color w:val="1E88E5"/>
          <w:sz w:val="20"/>
          <w:szCs w:val="20"/>
        </w:rPr>
        <w:t xml:space="preserve">art. 34</w:t>
      </w:r>
      <w:r>
        <w:rPr>
          <w:rFonts w:ascii="Calibri" w:cs="Calibri" w:eastAsia="Calibri" w:hAnsi="Calibri"/>
          <w:color w:val="1A1A1A"/>
          <w:sz w:val="20"/>
          <w:szCs w:val="20"/>
        </w:rPr>
        <w:t xml:space="preserve"> (principes fondamentaux du régime de la propriété et des obligations civiles et commerciales).</w:t>
      </w:r>
    </w:p>
    <w:p>
      <w:pPr>
        <w:pStyle w:val="ListParagraph"/>
        <w:numPr>
          <w:ilvl w:val="0"/>
          <w:numId w:val="2"/>
        </w:numPr>
        <w:spacing w:after="70" w:line="264"/>
        <w:jc w:val="both"/>
      </w:pPr>
      <w:r>
        <w:rPr>
          <w:rFonts w:ascii="Calibri" w:cs="Calibri" w:eastAsia="Calibri" w:hAnsi="Calibri"/>
          <w:b/>
          <w:bCs/>
          <w:color w:val="1A1A1A"/>
          <w:sz w:val="20"/>
          <w:szCs w:val="20"/>
        </w:rPr>
        <w:t xml:space="preserve">Liberté contractuelle</w:t>
      </w:r>
      <w:r>
        <w:rPr>
          <w:rFonts w:ascii="Calibri" w:cs="Calibri" w:eastAsia="Calibri" w:hAnsi="Calibri"/>
          <w:color w:val="1A1A1A"/>
          <w:sz w:val="20"/>
          <w:szCs w:val="20"/>
        </w:rPr>
        <w:t xml:space="preserve"> : rattachée à l’</w:t>
      </w:r>
      <w:r>
        <w:rPr>
          <w:rFonts w:ascii="Calibri" w:cs="Calibri" w:eastAsia="Calibri" w:hAnsi="Calibri"/>
          <w:color w:val="1E88E5"/>
          <w:sz w:val="20"/>
          <w:szCs w:val="20"/>
        </w:rPr>
        <w:t xml:space="preserve">art. 4 DDHC</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2013-672 DC, 13 juin 2013, Clauses de désignation</w:t>
      </w:r>
      <w:r>
        <w:rPr>
          <w:rFonts w:ascii="Calibri" w:cs="Calibri" w:eastAsia="Calibri" w:hAnsi="Calibri"/>
          <w:color w:val="1A1A1A"/>
          <w:sz w:val="20"/>
          <w:szCs w:val="20"/>
        </w:rPr>
        <w:t xml:space="preserve">) ; le législateur ne peut porter aux contrats légalement conclus une atteinte non justifiée par un motif d’intérêt général suffisant (</w:t>
      </w:r>
      <w:r>
        <w:rPr>
          <w:rFonts w:ascii="Calibri" w:cs="Calibri" w:eastAsia="Calibri" w:hAnsi="Calibri"/>
          <w:color w:val="1E88E5"/>
          <w:sz w:val="20"/>
          <w:szCs w:val="20"/>
        </w:rPr>
        <w:t xml:space="preserve">art. 4 et 16 DDHC</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Juge administratif</w:t>
      </w:r>
      <w:r>
        <w:rPr>
          <w:rFonts w:ascii="Calibri" w:cs="Calibri" w:eastAsia="Calibri" w:hAnsi="Calibri"/>
          <w:color w:val="1A1A1A"/>
          <w:sz w:val="20"/>
          <w:szCs w:val="20"/>
        </w:rPr>
        <w:t xml:space="preserve"> : principe général du droit puis liberté publique au sens de l’</w:t>
      </w:r>
      <w:r>
        <w:rPr>
          <w:rFonts w:ascii="Calibri" w:cs="Calibri" w:eastAsia="Calibri" w:hAnsi="Calibri"/>
          <w:color w:val="1E88E5"/>
          <w:sz w:val="20"/>
          <w:szCs w:val="20"/>
        </w:rPr>
        <w:t xml:space="preserve">art. 34</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 28 octobre 1960, de Laboulaye</w:t>
      </w:r>
      <w:r>
        <w:rPr>
          <w:rFonts w:ascii="Calibri" w:cs="Calibri" w:eastAsia="Calibri" w:hAnsi="Calibri"/>
          <w:color w:val="1A1A1A"/>
          <w:sz w:val="20"/>
          <w:szCs w:val="20"/>
        </w:rPr>
        <w:t xml:space="preserve">) ; liberté fondamentale en référé (</w:t>
      </w:r>
      <w:r>
        <w:rPr>
          <w:rFonts w:ascii="Calibri" w:cs="Calibri" w:eastAsia="Calibri" w:hAnsi="Calibri"/>
          <w:color w:val="E91E63"/>
          <w:sz w:val="20"/>
          <w:szCs w:val="20"/>
        </w:rPr>
        <w:t xml:space="preserve">CE, ord., 12 novembre 2001, Commune de Montreuil-Bellay</w:t>
      </w:r>
      <w:r>
        <w:rPr>
          <w:rFonts w:ascii="Calibri" w:cs="Calibri" w:eastAsia="Calibri" w:hAnsi="Calibri"/>
          <w:color w:val="1A1A1A"/>
          <w:sz w:val="20"/>
          <w:szCs w:val="20"/>
        </w:rPr>
        <w:t xml:space="preserve">). </w:t>
      </w:r>
      <w:r>
        <w:rPr>
          <w:rFonts w:ascii="Calibri" w:cs="Calibri" w:eastAsia="Calibri" w:hAnsi="Calibri"/>
          <w:b/>
          <w:bCs/>
          <w:color w:val="1A1A1A"/>
          <w:sz w:val="20"/>
          <w:szCs w:val="20"/>
        </w:rPr>
        <w:t xml:space="preserve">Juge judiciaire</w:t>
      </w:r>
      <w:r>
        <w:rPr>
          <w:rFonts w:ascii="Calibri" w:cs="Calibri" w:eastAsia="Calibri" w:hAnsi="Calibri"/>
          <w:color w:val="1A1A1A"/>
          <w:sz w:val="20"/>
          <w:szCs w:val="20"/>
        </w:rPr>
        <w:t xml:space="preserve"> : liberté fondamentale, directement invocable pour écarter des clauses contractuelles excessives.</w:t>
      </w:r>
    </w:p>
    <w:p>
      <w:pPr>
        <w:pStyle w:val="ListParagraph"/>
        <w:numPr>
          <w:ilvl w:val="0"/>
          <w:numId w:val="2"/>
        </w:numPr>
        <w:spacing w:after="70" w:line="264"/>
        <w:jc w:val="both"/>
      </w:pPr>
      <w:r>
        <w:rPr>
          <w:rFonts w:ascii="Calibri" w:cs="Calibri" w:eastAsia="Calibri" w:hAnsi="Calibri"/>
          <w:b/>
          <w:bCs/>
          <w:color w:val="1A1A1A"/>
          <w:sz w:val="20"/>
          <w:szCs w:val="20"/>
        </w:rPr>
        <w:t xml:space="preserve">Lecture à retenir</w:t>
      </w:r>
      <w:r>
        <w:rPr>
          <w:rFonts w:ascii="Calibri" w:cs="Calibri" w:eastAsia="Calibri" w:hAnsi="Calibri"/>
          <w:color w:val="1A1A1A"/>
          <w:sz w:val="20"/>
          <w:szCs w:val="20"/>
        </w:rPr>
        <w:t xml:space="preserve"> : la liberté d’entreprendre est une liberté « de régime ordinaire » — le Conseil n’en censure la limitation qu’en cas d’atteinte </w:t>
      </w:r>
      <w:r>
        <w:rPr>
          <w:rFonts w:ascii="Calibri" w:cs="Calibri" w:eastAsia="Calibri" w:hAnsi="Calibri"/>
          <w:b/>
          <w:bCs/>
          <w:color w:val="1A1A1A"/>
          <w:sz w:val="20"/>
          <w:szCs w:val="20"/>
        </w:rPr>
        <w:t xml:space="preserve">disproportionnée</w:t>
      </w:r>
      <w:r>
        <w:rPr>
          <w:rFonts w:ascii="Calibri" w:cs="Calibri" w:eastAsia="Calibri" w:hAnsi="Calibri"/>
          <w:color w:val="1A1A1A"/>
          <w:sz w:val="20"/>
          <w:szCs w:val="20"/>
        </w:rPr>
        <w:t xml:space="preserve"> (depuis </w:t>
      </w:r>
      <w:r>
        <w:rPr>
          <w:rFonts w:ascii="Calibri" w:cs="Calibri" w:eastAsia="Calibri" w:hAnsi="Calibri"/>
          <w:color w:val="E91E63"/>
          <w:sz w:val="20"/>
          <w:szCs w:val="20"/>
        </w:rPr>
        <w:t xml:space="preserve">2000-439 DC</w:t>
      </w:r>
      <w:r>
        <w:rPr>
          <w:rFonts w:ascii="Calibri" w:cs="Calibri" w:eastAsia="Calibri" w:hAnsi="Calibri"/>
          <w:color w:val="1A1A1A"/>
          <w:sz w:val="20"/>
          <w:szCs w:val="20"/>
        </w:rPr>
        <w:t xml:space="preserve">, 16 janvier 2001, archéologie préventive), contrôle plus léger que pour les libertés de la personne. C’est une </w:t>
      </w:r>
      <w:r>
        <w:rPr>
          <w:rFonts w:ascii="Calibri" w:cs="Calibri" w:eastAsia="Calibri" w:hAnsi="Calibri"/>
          <w:b/>
          <w:bCs/>
          <w:color w:val="1A1A1A"/>
          <w:sz w:val="20"/>
          <w:szCs w:val="20"/>
        </w:rPr>
        <w:t xml:space="preserve">liberté de marché</w:t>
      </w:r>
      <w:r>
        <w:rPr>
          <w:rFonts w:ascii="Calibri" w:cs="Calibri" w:eastAsia="Calibri" w:hAnsi="Calibri"/>
          <w:color w:val="1A1A1A"/>
          <w:sz w:val="20"/>
          <w:szCs w:val="20"/>
        </w:rPr>
        <w:t xml:space="preserve">, toujours pensée avec ses limites.</w:t>
      </w:r>
    </w:p>
    <w:p>
      <w:pPr>
        <w:pStyle w:val="Heading2"/>
        <w:spacing w:after="120" w:before="280"/>
      </w:pPr>
      <w:r>
        <w:rPr>
          <w:rFonts w:ascii="Calibri" w:cs="Calibri" w:eastAsia="Calibri" w:hAnsi="Calibri"/>
          <w:b/>
          <w:bCs/>
          <w:color w:val="1A1A1A"/>
          <w:sz w:val="24"/>
          <w:szCs w:val="24"/>
        </w:rPr>
        <w:t xml:space="preserve">2. Les composantes</w:t>
      </w:r>
    </w:p>
    <w:p>
      <w:pPr>
        <w:pStyle w:val="ListParagraph"/>
        <w:numPr>
          <w:ilvl w:val="0"/>
          <w:numId w:val="2"/>
        </w:numPr>
        <w:spacing w:after="70" w:line="264"/>
        <w:jc w:val="both"/>
      </w:pPr>
      <w:r>
        <w:rPr>
          <w:rFonts w:ascii="Calibri" w:cs="Calibri" w:eastAsia="Calibri" w:hAnsi="Calibri"/>
          <w:b/>
          <w:bCs/>
          <w:color w:val="1A1A1A"/>
          <w:sz w:val="20"/>
          <w:szCs w:val="20"/>
        </w:rPr>
        <w:t xml:space="preserve">Libre accès</w:t>
      </w:r>
      <w:r>
        <w:rPr>
          <w:rFonts w:ascii="Calibri" w:cs="Calibri" w:eastAsia="Calibri" w:hAnsi="Calibri"/>
          <w:color w:val="1A1A1A"/>
          <w:sz w:val="20"/>
          <w:szCs w:val="20"/>
        </w:rPr>
        <w:t xml:space="preserve"> : pas d’autorisation préalable sans loi (</w:t>
      </w:r>
      <w:r>
        <w:rPr>
          <w:rFonts w:ascii="Calibri" w:cs="Calibri" w:eastAsia="Calibri" w:hAnsi="Calibri"/>
          <w:color w:val="E91E63"/>
          <w:sz w:val="20"/>
          <w:szCs w:val="20"/>
        </w:rPr>
        <w:t xml:space="preserve">Daudignac</w:t>
      </w:r>
      <w:r>
        <w:rPr>
          <w:rFonts w:ascii="Calibri" w:cs="Calibri" w:eastAsia="Calibri" w:hAnsi="Calibri"/>
          <w:color w:val="1A1A1A"/>
          <w:sz w:val="20"/>
          <w:szCs w:val="20"/>
        </w:rPr>
        <w:t xml:space="preserve">) ; conditions de diplôme et de qualification proportionnées (professions réglementées) ; peine d’interdiction d’exercer (</w:t>
      </w:r>
      <w:r>
        <w:rPr>
          <w:rFonts w:ascii="Calibri" w:cs="Calibri" w:eastAsia="Calibri" w:hAnsi="Calibri"/>
          <w:color w:val="1E88E5"/>
          <w:sz w:val="20"/>
          <w:szCs w:val="20"/>
        </w:rPr>
        <w:t xml:space="preserve">art. 131-27 C. pén.</w:t>
      </w:r>
      <w:r>
        <w:rPr>
          <w:rFonts w:ascii="Calibri" w:cs="Calibri" w:eastAsia="Calibri" w:hAnsi="Calibri"/>
          <w:color w:val="1A1A1A"/>
          <w:sz w:val="20"/>
          <w:szCs w:val="20"/>
        </w:rPr>
        <w:t xml:space="preserve">). </w:t>
      </w:r>
      <w:r>
        <w:rPr>
          <w:rFonts w:ascii="Calibri" w:cs="Calibri" w:eastAsia="Calibri" w:hAnsi="Calibri"/>
          <w:b/>
          <w:bCs/>
          <w:color w:val="1A1A1A"/>
          <w:sz w:val="20"/>
          <w:szCs w:val="20"/>
        </w:rPr>
        <w:t xml:space="preserve">Libre exercice</w:t>
      </w:r>
      <w:r>
        <w:rPr>
          <w:rFonts w:ascii="Calibri" w:cs="Calibri" w:eastAsia="Calibri" w:hAnsi="Calibri"/>
          <w:color w:val="1A1A1A"/>
          <w:sz w:val="20"/>
          <w:szCs w:val="20"/>
        </w:rPr>
        <w:t xml:space="preserve"> : liberté d’exploitation et de gestion (horaires, prix, organisation) — restrictions horaires de vente d’alcool, ouverture dominicale (</w:t>
      </w:r>
      <w:r>
        <w:rPr>
          <w:rFonts w:ascii="Calibri" w:cs="Calibri" w:eastAsia="Calibri" w:hAnsi="Calibri"/>
          <w:color w:val="E91E63"/>
          <w:sz w:val="20"/>
          <w:szCs w:val="20"/>
        </w:rPr>
        <w:t xml:space="preserve">2014-374 QPC, 4 avril 2014</w:t>
      </w:r>
      <w:r>
        <w:rPr>
          <w:rFonts w:ascii="Calibri" w:cs="Calibri" w:eastAsia="Calibri" w:hAnsi="Calibri"/>
          <w:color w:val="1A1A1A"/>
          <w:sz w:val="20"/>
          <w:szCs w:val="20"/>
        </w:rPr>
        <w:t xml:space="preserve"> ; régime de la </w:t>
      </w:r>
      <w:r>
        <w:rPr>
          <w:rFonts w:ascii="Calibri" w:cs="Calibri" w:eastAsia="Calibri" w:hAnsi="Calibri"/>
          <w:color w:val="1E88E5"/>
          <w:sz w:val="20"/>
          <w:szCs w:val="20"/>
        </w:rPr>
        <w:t xml:space="preserve">loi « Macron » du 6 août 2015</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Liberté contractuelle</w:t>
      </w:r>
      <w:r>
        <w:rPr>
          <w:rFonts w:ascii="Calibri" w:cs="Calibri" w:eastAsia="Calibri" w:hAnsi="Calibri"/>
          <w:color w:val="1A1A1A"/>
          <w:sz w:val="20"/>
          <w:szCs w:val="20"/>
        </w:rPr>
        <w:t xml:space="preserve"> : aspect positif et négatif ; contenu sous réserve de l’ordre public (</w:t>
      </w:r>
      <w:r>
        <w:rPr>
          <w:rFonts w:ascii="Calibri" w:cs="Calibri" w:eastAsia="Calibri" w:hAnsi="Calibri"/>
          <w:color w:val="1E88E5"/>
          <w:sz w:val="20"/>
          <w:szCs w:val="20"/>
        </w:rPr>
        <w:t xml:space="preserve">art. 1102 C. civ.</w:t>
      </w:r>
      <w:r>
        <w:rPr>
          <w:rFonts w:ascii="Calibri" w:cs="Calibri" w:eastAsia="Calibri" w:hAnsi="Calibri"/>
          <w:color w:val="1A1A1A"/>
          <w:sz w:val="20"/>
          <w:szCs w:val="20"/>
        </w:rPr>
        <w:t xml:space="preserve">) ; interprétation d’un acte privé par le juge en contradiction flagrante avec la Convention : violation (</w:t>
      </w:r>
      <w:r>
        <w:rPr>
          <w:rFonts w:ascii="Calibri" w:cs="Calibri" w:eastAsia="Calibri" w:hAnsi="Calibri"/>
          <w:color w:val="E91E63"/>
          <w:sz w:val="20"/>
          <w:szCs w:val="20"/>
        </w:rPr>
        <w:t xml:space="preserve">CEDH, 13 juillet 2004, Pla et Puncernau c. Andorre</w:t>
      </w:r>
      <w:r>
        <w:rPr>
          <w:rFonts w:ascii="Calibri" w:cs="Calibri" w:eastAsia="Calibri" w:hAnsi="Calibri"/>
          <w:color w:val="1A1A1A"/>
          <w:sz w:val="20"/>
          <w:szCs w:val="20"/>
        </w:rPr>
        <w:t xml:space="preserve">). </w:t>
      </w:r>
      <w:r>
        <w:rPr>
          <w:rFonts w:ascii="Calibri" w:cs="Calibri" w:eastAsia="Calibri" w:hAnsi="Calibri"/>
          <w:b/>
          <w:bCs/>
          <w:color w:val="1A1A1A"/>
          <w:sz w:val="20"/>
          <w:szCs w:val="20"/>
        </w:rPr>
        <w:t xml:space="preserve">Clauses de non-concurrence</w:t>
      </w:r>
      <w:r>
        <w:rPr>
          <w:rFonts w:ascii="Calibri" w:cs="Calibri" w:eastAsia="Calibri" w:hAnsi="Calibri"/>
          <w:color w:val="1A1A1A"/>
          <w:sz w:val="20"/>
          <w:szCs w:val="20"/>
        </w:rPr>
        <w:t xml:space="preserve"> : licites si indispensables à la protection des intérêts légitimes de l’entreprise, limitées dans le temps et l’espace, tenant compte des spécificités de l’emploi et assorties d’une </w:t>
      </w:r>
      <w:r>
        <w:rPr>
          <w:rFonts w:ascii="Calibri" w:cs="Calibri" w:eastAsia="Calibri" w:hAnsi="Calibri"/>
          <w:b/>
          <w:bCs/>
          <w:color w:val="1A1A1A"/>
          <w:sz w:val="20"/>
          <w:szCs w:val="20"/>
        </w:rPr>
        <w:t xml:space="preserve">contrepartie financière</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Cass. soc., 10 juillet 2002, n° 00-45.135</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Concurrence</w:t>
      </w:r>
      <w:r>
        <w:rPr>
          <w:rFonts w:ascii="Calibri" w:cs="Calibri" w:eastAsia="Calibri" w:hAnsi="Calibri"/>
          <w:color w:val="1A1A1A"/>
          <w:sz w:val="20"/>
          <w:szCs w:val="20"/>
        </w:rPr>
        <w:t xml:space="preserve"> : interdiction des ententes et abus de position dominante ; prise en compte du droit de la concurrence dans la légalité des actes administratifs (</w:t>
      </w:r>
      <w:r>
        <w:rPr>
          <w:rFonts w:ascii="Calibri" w:cs="Calibri" w:eastAsia="Calibri" w:hAnsi="Calibri"/>
          <w:color w:val="E91E63"/>
          <w:sz w:val="20"/>
          <w:szCs w:val="20"/>
        </w:rPr>
        <w:t xml:space="preserve">CE, sect., 3 novembre 1997, Société Million et Marais</w:t>
      </w:r>
      <w:r>
        <w:rPr>
          <w:rFonts w:ascii="Calibri" w:cs="Calibri" w:eastAsia="Calibri" w:hAnsi="Calibri"/>
          <w:color w:val="1A1A1A"/>
          <w:sz w:val="20"/>
          <w:szCs w:val="20"/>
        </w:rPr>
        <w:t xml:space="preserve">).</w:t>
      </w:r>
    </w:p>
    <w:p>
      <w:pPr>
        <w:pStyle w:val="Heading2"/>
        <w:spacing w:after="120" w:before="280"/>
      </w:pPr>
      <w:r>
        <w:rPr>
          <w:rFonts w:ascii="Calibri" w:cs="Calibri" w:eastAsia="Calibri" w:hAnsi="Calibri"/>
          <w:b/>
          <w:bCs/>
          <w:color w:val="1A1A1A"/>
          <w:sz w:val="24"/>
          <w:szCs w:val="24"/>
        </w:rPr>
        <w:t xml:space="preserve">3. Les limites : police économique et intervention publique</w:t>
      </w:r>
    </w:p>
    <w:p>
      <w:pPr>
        <w:pStyle w:val="ListParagraph"/>
        <w:numPr>
          <w:ilvl w:val="0"/>
          <w:numId w:val="2"/>
        </w:numPr>
        <w:spacing w:after="70" w:line="264"/>
        <w:jc w:val="both"/>
      </w:pPr>
      <w:r>
        <w:rPr>
          <w:rFonts w:ascii="Calibri" w:cs="Calibri" w:eastAsia="Calibri" w:hAnsi="Calibri"/>
          <w:b/>
          <w:bCs/>
          <w:color w:val="1A1A1A"/>
          <w:sz w:val="20"/>
          <w:szCs w:val="20"/>
        </w:rPr>
        <w:t xml:space="preserve">Police</w:t>
      </w:r>
      <w:r>
        <w:rPr>
          <w:rFonts w:ascii="Calibri" w:cs="Calibri" w:eastAsia="Calibri" w:hAnsi="Calibri"/>
          <w:color w:val="1A1A1A"/>
          <w:sz w:val="20"/>
          <w:szCs w:val="20"/>
        </w:rPr>
        <w:t xml:space="preserve"> : mesures proportionnées (</w:t>
      </w:r>
      <w:r>
        <w:rPr>
          <w:rFonts w:ascii="Calibri" w:cs="Calibri" w:eastAsia="Calibri" w:hAnsi="Calibri"/>
          <w:color w:val="E91E63"/>
          <w:sz w:val="20"/>
          <w:szCs w:val="20"/>
        </w:rPr>
        <w:t xml:space="preserve">Benjamin</w:t>
      </w:r>
      <w:r>
        <w:rPr>
          <w:rFonts w:ascii="Calibri" w:cs="Calibri" w:eastAsia="Calibri" w:hAnsi="Calibri"/>
          <w:color w:val="1A1A1A"/>
          <w:sz w:val="20"/>
          <w:szCs w:val="20"/>
        </w:rPr>
        <w:t xml:space="preserve"> transposé) ; débits de boissons, publicité pour l’alcool et le tabac — la protection de la santé publique justifie les atteintes à la liberté d’entreprendre et à la propriété (</w:t>
      </w:r>
      <w:r>
        <w:rPr>
          <w:rFonts w:ascii="Calibri" w:cs="Calibri" w:eastAsia="Calibri" w:hAnsi="Calibri"/>
          <w:color w:val="E91E63"/>
          <w:sz w:val="20"/>
          <w:szCs w:val="20"/>
        </w:rPr>
        <w:t xml:space="preserve">90-283 DC, 8 janvier 1991, Loi Évin</w:t>
      </w:r>
      <w:r>
        <w:rPr>
          <w:rFonts w:ascii="Calibri" w:cs="Calibri" w:eastAsia="Calibri" w:hAnsi="Calibri"/>
          <w:color w:val="1A1A1A"/>
          <w:sz w:val="20"/>
          <w:szCs w:val="20"/>
        </w:rPr>
        <w:t xml:space="preserve">) ; interdiction de la fracturation hydraulique validée (</w:t>
      </w:r>
      <w:r>
        <w:rPr>
          <w:rFonts w:ascii="Calibri" w:cs="Calibri" w:eastAsia="Calibri" w:hAnsi="Calibri"/>
          <w:color w:val="E91E63"/>
          <w:sz w:val="20"/>
          <w:szCs w:val="20"/>
        </w:rPr>
        <w:t xml:space="preserve">2013-346 QPC, 11 octobre 2013, Schuepbach</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Circonstances exceptionnelles</w:t>
      </w:r>
      <w:r>
        <w:rPr>
          <w:rFonts w:ascii="Calibri" w:cs="Calibri" w:eastAsia="Calibri" w:hAnsi="Calibri"/>
          <w:color w:val="1A1A1A"/>
          <w:sz w:val="20"/>
          <w:szCs w:val="20"/>
        </w:rPr>
        <w:t xml:space="preserve"> : blocage intégral de TikTok en Nouvelle-Calédonie (mai 2024) annulé — une telle mesure n’est admissible que si elle est indispensable, provisoire et faute de mesure alternative moins attentatoire (</w:t>
      </w:r>
      <w:r>
        <w:rPr>
          <w:rFonts w:ascii="Calibri" w:cs="Calibri" w:eastAsia="Calibri" w:hAnsi="Calibri"/>
          <w:color w:val="E91E63"/>
          <w:sz w:val="20"/>
          <w:szCs w:val="20"/>
        </w:rPr>
        <w:t xml:space="preserve">CE, 1er avril 2025, La Quadrature du Net, n° 494511</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Intervention publique</w:t>
      </w:r>
      <w:r>
        <w:rPr>
          <w:rFonts w:ascii="Calibri" w:cs="Calibri" w:eastAsia="Calibri" w:hAnsi="Calibri"/>
          <w:color w:val="1A1A1A"/>
          <w:sz w:val="20"/>
          <w:szCs w:val="20"/>
        </w:rPr>
        <w:t xml:space="preserve"> : carence de l’initiative privée exigée (</w:t>
      </w:r>
      <w:r>
        <w:rPr>
          <w:rFonts w:ascii="Calibri" w:cs="Calibri" w:eastAsia="Calibri" w:hAnsi="Calibri"/>
          <w:color w:val="E91E63"/>
          <w:sz w:val="20"/>
          <w:szCs w:val="20"/>
        </w:rPr>
        <w:t xml:space="preserve">Chambre syndicale du commerce en détail de Nevers</w:t>
      </w:r>
      <w:r>
        <w:rPr>
          <w:rFonts w:ascii="Calibri" w:cs="Calibri" w:eastAsia="Calibri" w:hAnsi="Calibri"/>
          <w:color w:val="1A1A1A"/>
          <w:sz w:val="20"/>
          <w:szCs w:val="20"/>
        </w:rPr>
        <w:t xml:space="preserve">, 1930) ; puis intérêt public suffisant et respect de la concurrence (</w:t>
      </w:r>
      <w:r>
        <w:rPr>
          <w:rFonts w:ascii="Calibri" w:cs="Calibri" w:eastAsia="Calibri" w:hAnsi="Calibri"/>
          <w:color w:val="E91E63"/>
          <w:sz w:val="20"/>
          <w:szCs w:val="20"/>
        </w:rPr>
        <w:t xml:space="preserve">Ordre des avocats au barreau de Paris</w:t>
      </w:r>
      <w:r>
        <w:rPr>
          <w:rFonts w:ascii="Calibri" w:cs="Calibri" w:eastAsia="Calibri" w:hAnsi="Calibri"/>
          <w:color w:val="1A1A1A"/>
          <w:sz w:val="20"/>
          <w:szCs w:val="20"/>
        </w:rPr>
        <w:t xml:space="preserve">, 2006) ; atteinte à la liberté du commerce par la prise en charge d’une activité (</w:t>
      </w:r>
      <w:r>
        <w:rPr>
          <w:rFonts w:ascii="Calibri" w:cs="Calibri" w:eastAsia="Calibri" w:hAnsi="Calibri"/>
          <w:color w:val="E91E63"/>
          <w:sz w:val="20"/>
          <w:szCs w:val="20"/>
        </w:rPr>
        <w:t xml:space="preserve">CE, 23 mai 2012, RATP, n° 348909</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Santé — actualités</w:t>
      </w:r>
      <w:r>
        <w:rPr>
          <w:rFonts w:ascii="Calibri" w:cs="Calibri" w:eastAsia="Calibri" w:hAnsi="Calibri"/>
          <w:color w:val="1A1A1A"/>
          <w:sz w:val="20"/>
          <w:szCs w:val="20"/>
        </w:rPr>
        <w:t xml:space="preserve"> : interdiction des sachets de nicotine validée, interdiction de tout vapotage censurée (</w:t>
      </w:r>
      <w:r>
        <w:rPr>
          <w:rFonts w:ascii="Calibri" w:cs="Calibri" w:eastAsia="Calibri" w:hAnsi="Calibri"/>
          <w:color w:val="E91E63"/>
          <w:sz w:val="20"/>
          <w:szCs w:val="20"/>
        </w:rPr>
        <w:t xml:space="preserve">CE, 23 décembre 2025, Vape X, n° 508403</w:t>
      </w:r>
      <w:r>
        <w:rPr>
          <w:rFonts w:ascii="Calibri" w:cs="Calibri" w:eastAsia="Calibri" w:hAnsi="Calibri"/>
          <w:color w:val="1A1A1A"/>
          <w:sz w:val="20"/>
          <w:szCs w:val="20"/>
        </w:rPr>
        <w:t xml:space="preserve">) ; suspension par arrêté (janvier 2026) de l’importation de denrées contenant des résidus de cinq substances interdites dans l’Union, validée comme </w:t>
      </w:r>
      <w:r>
        <w:rPr>
          <w:rFonts w:ascii="Calibri" w:cs="Calibri" w:eastAsia="Calibri" w:hAnsi="Calibri"/>
          <w:b/>
          <w:bCs/>
          <w:color w:val="1A1A1A"/>
          <w:sz w:val="20"/>
          <w:szCs w:val="20"/>
        </w:rPr>
        <w:t xml:space="preserve">mesure nationale de sauvegarde</w:t>
      </w:r>
      <w:r>
        <w:rPr>
          <w:rFonts w:ascii="Calibri" w:cs="Calibri" w:eastAsia="Calibri" w:hAnsi="Calibri"/>
          <w:color w:val="1A1A1A"/>
          <w:sz w:val="20"/>
          <w:szCs w:val="20"/>
        </w:rPr>
        <w:t xml:space="preserve"> reposant sur des données scientifiques fiables (</w:t>
      </w:r>
      <w:r>
        <w:rPr>
          <w:rFonts w:ascii="Calibri" w:cs="Calibri" w:eastAsia="Calibri" w:hAnsi="Calibri"/>
          <w:color w:val="E91E63"/>
          <w:sz w:val="20"/>
          <w:szCs w:val="20"/>
        </w:rPr>
        <w:t xml:space="preserve">CE, 13 mai 2026, Chambre syndicale des importateurs français de fruits et légumes, n° 511530</w:t>
      </w:r>
      <w:r>
        <w:rPr>
          <w:rFonts w:ascii="Calibri" w:cs="Calibri" w:eastAsia="Calibri" w:hAnsi="Calibri"/>
          <w:color w:val="1A1A1A"/>
          <w:sz w:val="20"/>
          <w:szCs w:val="20"/>
        </w:rPr>
        <w:t xml:space="preserve">).</w:t>
      </w:r>
    </w:p>
    <w:p>
      <w:pPr>
        <w:pStyle w:val="Heading2"/>
        <w:spacing w:after="120" w:before="280"/>
      </w:pPr>
      <w:r>
        <w:rPr>
          <w:rFonts w:ascii="Calibri" w:cs="Calibri" w:eastAsia="Calibri" w:hAnsi="Calibri"/>
          <w:b/>
          <w:bCs/>
          <w:color w:val="1A1A1A"/>
          <w:sz w:val="24"/>
          <w:szCs w:val="24"/>
        </w:rPr>
        <w:t xml:space="preserve">4. Débats doctrinaux et critiques</w:t>
      </w:r>
    </w:p>
    <w:p>
      <w:pPr>
        <w:pStyle w:val="ListParagraph"/>
        <w:numPr>
          <w:ilvl w:val="0"/>
          <w:numId w:val="2"/>
        </w:numPr>
        <w:spacing w:after="70" w:line="264"/>
        <w:jc w:val="both"/>
      </w:pPr>
      <w:r>
        <w:rPr>
          <w:rFonts w:ascii="Calibri" w:cs="Calibri" w:eastAsia="Calibri" w:hAnsi="Calibri"/>
          <w:b/>
          <w:bCs/>
          <w:color w:val="1A1A1A"/>
          <w:sz w:val="20"/>
          <w:szCs w:val="20"/>
        </w:rPr>
        <w:t xml:space="preserve">Une liberté bourgeoise ?</w:t>
      </w:r>
      <w:r>
        <w:rPr>
          <w:rFonts w:ascii="Calibri" w:cs="Calibri" w:eastAsia="Calibri" w:hAnsi="Calibri"/>
          <w:color w:val="1A1A1A"/>
          <w:sz w:val="20"/>
          <w:szCs w:val="20"/>
        </w:rPr>
        <w:t xml:space="preserve"> — de l’</w:t>
      </w:r>
      <w:r>
        <w:rPr>
          <w:rFonts w:ascii="Calibri" w:cs="Calibri" w:eastAsia="Calibri" w:hAnsi="Calibri"/>
          <w:color w:val="2E7D32"/>
          <w:sz w:val="20"/>
          <w:szCs w:val="20"/>
        </w:rPr>
        <w:t xml:space="preserve">édit de Turgot</w:t>
      </w:r>
      <w:r>
        <w:rPr>
          <w:rFonts w:ascii="Calibri" w:cs="Calibri" w:eastAsia="Calibri" w:hAnsi="Calibri"/>
          <w:color w:val="1A1A1A"/>
          <w:sz w:val="20"/>
          <w:szCs w:val="20"/>
        </w:rPr>
        <w:t xml:space="preserve"> (1776) au décret d’Allarde, la liberté du commerce est l’arme du tiers état contre les corporations ; pour </w:t>
      </w:r>
      <w:r>
        <w:rPr>
          <w:rFonts w:ascii="Calibri" w:cs="Calibri" w:eastAsia="Calibri" w:hAnsi="Calibri"/>
          <w:color w:val="2E7D32"/>
          <w:sz w:val="20"/>
          <w:szCs w:val="20"/>
        </w:rPr>
        <w:t xml:space="preserve">Georges Ripert</w:t>
      </w:r>
      <w:r>
        <w:rPr>
          <w:rFonts w:ascii="Calibri" w:cs="Calibri" w:eastAsia="Calibri" w:hAnsi="Calibri"/>
          <w:color w:val="1A1A1A"/>
          <w:sz w:val="20"/>
          <w:szCs w:val="20"/>
        </w:rPr>
        <w:t xml:space="preserve"> (</w:t>
      </w:r>
      <w:r>
        <w:rPr>
          <w:rFonts w:ascii="Calibri" w:cs="Calibri" w:eastAsia="Calibri" w:hAnsi="Calibri"/>
          <w:color w:val="2E7D32"/>
          <w:sz w:val="20"/>
          <w:szCs w:val="20"/>
        </w:rPr>
        <w:t xml:space="preserve">Aspects juridiques du capitalisme moderne</w:t>
      </w:r>
      <w:r>
        <w:rPr>
          <w:rFonts w:ascii="Calibri" w:cs="Calibri" w:eastAsia="Calibri" w:hAnsi="Calibri"/>
          <w:color w:val="1A1A1A"/>
          <w:sz w:val="20"/>
          <w:szCs w:val="20"/>
        </w:rPr>
        <w:t xml:space="preserve">, 1946), le droit a fini par la mettre au service des grandes entreprises plus que de l’individu entreprenant.</w:t>
      </w:r>
    </w:p>
    <w:p>
      <w:pPr>
        <w:pStyle w:val="ListParagraph"/>
        <w:numPr>
          <w:ilvl w:val="0"/>
          <w:numId w:val="2"/>
        </w:numPr>
        <w:spacing w:after="70" w:line="264"/>
        <w:jc w:val="both"/>
      </w:pPr>
      <w:r>
        <w:rPr>
          <w:rFonts w:ascii="Calibri" w:cs="Calibri" w:eastAsia="Calibri" w:hAnsi="Calibri"/>
          <w:b/>
          <w:bCs/>
          <w:color w:val="1A1A1A"/>
          <w:sz w:val="20"/>
          <w:szCs w:val="20"/>
        </w:rPr>
        <w:t xml:space="preserve">Contrôle constitutionnel minimal</w:t>
      </w:r>
      <w:r>
        <w:rPr>
          <w:rFonts w:ascii="Calibri" w:cs="Calibri" w:eastAsia="Calibri" w:hAnsi="Calibri"/>
          <w:color w:val="1A1A1A"/>
          <w:sz w:val="20"/>
          <w:szCs w:val="20"/>
        </w:rPr>
        <w:t xml:space="preserve"> — la doctrine relève l’asymétrie : la liberté d’entreprendre ne fait l’objet que d’un contrôle de disproportion, quand les libertés de la personne bénéficient d’un triple test ; mais elle sert de bouclier efficace contre des réformes sociales (</w:t>
      </w:r>
      <w:r>
        <w:rPr>
          <w:rFonts w:ascii="Calibri" w:cs="Calibri" w:eastAsia="Calibri" w:hAnsi="Calibri"/>
          <w:color w:val="E91E63"/>
          <w:sz w:val="20"/>
          <w:szCs w:val="20"/>
        </w:rPr>
        <w:t xml:space="preserve">2001-455 DC</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Écologisation de la liberté d’entreprendre</w:t>
      </w:r>
      <w:r>
        <w:rPr>
          <w:rFonts w:ascii="Calibri" w:cs="Calibri" w:eastAsia="Calibri" w:hAnsi="Calibri"/>
          <w:color w:val="1A1A1A"/>
          <w:sz w:val="20"/>
          <w:szCs w:val="20"/>
        </w:rPr>
        <w:t xml:space="preserve"> — depuis </w:t>
      </w:r>
      <w:r>
        <w:rPr>
          <w:rFonts w:ascii="Calibri" w:cs="Calibri" w:eastAsia="Calibri" w:hAnsi="Calibri"/>
          <w:color w:val="E91E63"/>
          <w:sz w:val="20"/>
          <w:szCs w:val="20"/>
        </w:rPr>
        <w:t xml:space="preserve">2019-823 QPC</w:t>
      </w:r>
      <w:r>
        <w:rPr>
          <w:rFonts w:ascii="Calibri" w:cs="Calibri" w:eastAsia="Calibri" w:hAnsi="Calibri"/>
          <w:color w:val="1A1A1A"/>
          <w:sz w:val="20"/>
          <w:szCs w:val="20"/>
        </w:rPr>
        <w:t xml:space="preserve">, la protection de l’environnement et de la santé peut l’emporter même sur l’activité exportatrice ; la Charte de l’environnement (</w:t>
      </w:r>
      <w:r>
        <w:rPr>
          <w:rFonts w:ascii="Calibri" w:cs="Calibri" w:eastAsia="Calibri" w:hAnsi="Calibri"/>
          <w:color w:val="1E88E5"/>
          <w:sz w:val="20"/>
          <w:szCs w:val="20"/>
        </w:rPr>
        <w:t xml:space="preserve">art. 1er</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art. 6</w:t>
      </w:r>
      <w:r>
        <w:rPr>
          <w:rFonts w:ascii="Calibri" w:cs="Calibri" w:eastAsia="Calibri" w:hAnsi="Calibri"/>
          <w:color w:val="1A1A1A"/>
          <w:sz w:val="20"/>
          <w:szCs w:val="20"/>
        </w:rPr>
        <w:t xml:space="preserve">) tend à faire de la liberté économique une liberté </w:t>
      </w:r>
      <w:r>
        <w:rPr>
          <w:rFonts w:ascii="Calibri" w:cs="Calibri" w:eastAsia="Calibri" w:hAnsi="Calibri"/>
          <w:b/>
          <w:bCs/>
          <w:color w:val="1A1A1A"/>
          <w:sz w:val="20"/>
          <w:szCs w:val="20"/>
        </w:rPr>
        <w:t xml:space="preserve">conditionnée par la durabilité</w:t>
      </w:r>
      <w:r>
        <w:rPr>
          <w:rFonts w:ascii="Calibri" w:cs="Calibri" w:eastAsia="Calibri" w:hAnsi="Calibri"/>
          <w:color w:val="1A1A1A"/>
          <w:sz w:val="20"/>
          <w:szCs w:val="20"/>
        </w:rPr>
        <w:t xml:space="preserve"> (fiche 49).</w:t>
      </w:r>
    </w:p>
    <w:p>
      <w:pPr>
        <w:pStyle w:val="Heading2"/>
        <w:spacing w:after="120" w:before="280"/>
      </w:pPr>
      <w:r>
        <w:rPr>
          <w:rFonts w:ascii="Calibri" w:cs="Calibri" w:eastAsia="Calibri" w:hAnsi="Calibri"/>
          <w:b/>
          <w:bCs/>
          <w:color w:val="1A1A1A"/>
          <w:sz w:val="24"/>
          <w:szCs w:val="24"/>
        </w:rPr>
        <w:t xml:space="preserve">5. Dispositif « Grand Oral »</w:t>
      </w:r>
    </w:p>
    <w:p>
      <w:pPr>
        <w:pStyle w:val="Heading3"/>
        <w:spacing w:after="90" w:before="200"/>
      </w:pPr>
      <w:r>
        <w:rPr>
          <w:rFonts w:ascii="Calibri" w:cs="Calibri" w:eastAsia="Calibri" w:hAnsi="Calibri"/>
          <w:b/>
          <w:bCs/>
          <w:i/>
          <w:iCs/>
          <w:color w:val="5A5A5A"/>
          <w:sz w:val="21"/>
          <w:szCs w:val="21"/>
        </w:rPr>
        <w:t xml:space="preserve">5.1. Trois relances / questions pièges</w:t>
      </w:r>
    </w:p>
    <w:p>
      <w:pPr>
        <w:pStyle w:val="ListParagraph"/>
        <w:numPr>
          <w:ilvl w:val="0"/>
          <w:numId w:val="2"/>
        </w:numPr>
        <w:spacing w:after="70" w:line="264"/>
        <w:jc w:val="both"/>
      </w:pPr>
      <w:r>
        <w:rPr>
          <w:rFonts w:ascii="Calibri" w:cs="Calibri" w:eastAsia="Calibri" w:hAnsi="Calibri"/>
          <w:b/>
          <w:bCs/>
          <w:color w:val="1A1A1A"/>
          <w:sz w:val="20"/>
          <w:szCs w:val="20"/>
        </w:rPr>
        <w:t xml:space="preserve">« Un maire peut-il soumettre à autorisation la vente ambulante ? »</w:t>
      </w:r>
      <w:r>
        <w:rPr>
          <w:rFonts w:ascii="Calibri" w:cs="Calibri" w:eastAsia="Calibri" w:hAnsi="Calibri"/>
          <w:color w:val="1A1A1A"/>
          <w:sz w:val="20"/>
          <w:szCs w:val="20"/>
        </w:rPr>
        <w:t xml:space="preserve"> — Il peut réglementer (horaires, emplacements) mais non instituer un régime d’autorisation générale sans base légale (</w:t>
      </w:r>
      <w:r>
        <w:rPr>
          <w:rFonts w:ascii="Calibri" w:cs="Calibri" w:eastAsia="Calibri" w:hAnsi="Calibri"/>
          <w:color w:val="E91E63"/>
          <w:sz w:val="20"/>
          <w:szCs w:val="20"/>
        </w:rPr>
        <w:t xml:space="preserve">Daudignac</w:t>
      </w:r>
      <w:r>
        <w:rPr>
          <w:rFonts w:ascii="Calibri" w:cs="Calibri" w:eastAsia="Calibri" w:hAnsi="Calibri"/>
          <w:color w:val="1A1A1A"/>
          <w:sz w:val="20"/>
          <w:szCs w:val="20"/>
        </w:rPr>
        <w:t xml:space="preserve">) ; le domaine public relève d’un régime d’occupation spécifique.</w:t>
      </w:r>
    </w:p>
    <w:p>
      <w:pPr>
        <w:pStyle w:val="ListParagraph"/>
        <w:numPr>
          <w:ilvl w:val="0"/>
          <w:numId w:val="2"/>
        </w:numPr>
        <w:spacing w:after="70" w:line="264"/>
        <w:jc w:val="both"/>
      </w:pPr>
      <w:r>
        <w:rPr>
          <w:rFonts w:ascii="Calibri" w:cs="Calibri" w:eastAsia="Calibri" w:hAnsi="Calibri"/>
          <w:b/>
          <w:bCs/>
          <w:color w:val="1A1A1A"/>
          <w:sz w:val="20"/>
          <w:szCs w:val="20"/>
        </w:rPr>
        <w:t xml:space="preserve">« La liberté d’entreprendre protège-t-elle le droit de licencier ? »</w:t>
      </w:r>
      <w:r>
        <w:rPr>
          <w:rFonts w:ascii="Calibri" w:cs="Calibri" w:eastAsia="Calibri" w:hAnsi="Calibri"/>
          <w:color w:val="1A1A1A"/>
          <w:sz w:val="20"/>
          <w:szCs w:val="20"/>
        </w:rPr>
        <w:t xml:space="preserve"> — Oui, le choix de gestion appartient à l’employeur ; le législateur ne peut lui imposer de ne licencier qu’en cas de survie de l’entreprise (</w:t>
      </w:r>
      <w:r>
        <w:rPr>
          <w:rFonts w:ascii="Calibri" w:cs="Calibri" w:eastAsia="Calibri" w:hAnsi="Calibri"/>
          <w:color w:val="E91E63"/>
          <w:sz w:val="20"/>
          <w:szCs w:val="20"/>
        </w:rPr>
        <w:t xml:space="preserve">2001-455 DC</w:t>
      </w:r>
      <w:r>
        <w:rPr>
          <w:rFonts w:ascii="Calibri" w:cs="Calibri" w:eastAsia="Calibri" w:hAnsi="Calibri"/>
          <w:color w:val="1A1A1A"/>
          <w:sz w:val="20"/>
          <w:szCs w:val="20"/>
        </w:rPr>
        <w:t xml:space="preserve">) ; mais il peut encadrer pour protéger le droit à l’emploi (</w:t>
      </w:r>
      <w:r>
        <w:rPr>
          <w:rFonts w:ascii="Calibri" w:cs="Calibri" w:eastAsia="Calibri" w:hAnsi="Calibri"/>
          <w:color w:val="1E88E5"/>
          <w:sz w:val="20"/>
          <w:szCs w:val="20"/>
        </w:rPr>
        <w:t xml:space="preserve">al. 5</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 Une commune peut-elle ouvrir une épicerie ? »</w:t>
      </w:r>
      <w:r>
        <w:rPr>
          <w:rFonts w:ascii="Calibri" w:cs="Calibri" w:eastAsia="Calibri" w:hAnsi="Calibri"/>
          <w:color w:val="1A1A1A"/>
          <w:sz w:val="20"/>
          <w:szCs w:val="20"/>
        </w:rPr>
        <w:t xml:space="preserve"> — Oui si un intérêt public le justifie (carence, besoin de la population) et dans le respect de la concurrence (</w:t>
      </w:r>
      <w:r>
        <w:rPr>
          <w:rFonts w:ascii="Calibri" w:cs="Calibri" w:eastAsia="Calibri" w:hAnsi="Calibri"/>
          <w:color w:val="E91E63"/>
          <w:sz w:val="20"/>
          <w:szCs w:val="20"/>
        </w:rPr>
        <w:t xml:space="preserve">Ordre des avocats</w:t>
      </w:r>
      <w:r>
        <w:rPr>
          <w:rFonts w:ascii="Calibri" w:cs="Calibri" w:eastAsia="Calibri" w:hAnsi="Calibri"/>
          <w:color w:val="1A1A1A"/>
          <w:sz w:val="20"/>
          <w:szCs w:val="20"/>
        </w:rPr>
        <w:t xml:space="preserve">, 2006).</w:t>
      </w:r>
    </w:p>
    <w:p>
      <w:pPr>
        <w:pStyle w:val="Heading3"/>
        <w:spacing w:after="90" w:before="200"/>
      </w:pPr>
      <w:r>
        <w:rPr>
          <w:rFonts w:ascii="Calibri" w:cs="Calibri" w:eastAsia="Calibri" w:hAnsi="Calibri"/>
          <w:b/>
          <w:bCs/>
          <w:i/>
          <w:iCs/>
          <w:color w:val="5A5A5A"/>
          <w:sz w:val="21"/>
          <w:szCs w:val="21"/>
        </w:rPr>
        <w:t xml:space="preserve">5.2. Sujets d’exposé rattachables</w:t>
      </w:r>
    </w:p>
    <w:p>
      <w:pPr>
        <w:pStyle w:val="ListParagraph"/>
        <w:numPr>
          <w:ilvl w:val="0"/>
          <w:numId w:val="2"/>
        </w:numPr>
        <w:spacing w:after="70" w:line="264"/>
        <w:jc w:val="both"/>
      </w:pPr>
      <w:r>
        <w:rPr>
          <w:rFonts w:ascii="Calibri" w:cs="Calibri" w:eastAsia="Calibri" w:hAnsi="Calibri"/>
          <w:color w:val="1A1A1A"/>
          <w:sz w:val="20"/>
          <w:szCs w:val="20"/>
        </w:rPr>
        <w:t xml:space="preserve">La liberté d’entreprendre — La soumission de la liberté d’entreprendre à des autorisations administratives (sujet « Pour s’entraîner » du fascicule) — Libertés économiques et santé publique — L’interventionnisme économique des personnes publiques — Liberté d’entreprendre et environnement — Commentaire : </w:t>
      </w:r>
      <w:r>
        <w:rPr>
          <w:rFonts w:ascii="Calibri" w:cs="Calibri" w:eastAsia="Calibri" w:hAnsi="Calibri"/>
          <w:color w:val="E91E63"/>
          <w:sz w:val="20"/>
          <w:szCs w:val="20"/>
        </w:rPr>
        <w:t xml:space="preserve">2019-823 QPC</w:t>
      </w:r>
      <w:r>
        <w:rPr>
          <w:rFonts w:ascii="Calibri" w:cs="Calibri" w:eastAsia="Calibri" w:hAnsi="Calibri"/>
          <w:color w:val="1A1A1A"/>
          <w:sz w:val="20"/>
          <w:szCs w:val="20"/>
        </w:rPr>
        <w:t xml:space="preserve"> — Commentaire : </w:t>
      </w:r>
      <w:r>
        <w:rPr>
          <w:rFonts w:ascii="Calibri" w:cs="Calibri" w:eastAsia="Calibri" w:hAnsi="Calibri"/>
          <w:color w:val="E91E63"/>
          <w:sz w:val="20"/>
          <w:szCs w:val="20"/>
        </w:rPr>
        <w:t xml:space="preserve">CE, 23 décembre 2025, Vape X</w:t>
      </w:r>
      <w:r>
        <w:rPr>
          <w:rFonts w:ascii="Calibri" w:cs="Calibri" w:eastAsia="Calibri" w:hAnsi="Calibri"/>
          <w:color w:val="1A1A1A"/>
          <w:sz w:val="20"/>
          <w:szCs w:val="20"/>
        </w:rPr>
        <w:t xml:space="preserve">.</w:t>
      </w:r>
    </w:p>
    <w:p>
      <w:pPr>
        <w:pStyle w:val="Heading3"/>
        <w:spacing w:after="90" w:before="200"/>
      </w:pPr>
      <w:r>
        <w:rPr>
          <w:rFonts w:ascii="Calibri" w:cs="Calibri" w:eastAsia="Calibri" w:hAnsi="Calibri"/>
          <w:b/>
          <w:bCs/>
          <w:i/>
          <w:iCs/>
          <w:color w:val="5A5A5A"/>
          <w:sz w:val="21"/>
          <w:szCs w:val="21"/>
        </w:rPr>
        <w:t xml:space="preserve">5.3. Angles morts — en question / réponse</w:t>
      </w:r>
    </w:p>
    <w:p>
      <w:pPr>
        <w:pStyle w:val="ListParagraph"/>
        <w:numPr>
          <w:ilvl w:val="0"/>
          <w:numId w:val="2"/>
        </w:numPr>
        <w:spacing w:after="70" w:line="264"/>
        <w:jc w:val="both"/>
      </w:pPr>
      <w:r>
        <w:rPr>
          <w:rFonts w:ascii="Calibri" w:cs="Calibri" w:eastAsia="Calibri" w:hAnsi="Calibri"/>
          <w:b/>
          <w:bCs/>
          <w:color w:val="1A1A1A"/>
          <w:sz w:val="20"/>
          <w:szCs w:val="20"/>
        </w:rPr>
        <w:t xml:space="preserve">Q. Quel texte a créé la patente et la liberté professionnelle ?</w:t>
      </w:r>
      <w:r>
        <w:rPr>
          <w:rFonts w:ascii="Calibri" w:cs="Calibri" w:eastAsia="Calibri" w:hAnsi="Calibri"/>
          <w:color w:val="1A1A1A"/>
          <w:sz w:val="20"/>
          <w:szCs w:val="20"/>
        </w:rPr>
        <w:t xml:space="preserve"> — Le </w:t>
      </w:r>
      <w:r>
        <w:rPr>
          <w:rFonts w:ascii="Calibri" w:cs="Calibri" w:eastAsia="Calibri" w:hAnsi="Calibri"/>
          <w:color w:val="1E88E5"/>
          <w:sz w:val="20"/>
          <w:szCs w:val="20"/>
        </w:rPr>
        <w:t xml:space="preserve">décret d’Allarde des 2-17 mars 1791</w:t>
      </w:r>
      <w:r>
        <w:rPr>
          <w:rFonts w:ascii="Calibri" w:cs="Calibri" w:eastAsia="Calibri" w:hAnsi="Calibri"/>
          <w:color w:val="1A1A1A"/>
          <w:sz w:val="20"/>
          <w:szCs w:val="20"/>
        </w:rPr>
        <w:t xml:space="preserve">, complété par la </w:t>
      </w:r>
      <w:r>
        <w:rPr>
          <w:rFonts w:ascii="Calibri" w:cs="Calibri" w:eastAsia="Calibri" w:hAnsi="Calibri"/>
          <w:color w:val="1E88E5"/>
          <w:sz w:val="20"/>
          <w:szCs w:val="20"/>
        </w:rPr>
        <w:t xml:space="preserve">loi Le Chapelier des 14-17 juin 1791</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Q. L’article 16 de la Charte est-il une liberté forte ?</w:t>
      </w:r>
      <w:r>
        <w:rPr>
          <w:rFonts w:ascii="Calibri" w:cs="Calibri" w:eastAsia="Calibri" w:hAnsi="Calibri"/>
          <w:color w:val="1A1A1A"/>
          <w:sz w:val="20"/>
          <w:szCs w:val="20"/>
        </w:rPr>
        <w:t xml:space="preserve"> — Non : la Cour de justice admet un « large éventail d’interventions » (</w:t>
      </w:r>
      <w:r>
        <w:rPr>
          <w:rFonts w:ascii="Calibri" w:cs="Calibri" w:eastAsia="Calibri" w:hAnsi="Calibri"/>
          <w:color w:val="E91E63"/>
          <w:sz w:val="20"/>
          <w:szCs w:val="20"/>
        </w:rPr>
        <w:t xml:space="preserve">Sky Österreich</w:t>
      </w:r>
      <w:r>
        <w:rPr>
          <w:rFonts w:ascii="Calibri" w:cs="Calibri" w:eastAsia="Calibri" w:hAnsi="Calibri"/>
          <w:color w:val="1A1A1A"/>
          <w:sz w:val="20"/>
          <w:szCs w:val="20"/>
        </w:rPr>
        <w:t xml:space="preserve">, 2013) ; mais la loi grecque soumettant les licenciements collectifs à autorisation discrétionnaire a été jugée contraire (</w:t>
      </w:r>
      <w:r>
        <w:rPr>
          <w:rFonts w:ascii="Calibri" w:cs="Calibri" w:eastAsia="Calibri" w:hAnsi="Calibri"/>
          <w:color w:val="E91E63"/>
          <w:sz w:val="20"/>
          <w:szCs w:val="20"/>
        </w:rPr>
        <w:t xml:space="preserve">CJUE [GC], 21 décembre 2016, AGET Iraklis, C-201/15</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Q. Quelle autorité contrôle les pratiques anticoncurrentielles ?</w:t>
      </w:r>
      <w:r>
        <w:rPr>
          <w:rFonts w:ascii="Calibri" w:cs="Calibri" w:eastAsia="Calibri" w:hAnsi="Calibri"/>
          <w:color w:val="1A1A1A"/>
          <w:sz w:val="20"/>
          <w:szCs w:val="20"/>
        </w:rPr>
        <w:t xml:space="preserve"> — L’</w:t>
      </w:r>
      <w:r>
        <w:rPr>
          <w:rFonts w:ascii="Calibri" w:cs="Calibri" w:eastAsia="Calibri" w:hAnsi="Calibri"/>
          <w:b/>
          <w:bCs/>
          <w:color w:val="1A1A1A"/>
          <w:sz w:val="20"/>
          <w:szCs w:val="20"/>
        </w:rPr>
        <w:t xml:space="preserve">Autorité de la concurrence</w:t>
      </w:r>
      <w:r>
        <w:rPr>
          <w:rFonts w:ascii="Calibri" w:cs="Calibri" w:eastAsia="Calibri" w:hAnsi="Calibri"/>
          <w:color w:val="1A1A1A"/>
          <w:sz w:val="20"/>
          <w:szCs w:val="20"/>
        </w:rPr>
        <w:t xml:space="preserve"> (2008), sous le contrôle de la cour d’appel de Paris.</w:t>
      </w:r>
    </w:p>
    <w:p>
      <w:pPr>
        <w:pStyle w:val="ListParagraph"/>
        <w:numPr>
          <w:ilvl w:val="0"/>
          <w:numId w:val="2"/>
        </w:numPr>
        <w:spacing w:after="70" w:line="264"/>
        <w:jc w:val="both"/>
      </w:pPr>
      <w:r>
        <w:rPr>
          <w:rFonts w:ascii="Calibri" w:cs="Calibri" w:eastAsia="Calibri" w:hAnsi="Calibri"/>
          <w:b/>
          <w:bCs/>
          <w:color w:val="1A1A1A"/>
          <w:sz w:val="20"/>
          <w:szCs w:val="20"/>
        </w:rPr>
        <w:t xml:space="preserve">Q. Une clause de non-concurrence sans contrepartie financière est-elle valable ?</w:t>
      </w:r>
      <w:r>
        <w:rPr>
          <w:rFonts w:ascii="Calibri" w:cs="Calibri" w:eastAsia="Calibri" w:hAnsi="Calibri"/>
          <w:color w:val="1A1A1A"/>
          <w:sz w:val="20"/>
          <w:szCs w:val="20"/>
        </w:rPr>
        <w:t xml:space="preserve"> — Non en droit du travail depuis </w:t>
      </w:r>
      <w:r>
        <w:rPr>
          <w:rFonts w:ascii="Calibri" w:cs="Calibri" w:eastAsia="Calibri" w:hAnsi="Calibri"/>
          <w:color w:val="E91E63"/>
          <w:sz w:val="20"/>
          <w:szCs w:val="20"/>
        </w:rPr>
        <w:t xml:space="preserve">Cass. soc., 10 juillet 2002</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Q. La liberté d’entreprendre est-elle une liberté fondamentale en référé ?</w:t>
      </w:r>
      <w:r>
        <w:rPr>
          <w:rFonts w:ascii="Calibri" w:cs="Calibri" w:eastAsia="Calibri" w:hAnsi="Calibri"/>
          <w:color w:val="1A1A1A"/>
          <w:sz w:val="20"/>
          <w:szCs w:val="20"/>
        </w:rPr>
        <w:t xml:space="preserve"> — Oui, de même que la liberté du commerce et de l’industrie qui en est une composante (</w:t>
      </w:r>
      <w:r>
        <w:rPr>
          <w:rFonts w:ascii="Calibri" w:cs="Calibri" w:eastAsia="Calibri" w:hAnsi="Calibri"/>
          <w:color w:val="E91E63"/>
          <w:sz w:val="20"/>
          <w:szCs w:val="20"/>
        </w:rPr>
        <w:t xml:space="preserve">Commune de Montreuil-Bellay</w:t>
      </w:r>
      <w:r>
        <w:rPr>
          <w:rFonts w:ascii="Calibri" w:cs="Calibri" w:eastAsia="Calibri" w:hAnsi="Calibri"/>
          <w:color w:val="1A1A1A"/>
          <w:sz w:val="20"/>
          <w:szCs w:val="20"/>
        </w:rPr>
        <w:t xml:space="preserve">, 2001).</w:t>
      </w:r>
    </w:p>
    <w:p>
      <w:r>
        <w:br w:type="page"/>
      </w:r>
    </w:p>
    <w:p>
      <w:pPr>
        <w:pStyle w:val="Heading1"/>
        <w:pBdr>
          <w:bottom w:val="single" w:color="8C1C2B" w:sz="12" w:space="6"/>
        </w:pBdr>
        <w:spacing w:after="200" w:before="240"/>
      </w:pPr>
      <w:r>
        <w:rPr>
          <w:rFonts w:ascii="Calibri" w:cs="Calibri" w:eastAsia="Calibri" w:hAnsi="Calibri"/>
          <w:b/>
          <w:bCs/>
          <w:color w:val="8C1C2B"/>
          <w:sz w:val="30"/>
          <w:szCs w:val="30"/>
        </w:rPr>
        <w:t xml:space="preserve">FICHE N° 46 — LE DROIT DE PROPRIÉTÉ</w:t>
      </w:r>
    </w:p>
    <w:p>
      <w:pPr>
        <w:pStyle w:val="Heading2"/>
        <w:spacing w:after="120" w:before="280"/>
      </w:pPr>
      <w:r>
        <w:rPr>
          <w:rFonts w:ascii="Calibri" w:cs="Calibri" w:eastAsia="Calibri" w:hAnsi="Calibri"/>
          <w:b/>
          <w:bCs/>
          <w:color w:val="1A1A1A"/>
          <w:sz w:val="24"/>
          <w:szCs w:val="24"/>
        </w:rPr>
        <w:t xml:space="preserve">◆ FICHE-MÉMOIRE — à réviser en trois minutes</w:t>
      </w:r>
    </w:p>
    <w:p>
      <w:pPr>
        <w:pStyle w:val="Heading3"/>
        <w:spacing w:after="90" w:before="200"/>
      </w:pPr>
      <w:r>
        <w:rPr>
          <w:rFonts w:ascii="Calibri" w:cs="Calibri" w:eastAsia="Calibri" w:hAnsi="Calibri"/>
          <w:b/>
          <w:bCs/>
          <w:i/>
          <w:iCs/>
          <w:color w:val="5A5A5A"/>
          <w:sz w:val="21"/>
          <w:szCs w:val="21"/>
        </w:rPr>
        <w:t xml:space="preserve">Accroche</w:t>
      </w:r>
    </w:p>
    <w:p>
      <w:pPr>
        <w:pStyle w:val="ListParagraph"/>
        <w:numPr>
          <w:ilvl w:val="0"/>
          <w:numId w:val="2"/>
        </w:numPr>
        <w:spacing w:after="70" w:line="264"/>
        <w:jc w:val="both"/>
      </w:pPr>
      <w:r>
        <w:rPr>
          <w:rFonts w:ascii="Calibri" w:cs="Calibri" w:eastAsia="Calibri" w:hAnsi="Calibri"/>
          <w:color w:val="1A1A1A"/>
          <w:sz w:val="20"/>
          <w:szCs w:val="20"/>
        </w:rPr>
        <w:t xml:space="preserve">« La propriété étant un droit </w:t>
      </w:r>
      <w:r>
        <w:rPr>
          <w:rFonts w:ascii="Calibri" w:cs="Calibri" w:eastAsia="Calibri" w:hAnsi="Calibri"/>
          <w:b/>
          <w:bCs/>
          <w:color w:val="1A1A1A"/>
          <w:sz w:val="20"/>
          <w:szCs w:val="20"/>
        </w:rPr>
        <w:t xml:space="preserve">inviolable et sacré</w:t>
      </w:r>
      <w:r>
        <w:rPr>
          <w:rFonts w:ascii="Calibri" w:cs="Calibri" w:eastAsia="Calibri" w:hAnsi="Calibri"/>
          <w:color w:val="1A1A1A"/>
          <w:sz w:val="20"/>
          <w:szCs w:val="20"/>
        </w:rPr>
        <w:t xml:space="preserve">… » : l’</w:t>
      </w:r>
      <w:r>
        <w:rPr>
          <w:rFonts w:ascii="Calibri" w:cs="Calibri" w:eastAsia="Calibri" w:hAnsi="Calibri"/>
          <w:color w:val="1E88E5"/>
          <w:sz w:val="20"/>
          <w:szCs w:val="20"/>
        </w:rPr>
        <w:t xml:space="preserve">article 17 DDHC</w:t>
      </w:r>
      <w:r>
        <w:rPr>
          <w:rFonts w:ascii="Calibri" w:cs="Calibri" w:eastAsia="Calibri" w:hAnsi="Calibri"/>
          <w:color w:val="1A1A1A"/>
          <w:sz w:val="20"/>
          <w:szCs w:val="20"/>
        </w:rPr>
        <w:t xml:space="preserve"> emploie pour un bien le vocabulaire du sacré. En 1840, </w:t>
      </w:r>
      <w:r>
        <w:rPr>
          <w:rFonts w:ascii="Calibri" w:cs="Calibri" w:eastAsia="Calibri" w:hAnsi="Calibri"/>
          <w:color w:val="2E7D32"/>
          <w:sz w:val="20"/>
          <w:szCs w:val="20"/>
        </w:rPr>
        <w:t xml:space="preserve">Proudhon</w:t>
      </w:r>
      <w:r>
        <w:rPr>
          <w:rFonts w:ascii="Calibri" w:cs="Calibri" w:eastAsia="Calibri" w:hAnsi="Calibri"/>
          <w:color w:val="1A1A1A"/>
          <w:sz w:val="20"/>
          <w:szCs w:val="20"/>
        </w:rPr>
        <w:t xml:space="preserve"> répond : « La propriété, c’est le vol. » En 2026, le Conseil constitutionnel valide l’interdiction des meublés de tourisme par une copropriété à la majorité des deux tiers (</w:t>
      </w:r>
      <w:r>
        <w:rPr>
          <w:rFonts w:ascii="Calibri" w:cs="Calibri" w:eastAsia="Calibri" w:hAnsi="Calibri"/>
          <w:color w:val="E91E63"/>
          <w:sz w:val="20"/>
          <w:szCs w:val="20"/>
        </w:rPr>
        <w:t xml:space="preserve">2025-1186 QPC</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le droit de propriété n’a jamais cessé d’être sacré en principe et relatif en pratique</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color w:val="1A1A1A"/>
          <w:sz w:val="20"/>
          <w:szCs w:val="20"/>
        </w:rPr>
        <w:t xml:space="preserve">Accroche alternative : pour </w:t>
      </w:r>
      <w:r>
        <w:rPr>
          <w:rFonts w:ascii="Calibri" w:cs="Calibri" w:eastAsia="Calibri" w:hAnsi="Calibri"/>
          <w:color w:val="2E7D32"/>
          <w:sz w:val="20"/>
          <w:szCs w:val="20"/>
        </w:rPr>
        <w:t xml:space="preserve">Léon Duguit</w:t>
      </w:r>
      <w:r>
        <w:rPr>
          <w:rFonts w:ascii="Calibri" w:cs="Calibri" w:eastAsia="Calibri" w:hAnsi="Calibri"/>
          <w:color w:val="1A1A1A"/>
          <w:sz w:val="20"/>
          <w:szCs w:val="20"/>
        </w:rPr>
        <w:t xml:space="preserve"> (1911), la propriété « n’est pas un droit, c’est une </w:t>
      </w:r>
      <w:r>
        <w:rPr>
          <w:rFonts w:ascii="Calibri" w:cs="Calibri" w:eastAsia="Calibri" w:hAnsi="Calibri"/>
          <w:b/>
          <w:bCs/>
          <w:color w:val="1A1A1A"/>
          <w:sz w:val="20"/>
          <w:szCs w:val="20"/>
        </w:rPr>
        <w:t xml:space="preserve">fonction sociale</w:t>
      </w:r>
      <w:r>
        <w:rPr>
          <w:rFonts w:ascii="Calibri" w:cs="Calibri" w:eastAsia="Calibri" w:hAnsi="Calibri"/>
          <w:color w:val="1A1A1A"/>
          <w:sz w:val="20"/>
          <w:szCs w:val="20"/>
        </w:rPr>
        <w:t xml:space="preserve"> ». La Cour européenne, en définissant les « biens » de façon autonome jusqu’aux créances et aux prestations sociales, a fait de l’</w:t>
      </w:r>
      <w:r>
        <w:rPr>
          <w:rFonts w:ascii="Calibri" w:cs="Calibri" w:eastAsia="Calibri" w:hAnsi="Calibri"/>
          <w:color w:val="1E88E5"/>
          <w:sz w:val="20"/>
          <w:szCs w:val="20"/>
        </w:rPr>
        <w:t xml:space="preserve">art. 1er du Protocole n° 1</w:t>
      </w:r>
      <w:r>
        <w:rPr>
          <w:rFonts w:ascii="Calibri" w:cs="Calibri" w:eastAsia="Calibri" w:hAnsi="Calibri"/>
          <w:color w:val="1A1A1A"/>
          <w:sz w:val="20"/>
          <w:szCs w:val="20"/>
        </w:rPr>
        <w:t xml:space="preserve"> l’un des articles les plus invoqués de la Convention.</w:t>
      </w:r>
    </w:p>
    <w:p>
      <w:pPr>
        <w:pStyle w:val="Heading3"/>
        <w:spacing w:after="90" w:before="200"/>
      </w:pPr>
      <w:r>
        <w:rPr>
          <w:rFonts w:ascii="Calibri" w:cs="Calibri" w:eastAsia="Calibri" w:hAnsi="Calibri"/>
          <w:b/>
          <w:bCs/>
          <w:i/>
          <w:iCs/>
          <w:color w:val="5A5A5A"/>
          <w:sz w:val="21"/>
          <w:szCs w:val="21"/>
        </w:rPr>
        <w:t xml:space="preserve">Définition en trois lignes</w:t>
      </w:r>
    </w:p>
    <w:p>
      <w:pPr>
        <w:pStyle w:val="ListParagraph"/>
        <w:numPr>
          <w:ilvl w:val="0"/>
          <w:numId w:val="2"/>
        </w:numPr>
        <w:spacing w:after="70" w:line="264"/>
        <w:jc w:val="both"/>
      </w:pPr>
      <w:r>
        <w:rPr>
          <w:rFonts w:ascii="Calibri" w:cs="Calibri" w:eastAsia="Calibri" w:hAnsi="Calibri"/>
          <w:color w:val="1A1A1A"/>
          <w:sz w:val="20"/>
          <w:szCs w:val="20"/>
        </w:rPr>
        <w:t xml:space="preserve">Le droit de propriété est « le droit de jouir et disposer des choses de la manière la plus absolue, pourvu qu’on n’en fasse pas un usage prohibé par les lois ou par les règlements » (</w:t>
      </w:r>
      <w:r>
        <w:rPr>
          <w:rFonts w:ascii="Calibri" w:cs="Calibri" w:eastAsia="Calibri" w:hAnsi="Calibri"/>
          <w:color w:val="1E88E5"/>
          <w:sz w:val="20"/>
          <w:szCs w:val="20"/>
        </w:rPr>
        <w:t xml:space="preserve">art. 544 C. civ.</w:t>
      </w:r>
      <w:r>
        <w:rPr>
          <w:rFonts w:ascii="Calibri" w:cs="Calibri" w:eastAsia="Calibri" w:hAnsi="Calibri"/>
          <w:color w:val="1A1A1A"/>
          <w:sz w:val="20"/>
          <w:szCs w:val="20"/>
        </w:rPr>
        <w:t xml:space="preserve">) ; il a valeur constitutionnelle (</w:t>
      </w:r>
      <w:r>
        <w:rPr>
          <w:rFonts w:ascii="Calibri" w:cs="Calibri" w:eastAsia="Calibri" w:hAnsi="Calibri"/>
          <w:color w:val="1E88E5"/>
          <w:sz w:val="20"/>
          <w:szCs w:val="20"/>
        </w:rPr>
        <w:t xml:space="preserve">art. 2 et 17 DDHC</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color w:val="1A1A1A"/>
          <w:sz w:val="20"/>
          <w:szCs w:val="20"/>
        </w:rPr>
        <w:t xml:space="preserve">Deux régimes : la </w:t>
      </w:r>
      <w:r>
        <w:rPr>
          <w:rFonts w:ascii="Calibri" w:cs="Calibri" w:eastAsia="Calibri" w:hAnsi="Calibri"/>
          <w:b/>
          <w:bCs/>
          <w:color w:val="1A1A1A"/>
          <w:sz w:val="20"/>
          <w:szCs w:val="20"/>
        </w:rPr>
        <w:t xml:space="preserve">privation</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art. 17</w:t>
      </w:r>
      <w:r>
        <w:rPr>
          <w:rFonts w:ascii="Calibri" w:cs="Calibri" w:eastAsia="Calibri" w:hAnsi="Calibri"/>
          <w:color w:val="1A1A1A"/>
          <w:sz w:val="20"/>
          <w:szCs w:val="20"/>
        </w:rPr>
        <w:t xml:space="preserve">) exige une nécessité publique légalement constatée et une juste et préalable indemnité ; la simple </w:t>
      </w:r>
      <w:r>
        <w:rPr>
          <w:rFonts w:ascii="Calibri" w:cs="Calibri" w:eastAsia="Calibri" w:hAnsi="Calibri"/>
          <w:b/>
          <w:bCs/>
          <w:color w:val="1A1A1A"/>
          <w:sz w:val="20"/>
          <w:szCs w:val="20"/>
        </w:rPr>
        <w:t xml:space="preserve">limitation</w:t>
      </w:r>
      <w:r>
        <w:rPr>
          <w:rFonts w:ascii="Calibri" w:cs="Calibri" w:eastAsia="Calibri" w:hAnsi="Calibri"/>
          <w:color w:val="1A1A1A"/>
          <w:sz w:val="20"/>
          <w:szCs w:val="20"/>
        </w:rPr>
        <w:t xml:space="preserve"> de l’exercice (</w:t>
      </w:r>
      <w:r>
        <w:rPr>
          <w:rFonts w:ascii="Calibri" w:cs="Calibri" w:eastAsia="Calibri" w:hAnsi="Calibri"/>
          <w:color w:val="1E88E5"/>
          <w:sz w:val="20"/>
          <w:szCs w:val="20"/>
        </w:rPr>
        <w:t xml:space="preserve">art. 2</w:t>
      </w:r>
      <w:r>
        <w:rPr>
          <w:rFonts w:ascii="Calibri" w:cs="Calibri" w:eastAsia="Calibri" w:hAnsi="Calibri"/>
          <w:color w:val="1A1A1A"/>
          <w:sz w:val="20"/>
          <w:szCs w:val="20"/>
        </w:rPr>
        <w:t xml:space="preserve">) exige un motif d’intérêt général et une atteinte proportionnée. Strasbourg protège plus largement les </w:t>
      </w:r>
      <w:r>
        <w:rPr>
          <w:rFonts w:ascii="Calibri" w:cs="Calibri" w:eastAsia="Calibri" w:hAnsi="Calibri"/>
          <w:b/>
          <w:bCs/>
          <w:color w:val="1A1A1A"/>
          <w:sz w:val="20"/>
          <w:szCs w:val="20"/>
        </w:rPr>
        <w:t xml:space="preserve">biens</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art. 1er Prot. 1</w:t>
      </w:r>
      <w:r>
        <w:rPr>
          <w:rFonts w:ascii="Calibri" w:cs="Calibri" w:eastAsia="Calibri" w:hAnsi="Calibri"/>
          <w:color w:val="1A1A1A"/>
          <w:sz w:val="20"/>
          <w:szCs w:val="20"/>
        </w:rPr>
        <w:t xml:space="preserve">).</w:t>
      </w:r>
    </w:p>
    <w:p>
      <w:pPr>
        <w:pStyle w:val="Heading3"/>
        <w:spacing w:after="90" w:before="200"/>
      </w:pPr>
      <w:r>
        <w:rPr>
          <w:rFonts w:ascii="Calibri" w:cs="Calibri" w:eastAsia="Calibri" w:hAnsi="Calibri"/>
          <w:b/>
          <w:bCs/>
          <w:i/>
          <w:iCs/>
          <w:color w:val="5A5A5A"/>
          <w:sz w:val="21"/>
          <w:szCs w:val="21"/>
        </w:rPr>
        <w:t xml:space="preserve">Les cinq références incontournables</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Art. 2 et 17 DDHC</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544 et 545 C. civ.</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1er du Protocole n° 1 CEDH</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17 CDFUE</w:t>
      </w:r>
      <w:r>
        <w:rPr>
          <w:rFonts w:ascii="Calibri" w:cs="Calibri" w:eastAsia="Calibri" w:hAnsi="Calibri"/>
          <w:color w:val="1A1A1A"/>
          <w:sz w:val="20"/>
          <w:szCs w:val="20"/>
        </w:rPr>
        <w:t xml:space="preserve"> (y compris la propriété intellectuelle, § 2) ; </w:t>
      </w:r>
      <w:r>
        <w:rPr>
          <w:rFonts w:ascii="Calibri" w:cs="Calibri" w:eastAsia="Calibri" w:hAnsi="Calibri"/>
          <w:color w:val="1E88E5"/>
          <w:sz w:val="20"/>
          <w:szCs w:val="20"/>
        </w:rPr>
        <w:t xml:space="preserve">art. 17 DUDH</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Cons. const., déc. n° 81-132 DC, 16 janvier 1982, Nationalisations</w:t>
      </w:r>
      <w:r>
        <w:rPr>
          <w:rFonts w:ascii="Calibri" w:cs="Calibri" w:eastAsia="Calibri" w:hAnsi="Calibri"/>
          <w:color w:val="1A1A1A"/>
          <w:sz w:val="20"/>
          <w:szCs w:val="20"/>
        </w:rPr>
        <w:t xml:space="preserve"> : pleine valeur constitutionnelle du droit de propriété, malgré l’évolution de ses finalités et conditions d’exercice.</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CEDH [plén.], 23 septembre 1982, Sporrong et Lönnroth c. Suède</w:t>
      </w:r>
      <w:r>
        <w:rPr>
          <w:rFonts w:ascii="Calibri" w:cs="Calibri" w:eastAsia="Calibri" w:hAnsi="Calibri"/>
          <w:color w:val="1A1A1A"/>
          <w:sz w:val="20"/>
          <w:szCs w:val="20"/>
        </w:rPr>
        <w:t xml:space="preserve"> : les </w:t>
      </w:r>
      <w:r>
        <w:rPr>
          <w:rFonts w:ascii="Calibri" w:cs="Calibri" w:eastAsia="Calibri" w:hAnsi="Calibri"/>
          <w:b/>
          <w:bCs/>
          <w:color w:val="1A1A1A"/>
          <w:sz w:val="20"/>
          <w:szCs w:val="20"/>
        </w:rPr>
        <w:t xml:space="preserve">trois normes</w:t>
      </w:r>
      <w:r>
        <w:rPr>
          <w:rFonts w:ascii="Calibri" w:cs="Calibri" w:eastAsia="Calibri" w:hAnsi="Calibri"/>
          <w:color w:val="1A1A1A"/>
          <w:sz w:val="20"/>
          <w:szCs w:val="20"/>
        </w:rPr>
        <w:t xml:space="preserve"> de l’</w:t>
      </w:r>
      <w:r>
        <w:rPr>
          <w:rFonts w:ascii="Calibri" w:cs="Calibri" w:eastAsia="Calibri" w:hAnsi="Calibri"/>
          <w:color w:val="1E88E5"/>
          <w:sz w:val="20"/>
          <w:szCs w:val="20"/>
        </w:rPr>
        <w:t xml:space="preserve">art. 1er Prot. 1</w:t>
      </w:r>
      <w:r>
        <w:rPr>
          <w:rFonts w:ascii="Calibri" w:cs="Calibri" w:eastAsia="Calibri" w:hAnsi="Calibri"/>
          <w:color w:val="1A1A1A"/>
          <w:sz w:val="20"/>
          <w:szCs w:val="20"/>
        </w:rPr>
        <w:t xml:space="preserve"> (respect des biens, privation, réglementation de l’usage) et le </w:t>
      </w:r>
      <w:r>
        <w:rPr>
          <w:rFonts w:ascii="Calibri" w:cs="Calibri" w:eastAsia="Calibri" w:hAnsi="Calibri"/>
          <w:b/>
          <w:bCs/>
          <w:color w:val="1A1A1A"/>
          <w:sz w:val="20"/>
          <w:szCs w:val="20"/>
        </w:rPr>
        <w:t xml:space="preserve">juste équilibre</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CEDH [GC], 6 octobre 2005, Draon et Maurice c. France</w:t>
      </w:r>
      <w:r>
        <w:rPr>
          <w:rFonts w:ascii="Calibri" w:cs="Calibri" w:eastAsia="Calibri" w:hAnsi="Calibri"/>
          <w:color w:val="1A1A1A"/>
          <w:sz w:val="20"/>
          <w:szCs w:val="20"/>
        </w:rPr>
        <w:t xml:space="preserve"> : la loi « anti-Perruche » appliquée aux instances en cours prive les requérants d’une </w:t>
      </w:r>
      <w:r>
        <w:rPr>
          <w:rFonts w:ascii="Calibri" w:cs="Calibri" w:eastAsia="Calibri" w:hAnsi="Calibri"/>
          <w:b/>
          <w:bCs/>
          <w:color w:val="1A1A1A"/>
          <w:sz w:val="20"/>
          <w:szCs w:val="20"/>
        </w:rPr>
        <w:t xml:space="preserve">espérance légitime</w:t>
      </w:r>
      <w:r>
        <w:rPr>
          <w:rFonts w:ascii="Calibri" w:cs="Calibri" w:eastAsia="Calibri" w:hAnsi="Calibri"/>
          <w:color w:val="1A1A1A"/>
          <w:sz w:val="20"/>
          <w:szCs w:val="20"/>
        </w:rPr>
        <w:t xml:space="preserve">, qui est un bien.</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T. confl., 17 juin 2013, Bergoend</w:t>
      </w:r>
      <w:r>
        <w:rPr>
          <w:rFonts w:ascii="Calibri" w:cs="Calibri" w:eastAsia="Calibri" w:hAnsi="Calibri"/>
          <w:color w:val="1A1A1A"/>
          <w:sz w:val="20"/>
          <w:szCs w:val="20"/>
        </w:rPr>
        <w:t xml:space="preserve"> : la voie de fait n’existe qu’en cas d’atteinte à la liberté individuelle ou d’</w:t>
      </w:r>
      <w:r>
        <w:rPr>
          <w:rFonts w:ascii="Calibri" w:cs="Calibri" w:eastAsia="Calibri" w:hAnsi="Calibri"/>
          <w:b/>
          <w:bCs/>
          <w:color w:val="1A1A1A"/>
          <w:sz w:val="20"/>
          <w:szCs w:val="20"/>
        </w:rPr>
        <w:t xml:space="preserve">extinction</w:t>
      </w:r>
      <w:r>
        <w:rPr>
          <w:rFonts w:ascii="Calibri" w:cs="Calibri" w:eastAsia="Calibri" w:hAnsi="Calibri"/>
          <w:color w:val="1A1A1A"/>
          <w:sz w:val="20"/>
          <w:szCs w:val="20"/>
        </w:rPr>
        <w:t xml:space="preserve"> du droit de propriété — recentrage de la compétence judiciaire.</w:t>
      </w:r>
    </w:p>
    <w:p>
      <w:pPr>
        <w:pStyle w:val="Heading3"/>
        <w:spacing w:after="90" w:before="200"/>
      </w:pPr>
      <w:r>
        <w:rPr>
          <w:rFonts w:ascii="Calibri" w:cs="Calibri" w:eastAsia="Calibri" w:hAnsi="Calibri"/>
          <w:b/>
          <w:bCs/>
          <w:i/>
          <w:iCs/>
          <w:color w:val="5A5A5A"/>
          <w:sz w:val="21"/>
          <w:szCs w:val="21"/>
        </w:rPr>
        <w:t xml:space="preserve">Deux matrices de plan</w:t>
      </w:r>
    </w:p>
    <w:p>
      <w:pPr>
        <w:pStyle w:val="ListParagraph"/>
        <w:numPr>
          <w:ilvl w:val="0"/>
          <w:numId w:val="2"/>
        </w:numPr>
        <w:spacing w:after="70" w:line="264"/>
        <w:jc w:val="both"/>
      </w:pPr>
      <w:r>
        <w:rPr>
          <w:rFonts w:ascii="Calibri" w:cs="Calibri" w:eastAsia="Calibri" w:hAnsi="Calibri"/>
          <w:b/>
          <w:bCs/>
          <w:color w:val="1A1A1A"/>
          <w:sz w:val="20"/>
          <w:szCs w:val="20"/>
        </w:rPr>
        <w:t xml:space="preserve">Sujet « Le droit de propriété, droit inviolable et sacré ? »</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I. Un droit fortement protégé</w:t>
      </w:r>
      <w:r>
        <w:rPr>
          <w:rFonts w:ascii="Calibri" w:cs="Calibri" w:eastAsia="Calibri" w:hAnsi="Calibri"/>
          <w:color w:val="1A1A1A"/>
          <w:sz w:val="20"/>
          <w:szCs w:val="20"/>
        </w:rPr>
        <w:t xml:space="preserve"> (A. Une valeur constitutionnelle et conventionnelle : </w:t>
      </w:r>
      <w:r>
        <w:rPr>
          <w:rFonts w:ascii="Calibri" w:cs="Calibri" w:eastAsia="Calibri" w:hAnsi="Calibri"/>
          <w:color w:val="E91E63"/>
          <w:sz w:val="20"/>
          <w:szCs w:val="20"/>
        </w:rPr>
        <w:t xml:space="preserve">81-132 DC</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art. 1er Prot. 1</w:t>
      </w:r>
      <w:r>
        <w:rPr>
          <w:rFonts w:ascii="Calibri" w:cs="Calibri" w:eastAsia="Calibri" w:hAnsi="Calibri"/>
          <w:color w:val="1A1A1A"/>
          <w:sz w:val="20"/>
          <w:szCs w:val="20"/>
        </w:rPr>
        <w:t xml:space="preserve">, notion autonome de bien (</w:t>
      </w:r>
      <w:r>
        <w:rPr>
          <w:rFonts w:ascii="Calibri" w:cs="Calibri" w:eastAsia="Calibri" w:hAnsi="Calibri"/>
          <w:color w:val="E91E63"/>
          <w:sz w:val="20"/>
          <w:szCs w:val="20"/>
        </w:rPr>
        <w:t xml:space="preserve">Van Marle</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Kopecký</w:t>
      </w:r>
      <w:r>
        <w:rPr>
          <w:rFonts w:ascii="Calibri" w:cs="Calibri" w:eastAsia="Calibri" w:hAnsi="Calibri"/>
          <w:color w:val="1A1A1A"/>
          <w:sz w:val="20"/>
          <w:szCs w:val="20"/>
        </w:rPr>
        <w:t xml:space="preserve">) ; B. Des garanties contre la privation : </w:t>
      </w:r>
      <w:r>
        <w:rPr>
          <w:rFonts w:ascii="Calibri" w:cs="Calibri" w:eastAsia="Calibri" w:hAnsi="Calibri"/>
          <w:color w:val="1E88E5"/>
          <w:sz w:val="20"/>
          <w:szCs w:val="20"/>
        </w:rPr>
        <w:t xml:space="preserve">art. 17</w:t>
      </w:r>
      <w:r>
        <w:rPr>
          <w:rFonts w:ascii="Calibri" w:cs="Calibri" w:eastAsia="Calibri" w:hAnsi="Calibri"/>
          <w:color w:val="1A1A1A"/>
          <w:sz w:val="20"/>
          <w:szCs w:val="20"/>
        </w:rPr>
        <w:t xml:space="preserve">, expropriation, </w:t>
      </w:r>
      <w:r>
        <w:rPr>
          <w:rFonts w:ascii="Calibri" w:cs="Calibri" w:eastAsia="Calibri" w:hAnsi="Calibri"/>
          <w:color w:val="E91E63"/>
          <w:sz w:val="20"/>
          <w:szCs w:val="20"/>
        </w:rPr>
        <w:t xml:space="preserve">Bergoend</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2025-1156 QPC</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II. Un droit relatif</w:t>
      </w:r>
      <w:r>
        <w:rPr>
          <w:rFonts w:ascii="Calibri" w:cs="Calibri" w:eastAsia="Calibri" w:hAnsi="Calibri"/>
          <w:color w:val="1A1A1A"/>
          <w:sz w:val="20"/>
          <w:szCs w:val="20"/>
        </w:rPr>
        <w:t xml:space="preserve"> (A. Les limitations d’usage : urbanisme, logement, environnement — </w:t>
      </w:r>
      <w:r>
        <w:rPr>
          <w:rFonts w:ascii="Calibri" w:cs="Calibri" w:eastAsia="Calibri" w:hAnsi="Calibri"/>
          <w:color w:val="E91E63"/>
          <w:sz w:val="20"/>
          <w:szCs w:val="20"/>
        </w:rPr>
        <w:t xml:space="preserve">2025-1186 QPC</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2011-169 QPC</w:t>
      </w:r>
      <w:r>
        <w:rPr>
          <w:rFonts w:ascii="Calibri" w:cs="Calibri" w:eastAsia="Calibri" w:hAnsi="Calibri"/>
          <w:color w:val="1A1A1A"/>
          <w:sz w:val="20"/>
          <w:szCs w:val="20"/>
        </w:rPr>
        <w:t xml:space="preserve"> ; B. Le contrôle de proportionnalité : </w:t>
      </w:r>
      <w:r>
        <w:rPr>
          <w:rFonts w:ascii="Calibri" w:cs="Calibri" w:eastAsia="Calibri" w:hAnsi="Calibri"/>
          <w:color w:val="E91E63"/>
          <w:sz w:val="20"/>
          <w:szCs w:val="20"/>
        </w:rPr>
        <w:t xml:space="preserve">Sporrong</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James</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Hutten-Czapska</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Commentaire de l’article 1er du Protocole n° 1</w:t>
      </w:r>
      <w:r>
        <w:rPr>
          <w:rFonts w:ascii="Calibri" w:cs="Calibri" w:eastAsia="Calibri" w:hAnsi="Calibri"/>
          <w:color w:val="1A1A1A"/>
          <w:sz w:val="20"/>
          <w:szCs w:val="20"/>
        </w:rPr>
        <w:t xml:space="preserve"> (sujet « Pour s’entraîner ») — </w:t>
      </w:r>
      <w:r>
        <w:rPr>
          <w:rFonts w:ascii="Calibri" w:cs="Calibri" w:eastAsia="Calibri" w:hAnsi="Calibri"/>
          <w:b/>
          <w:bCs/>
          <w:color w:val="1A1A1A"/>
          <w:sz w:val="20"/>
          <w:szCs w:val="20"/>
        </w:rPr>
        <w:t xml:space="preserve">I. Une protection extensive des biens</w:t>
      </w:r>
      <w:r>
        <w:rPr>
          <w:rFonts w:ascii="Calibri" w:cs="Calibri" w:eastAsia="Calibri" w:hAnsi="Calibri"/>
          <w:color w:val="1A1A1A"/>
          <w:sz w:val="20"/>
          <w:szCs w:val="20"/>
        </w:rPr>
        <w:t xml:space="preserve"> (A. Une notion autonome : créances, clientèle, prestations, espérance légitime ; B. Trois normes et des obligations positives : </w:t>
      </w:r>
      <w:r>
        <w:rPr>
          <w:rFonts w:ascii="Calibri" w:cs="Calibri" w:eastAsia="Calibri" w:hAnsi="Calibri"/>
          <w:color w:val="E91E63"/>
          <w:sz w:val="20"/>
          <w:szCs w:val="20"/>
        </w:rPr>
        <w:t xml:space="preserve">Sporrong</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Öneryıldız</w:t>
      </w:r>
      <w:r>
        <w:rPr>
          <w:rFonts w:ascii="Calibri" w:cs="Calibri" w:eastAsia="Calibri" w:hAnsi="Calibri"/>
          <w:color w:val="1A1A1A"/>
          <w:sz w:val="20"/>
          <w:szCs w:val="20"/>
        </w:rPr>
        <w:t xml:space="preserve">, exécution des décisions) / </w:t>
      </w:r>
      <w:r>
        <w:rPr>
          <w:rFonts w:ascii="Calibri" w:cs="Calibri" w:eastAsia="Calibri" w:hAnsi="Calibri"/>
          <w:b/>
          <w:bCs/>
          <w:color w:val="1A1A1A"/>
          <w:sz w:val="20"/>
          <w:szCs w:val="20"/>
        </w:rPr>
        <w:t xml:space="preserve">II. Une protection relative</w:t>
      </w:r>
      <w:r>
        <w:rPr>
          <w:rFonts w:ascii="Calibri" w:cs="Calibri" w:eastAsia="Calibri" w:hAnsi="Calibri"/>
          <w:color w:val="1A1A1A"/>
          <w:sz w:val="20"/>
          <w:szCs w:val="20"/>
        </w:rPr>
        <w:t xml:space="preserve"> (A. L’utilité publique et l’intérêt général : marge large, </w:t>
      </w:r>
      <w:r>
        <w:rPr>
          <w:rFonts w:ascii="Calibri" w:cs="Calibri" w:eastAsia="Calibri" w:hAnsi="Calibri"/>
          <w:color w:val="E91E63"/>
          <w:sz w:val="20"/>
          <w:szCs w:val="20"/>
        </w:rPr>
        <w:t xml:space="preserve">James c. Royaume-Uni</w:t>
      </w:r>
      <w:r>
        <w:rPr>
          <w:rFonts w:ascii="Calibri" w:cs="Calibri" w:eastAsia="Calibri" w:hAnsi="Calibri"/>
          <w:color w:val="1A1A1A"/>
          <w:sz w:val="20"/>
          <w:szCs w:val="20"/>
        </w:rPr>
        <w:t xml:space="preserve"> ; B. L’indemnisation comme élément de la proportionnalité : </w:t>
      </w:r>
      <w:r>
        <w:rPr>
          <w:rFonts w:ascii="Calibri" w:cs="Calibri" w:eastAsia="Calibri" w:hAnsi="Calibri"/>
          <w:color w:val="E91E63"/>
          <w:sz w:val="20"/>
          <w:szCs w:val="20"/>
        </w:rPr>
        <w:t xml:space="preserve">Ex-roi de Grèce</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Draon</w:t>
      </w:r>
      <w:r>
        <w:rPr>
          <w:rFonts w:ascii="Calibri" w:cs="Calibri" w:eastAsia="Calibri" w:hAnsi="Calibri"/>
          <w:color w:val="1A1A1A"/>
          <w:sz w:val="20"/>
          <w:szCs w:val="20"/>
        </w:rPr>
        <w:t xml:space="preserve">).</w:t>
      </w:r>
    </w:p>
    <w:p>
      <w:pPr>
        <w:pStyle w:val="Heading3"/>
        <w:spacing w:after="90" w:before="200"/>
      </w:pPr>
      <w:r>
        <w:rPr>
          <w:rFonts w:ascii="Calibri" w:cs="Calibri" w:eastAsia="Calibri" w:hAnsi="Calibri"/>
          <w:b/>
          <w:bCs/>
          <w:i/>
          <w:iCs/>
          <w:color w:val="5A5A5A"/>
          <w:sz w:val="21"/>
          <w:szCs w:val="21"/>
        </w:rPr>
        <w:t xml:space="preserve">Trois pièges</w:t>
      </w:r>
    </w:p>
    <w:p>
      <w:pPr>
        <w:pStyle w:val="ListParagraph"/>
        <w:numPr>
          <w:ilvl w:val="0"/>
          <w:numId w:val="2"/>
        </w:numPr>
        <w:spacing w:after="70" w:line="264"/>
        <w:jc w:val="both"/>
      </w:pPr>
      <w:r>
        <w:rPr>
          <w:rFonts w:ascii="Calibri" w:cs="Calibri" w:eastAsia="Calibri" w:hAnsi="Calibri"/>
          <w:b/>
          <w:bCs/>
          <w:color w:val="1A1A1A"/>
          <w:sz w:val="20"/>
          <w:szCs w:val="20"/>
        </w:rPr>
        <w:t xml:space="preserve">Privation ≠ limitation</w:t>
      </w:r>
      <w:r>
        <w:rPr>
          <w:rFonts w:ascii="Calibri" w:cs="Calibri" w:eastAsia="Calibri" w:hAnsi="Calibri"/>
          <w:color w:val="1A1A1A"/>
          <w:sz w:val="20"/>
          <w:szCs w:val="20"/>
        </w:rPr>
        <w:t xml:space="preserve"> : la vente anticipée par l’AGRASC d’un bien saisi est une </w:t>
      </w:r>
      <w:r>
        <w:rPr>
          <w:rFonts w:ascii="Calibri" w:cs="Calibri" w:eastAsia="Calibri" w:hAnsi="Calibri"/>
          <w:b/>
          <w:bCs/>
          <w:color w:val="1A1A1A"/>
          <w:sz w:val="20"/>
          <w:szCs w:val="20"/>
        </w:rPr>
        <w:t xml:space="preserve">privation</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art. 17</w:t>
      </w:r>
      <w:r>
        <w:rPr>
          <w:rFonts w:ascii="Calibri" w:cs="Calibri" w:eastAsia="Calibri" w:hAnsi="Calibri"/>
          <w:color w:val="1A1A1A"/>
          <w:sz w:val="20"/>
          <w:szCs w:val="20"/>
        </w:rPr>
        <w:t xml:space="preserve">) validée parce que le prix est consigné et restitué (</w:t>
      </w:r>
      <w:r>
        <w:rPr>
          <w:rFonts w:ascii="Calibri" w:cs="Calibri" w:eastAsia="Calibri" w:hAnsi="Calibri"/>
          <w:color w:val="E91E63"/>
          <w:sz w:val="20"/>
          <w:szCs w:val="20"/>
        </w:rPr>
        <w:t xml:space="preserve">2025-1156 QPC, 12 septembre 2025</w:t>
      </w:r>
      <w:r>
        <w:rPr>
          <w:rFonts w:ascii="Calibri" w:cs="Calibri" w:eastAsia="Calibri" w:hAnsi="Calibri"/>
          <w:color w:val="1A1A1A"/>
          <w:sz w:val="20"/>
          <w:szCs w:val="20"/>
        </w:rPr>
        <w:t xml:space="preserve">) ; l’interdiction des meublés de tourisme votée aux deux tiers n’est qu’une </w:t>
      </w:r>
      <w:r>
        <w:rPr>
          <w:rFonts w:ascii="Calibri" w:cs="Calibri" w:eastAsia="Calibri" w:hAnsi="Calibri"/>
          <w:b/>
          <w:bCs/>
          <w:color w:val="1A1A1A"/>
          <w:sz w:val="20"/>
          <w:szCs w:val="20"/>
        </w:rPr>
        <w:t xml:space="preserve">limitation</w:t>
      </w:r>
      <w:r>
        <w:rPr>
          <w:rFonts w:ascii="Calibri" w:cs="Calibri" w:eastAsia="Calibri" w:hAnsi="Calibri"/>
          <w:color w:val="1A1A1A"/>
          <w:sz w:val="20"/>
          <w:szCs w:val="20"/>
        </w:rPr>
        <w:t xml:space="preserve"> d’usage (</w:t>
      </w:r>
      <w:r>
        <w:rPr>
          <w:rFonts w:ascii="Calibri" w:cs="Calibri" w:eastAsia="Calibri" w:hAnsi="Calibri"/>
          <w:color w:val="1E88E5"/>
          <w:sz w:val="20"/>
          <w:szCs w:val="20"/>
        </w:rPr>
        <w:t xml:space="preserve">art. 2</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2025-1186 QPC, 19 mars 2026</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Bien conventionnel ≠ propriété constitutionnelle</w:t>
      </w:r>
      <w:r>
        <w:rPr>
          <w:rFonts w:ascii="Calibri" w:cs="Calibri" w:eastAsia="Calibri" w:hAnsi="Calibri"/>
          <w:color w:val="1A1A1A"/>
          <w:sz w:val="20"/>
          <w:szCs w:val="20"/>
        </w:rPr>
        <w:t xml:space="preserve"> : Strasbourg inclut les prestations sociales et créances ; le Conseil constitutionnel refuse d’appliquer le droit de propriété aux prestations sociales (</w:t>
      </w:r>
      <w:r>
        <w:rPr>
          <w:rFonts w:ascii="Calibri" w:cs="Calibri" w:eastAsia="Calibri" w:hAnsi="Calibri"/>
          <w:color w:val="E91E63"/>
          <w:sz w:val="20"/>
          <w:szCs w:val="20"/>
        </w:rPr>
        <w:t xml:space="preserve">85-200 DC</w:t>
      </w:r>
      <w:r>
        <w:rPr>
          <w:rFonts w:ascii="Calibri" w:cs="Calibri" w:eastAsia="Calibri" w:hAnsi="Calibri"/>
          <w:color w:val="1A1A1A"/>
          <w:sz w:val="20"/>
          <w:szCs w:val="20"/>
        </w:rPr>
        <w:t xml:space="preserve">), qu’il protège par l’</w:t>
      </w:r>
      <w:r>
        <w:rPr>
          <w:rFonts w:ascii="Calibri" w:cs="Calibri" w:eastAsia="Calibri" w:hAnsi="Calibri"/>
          <w:color w:val="1E88E5"/>
          <w:sz w:val="20"/>
          <w:szCs w:val="20"/>
        </w:rPr>
        <w:t xml:space="preserve">al. 11</w:t>
      </w:r>
      <w:r>
        <w:rPr>
          <w:rFonts w:ascii="Calibri" w:cs="Calibri" w:eastAsia="Calibri" w:hAnsi="Calibri"/>
          <w:color w:val="1A1A1A"/>
          <w:sz w:val="20"/>
          <w:szCs w:val="20"/>
        </w:rPr>
        <w:t xml:space="preserve"> et les droits acquis (</w:t>
      </w:r>
      <w:r>
        <w:rPr>
          <w:rFonts w:ascii="Calibri" w:cs="Calibri" w:eastAsia="Calibri" w:hAnsi="Calibri"/>
          <w:color w:val="1E88E5"/>
          <w:sz w:val="20"/>
          <w:szCs w:val="20"/>
        </w:rPr>
        <w:t xml:space="preserve">art. 16 DDHC</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Le fascicule écrit que la Charte de l’Union serait « le seul texte contraignant » consacrant la propriété</w:t>
      </w:r>
      <w:r>
        <w:rPr>
          <w:rFonts w:ascii="Calibri" w:cs="Calibri" w:eastAsia="Calibri" w:hAnsi="Calibri"/>
          <w:color w:val="1A1A1A"/>
          <w:sz w:val="20"/>
          <w:szCs w:val="20"/>
        </w:rPr>
        <w:t xml:space="preserve"> : c’est faux — l’</w:t>
      </w:r>
      <w:r>
        <w:rPr>
          <w:rFonts w:ascii="Calibri" w:cs="Calibri" w:eastAsia="Calibri" w:hAnsi="Calibri"/>
          <w:color w:val="1E88E5"/>
          <w:sz w:val="20"/>
          <w:szCs w:val="20"/>
        </w:rPr>
        <w:t xml:space="preserve">art. 1er Prot. 1</w:t>
      </w:r>
      <w:r>
        <w:rPr>
          <w:rFonts w:ascii="Calibri" w:cs="Calibri" w:eastAsia="Calibri" w:hAnsi="Calibri"/>
          <w:color w:val="1A1A1A"/>
          <w:sz w:val="20"/>
          <w:szCs w:val="20"/>
        </w:rPr>
        <w:t xml:space="preserve"> CEDH est contraignant, comme l’</w:t>
      </w:r>
      <w:r>
        <w:rPr>
          <w:rFonts w:ascii="Calibri" w:cs="Calibri" w:eastAsia="Calibri" w:hAnsi="Calibri"/>
          <w:color w:val="1E88E5"/>
          <w:sz w:val="20"/>
          <w:szCs w:val="20"/>
        </w:rPr>
        <w:t xml:space="preserve">art. 21 de la Convention américaine</w:t>
      </w:r>
      <w:r>
        <w:rPr>
          <w:rFonts w:ascii="Calibri" w:cs="Calibri" w:eastAsia="Calibri" w:hAnsi="Calibri"/>
          <w:color w:val="1A1A1A"/>
          <w:sz w:val="20"/>
          <w:szCs w:val="20"/>
        </w:rPr>
        <w:t xml:space="preserve"> et l’</w:t>
      </w:r>
      <w:r>
        <w:rPr>
          <w:rFonts w:ascii="Calibri" w:cs="Calibri" w:eastAsia="Calibri" w:hAnsi="Calibri"/>
          <w:color w:val="1E88E5"/>
          <w:sz w:val="20"/>
          <w:szCs w:val="20"/>
        </w:rPr>
        <w:t xml:space="preserve">art. 14 de la Charte africaine</w:t>
      </w:r>
      <w:r>
        <w:rPr>
          <w:rFonts w:ascii="Calibri" w:cs="Calibri" w:eastAsia="Calibri" w:hAnsi="Calibri"/>
          <w:color w:val="1A1A1A"/>
          <w:sz w:val="20"/>
          <w:szCs w:val="20"/>
        </w:rPr>
        <w:t xml:space="preserve">.</w:t>
      </w:r>
    </w:p>
    <w:p>
      <w:r>
        <w:br w:type="page"/>
      </w:r>
    </w:p>
    <w:p>
      <w:pPr>
        <w:pStyle w:val="Heading2"/>
        <w:spacing w:after="120" w:before="280"/>
      </w:pPr>
      <w:r>
        <w:rPr>
          <w:rFonts w:ascii="Calibri" w:cs="Calibri" w:eastAsia="Calibri" w:hAnsi="Calibri"/>
          <w:b/>
          <w:bCs/>
          <w:color w:val="1A1A1A"/>
          <w:sz w:val="24"/>
          <w:szCs w:val="24"/>
        </w:rPr>
        <w:t xml:space="preserve">1. Architecture textuelle</w:t>
      </w:r>
    </w:p>
    <w:p>
      <w:pPr>
        <w:pStyle w:val="ListParagraph"/>
        <w:numPr>
          <w:ilvl w:val="0"/>
          <w:numId w:val="2"/>
        </w:numPr>
        <w:spacing w:after="70" w:line="264"/>
        <w:jc w:val="both"/>
      </w:pPr>
      <w:r>
        <w:rPr>
          <w:rFonts w:ascii="Calibri" w:cs="Calibri" w:eastAsia="Calibri" w:hAnsi="Calibri"/>
          <w:b/>
          <w:bCs/>
          <w:color w:val="1A1A1A"/>
          <w:sz w:val="20"/>
          <w:szCs w:val="20"/>
        </w:rPr>
        <w:t xml:space="preserve">Droit international</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17 DUDH</w:t>
      </w:r>
      <w:r>
        <w:rPr>
          <w:rFonts w:ascii="Calibri" w:cs="Calibri" w:eastAsia="Calibri" w:hAnsi="Calibri"/>
          <w:color w:val="1A1A1A"/>
          <w:sz w:val="20"/>
          <w:szCs w:val="20"/>
        </w:rPr>
        <w:t xml:space="preserve"> ; absence dans les deux Pactes de 1966 (désaccord Est-Ouest). </w:t>
      </w:r>
      <w:r>
        <w:rPr>
          <w:rFonts w:ascii="Calibri" w:cs="Calibri" w:eastAsia="Calibri" w:hAnsi="Calibri"/>
          <w:b/>
          <w:bCs/>
          <w:color w:val="1A1A1A"/>
          <w:sz w:val="20"/>
          <w:szCs w:val="20"/>
        </w:rPr>
        <w:t xml:space="preserve">Droit européen</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1er Prot. 1</w:t>
      </w:r>
      <w:r>
        <w:rPr>
          <w:rFonts w:ascii="Calibri" w:cs="Calibri" w:eastAsia="Calibri" w:hAnsi="Calibri"/>
          <w:color w:val="1A1A1A"/>
          <w:sz w:val="20"/>
          <w:szCs w:val="20"/>
        </w:rPr>
        <w:t xml:space="preserve"> (20 mars 1952) — al. 1, phrase 1 : respect des biens ; phrase 2 : privation pour cause d’utilité publique, dans les conditions prévues par la loi et les principes généraux du droit international ; al. 2 : réglementation de l’usage des biens conformément à l’intérêt général et paiement des impôts ; </w:t>
      </w:r>
      <w:r>
        <w:rPr>
          <w:rFonts w:ascii="Calibri" w:cs="Calibri" w:eastAsia="Calibri" w:hAnsi="Calibri"/>
          <w:color w:val="1E88E5"/>
          <w:sz w:val="20"/>
          <w:szCs w:val="20"/>
        </w:rPr>
        <w:t xml:space="preserve">art. 17 CDFUE</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Droit constitutionnel</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2 DDHC</w:t>
      </w:r>
      <w:r>
        <w:rPr>
          <w:rFonts w:ascii="Calibri" w:cs="Calibri" w:eastAsia="Calibri" w:hAnsi="Calibri"/>
          <w:color w:val="1A1A1A"/>
          <w:sz w:val="20"/>
          <w:szCs w:val="20"/>
        </w:rPr>
        <w:t xml:space="preserve"> (droit naturel et imprescriptible) ; </w:t>
      </w:r>
      <w:r>
        <w:rPr>
          <w:rFonts w:ascii="Calibri" w:cs="Calibri" w:eastAsia="Calibri" w:hAnsi="Calibri"/>
          <w:color w:val="1E88E5"/>
          <w:sz w:val="20"/>
          <w:szCs w:val="20"/>
        </w:rPr>
        <w:t xml:space="preserve">art. 17</w:t>
      </w:r>
      <w:r>
        <w:rPr>
          <w:rFonts w:ascii="Calibri" w:cs="Calibri" w:eastAsia="Calibri" w:hAnsi="Calibri"/>
          <w:color w:val="1A1A1A"/>
          <w:sz w:val="20"/>
          <w:szCs w:val="20"/>
        </w:rPr>
        <w:t xml:space="preserve"> (inviolable et sacré) ; </w:t>
      </w:r>
      <w:r>
        <w:rPr>
          <w:rFonts w:ascii="Calibri" w:cs="Calibri" w:eastAsia="Calibri" w:hAnsi="Calibri"/>
          <w:color w:val="1E88E5"/>
          <w:sz w:val="20"/>
          <w:szCs w:val="20"/>
        </w:rPr>
        <w:t xml:space="preserve">al. 9 Préambule 1946</w:t>
      </w:r>
      <w:r>
        <w:rPr>
          <w:rFonts w:ascii="Calibri" w:cs="Calibri" w:eastAsia="Calibri" w:hAnsi="Calibri"/>
          <w:color w:val="1A1A1A"/>
          <w:sz w:val="20"/>
          <w:szCs w:val="20"/>
        </w:rPr>
        <w:t xml:space="preserve"> (nationalisations) ; </w:t>
      </w:r>
      <w:r>
        <w:rPr>
          <w:rFonts w:ascii="Calibri" w:cs="Calibri" w:eastAsia="Calibri" w:hAnsi="Calibri"/>
          <w:color w:val="1E88E5"/>
          <w:sz w:val="20"/>
          <w:szCs w:val="20"/>
        </w:rPr>
        <w:t xml:space="preserve">art. 34 C.</w:t>
      </w:r>
      <w:r>
        <w:rPr>
          <w:rFonts w:ascii="Calibri" w:cs="Calibri" w:eastAsia="Calibri" w:hAnsi="Calibri"/>
          <w:color w:val="1A1A1A"/>
          <w:sz w:val="20"/>
          <w:szCs w:val="20"/>
        </w:rPr>
        <w:t xml:space="preserve"> (régime de la propriété). Protection étendue à la </w:t>
      </w:r>
      <w:r>
        <w:rPr>
          <w:rFonts w:ascii="Calibri" w:cs="Calibri" w:eastAsia="Calibri" w:hAnsi="Calibri"/>
          <w:b/>
          <w:bCs/>
          <w:color w:val="1A1A1A"/>
          <w:sz w:val="20"/>
          <w:szCs w:val="20"/>
        </w:rPr>
        <w:t xml:space="preserve">propriété publique</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86-207 DC, 25-26 juin 1986, Privatisations</w:t>
      </w:r>
      <w:r>
        <w:rPr>
          <w:rFonts w:ascii="Calibri" w:cs="Calibri" w:eastAsia="Calibri" w:hAnsi="Calibri"/>
          <w:color w:val="1A1A1A"/>
          <w:sz w:val="20"/>
          <w:szCs w:val="20"/>
        </w:rPr>
        <w:t xml:space="preserve"> : interdiction de céder à vil prix ; </w:t>
      </w:r>
      <w:r>
        <w:rPr>
          <w:rFonts w:ascii="Calibri" w:cs="Calibri" w:eastAsia="Calibri" w:hAnsi="Calibri"/>
          <w:color w:val="E91E63"/>
          <w:sz w:val="20"/>
          <w:szCs w:val="20"/>
        </w:rPr>
        <w:t xml:space="preserve">94-346 DC, 21 juillet 1994</w:t>
      </w:r>
      <w:r>
        <w:rPr>
          <w:rFonts w:ascii="Calibri" w:cs="Calibri" w:eastAsia="Calibri" w:hAnsi="Calibri"/>
          <w:color w:val="1A1A1A"/>
          <w:sz w:val="20"/>
          <w:szCs w:val="20"/>
        </w:rPr>
        <w:t xml:space="preserve">) et à la </w:t>
      </w:r>
      <w:r>
        <w:rPr>
          <w:rFonts w:ascii="Calibri" w:cs="Calibri" w:eastAsia="Calibri" w:hAnsi="Calibri"/>
          <w:b/>
          <w:bCs/>
          <w:color w:val="1A1A1A"/>
          <w:sz w:val="20"/>
          <w:szCs w:val="20"/>
        </w:rPr>
        <w:t xml:space="preserve">propriété intellectuelle</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2006-540 DC, 27 juillet 2006, DADVSI</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Droit civil</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544</w:t>
      </w:r>
      <w:r>
        <w:rPr>
          <w:rFonts w:ascii="Calibri" w:cs="Calibri" w:eastAsia="Calibri" w:hAnsi="Calibri"/>
          <w:color w:val="1A1A1A"/>
          <w:sz w:val="20"/>
          <w:szCs w:val="20"/>
        </w:rPr>
        <w:t xml:space="preserve"> (définition), </w:t>
      </w:r>
      <w:r>
        <w:rPr>
          <w:rFonts w:ascii="Calibri" w:cs="Calibri" w:eastAsia="Calibri" w:hAnsi="Calibri"/>
          <w:color w:val="1E88E5"/>
          <w:sz w:val="20"/>
          <w:szCs w:val="20"/>
        </w:rPr>
        <w:t xml:space="preserve">art. 545</w:t>
      </w:r>
      <w:r>
        <w:rPr>
          <w:rFonts w:ascii="Calibri" w:cs="Calibri" w:eastAsia="Calibri" w:hAnsi="Calibri"/>
          <w:color w:val="1A1A1A"/>
          <w:sz w:val="20"/>
          <w:szCs w:val="20"/>
        </w:rPr>
        <w:t xml:space="preserve"> (« Nul ne peut être contraint de céder sa propriété, si ce n’est pour cause d’utilité publique, et moyennant une juste et préalable indemnité ») ; </w:t>
      </w:r>
      <w:r>
        <w:rPr>
          <w:rFonts w:ascii="Calibri" w:cs="Calibri" w:eastAsia="Calibri" w:hAnsi="Calibri"/>
          <w:color w:val="1E88E5"/>
          <w:sz w:val="20"/>
          <w:szCs w:val="20"/>
        </w:rPr>
        <w:t xml:space="preserve">code de l’expropriation pour cause d’utilité publique</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Lecture à retenir</w:t>
      </w:r>
      <w:r>
        <w:rPr>
          <w:rFonts w:ascii="Calibri" w:cs="Calibri" w:eastAsia="Calibri" w:hAnsi="Calibri"/>
          <w:color w:val="1A1A1A"/>
          <w:sz w:val="20"/>
          <w:szCs w:val="20"/>
        </w:rPr>
        <w:t xml:space="preserve"> : l’</w:t>
      </w:r>
      <w:r>
        <w:rPr>
          <w:rFonts w:ascii="Calibri" w:cs="Calibri" w:eastAsia="Calibri" w:hAnsi="Calibri"/>
          <w:color w:val="1E88E5"/>
          <w:sz w:val="20"/>
          <w:szCs w:val="20"/>
        </w:rPr>
        <w:t xml:space="preserve">art. 544</w:t>
      </w:r>
      <w:r>
        <w:rPr>
          <w:rFonts w:ascii="Calibri" w:cs="Calibri" w:eastAsia="Calibri" w:hAnsi="Calibri"/>
          <w:color w:val="1A1A1A"/>
          <w:sz w:val="20"/>
          <w:szCs w:val="20"/>
        </w:rPr>
        <w:t xml:space="preserve"> énonce un absolu immédiatement relativisé (« pourvu qu’on n’en fasse pas un usage prohibé ») — la propriété française est depuis 1804 un droit </w:t>
      </w:r>
      <w:r>
        <w:rPr>
          <w:rFonts w:ascii="Calibri" w:cs="Calibri" w:eastAsia="Calibri" w:hAnsi="Calibri"/>
          <w:b/>
          <w:bCs/>
          <w:color w:val="1A1A1A"/>
          <w:sz w:val="20"/>
          <w:szCs w:val="20"/>
        </w:rPr>
        <w:t xml:space="preserve">absolu dans son principe, réglementé dans son exercice</w:t>
      </w:r>
      <w:r>
        <w:rPr>
          <w:rFonts w:ascii="Calibri" w:cs="Calibri" w:eastAsia="Calibri" w:hAnsi="Calibri"/>
          <w:color w:val="1A1A1A"/>
          <w:sz w:val="20"/>
          <w:szCs w:val="20"/>
        </w:rPr>
        <w:t xml:space="preserve">.</w:t>
      </w:r>
    </w:p>
    <w:p>
      <w:pPr>
        <w:pStyle w:val="Heading2"/>
        <w:spacing w:after="120" w:before="280"/>
      </w:pPr>
      <w:r>
        <w:rPr>
          <w:rFonts w:ascii="Calibri" w:cs="Calibri" w:eastAsia="Calibri" w:hAnsi="Calibri"/>
          <w:b/>
          <w:bCs/>
          <w:color w:val="1A1A1A"/>
          <w:sz w:val="24"/>
          <w:szCs w:val="24"/>
        </w:rPr>
        <w:t xml:space="preserve">2. La protection européenne</w:t>
      </w:r>
    </w:p>
    <w:p>
      <w:pPr>
        <w:pStyle w:val="Heading3"/>
        <w:spacing w:after="90" w:before="200"/>
      </w:pPr>
      <w:r>
        <w:rPr>
          <w:rFonts w:ascii="Calibri" w:cs="Calibri" w:eastAsia="Calibri" w:hAnsi="Calibri"/>
          <w:b/>
          <w:bCs/>
          <w:i/>
          <w:iCs/>
          <w:color w:val="5A5A5A"/>
          <w:sz w:val="21"/>
          <w:szCs w:val="21"/>
        </w:rPr>
        <w:t xml:space="preserve">2.1. La notion autonome de « bien »</w:t>
      </w:r>
    </w:p>
    <w:p>
      <w:pPr>
        <w:pStyle w:val="ListParagraph"/>
        <w:numPr>
          <w:ilvl w:val="0"/>
          <w:numId w:val="2"/>
        </w:numPr>
        <w:spacing w:after="70" w:line="264"/>
        <w:jc w:val="both"/>
      </w:pPr>
      <w:r>
        <w:rPr>
          <w:rFonts w:ascii="Calibri" w:cs="Calibri" w:eastAsia="Calibri" w:hAnsi="Calibri"/>
          <w:b/>
          <w:bCs/>
          <w:color w:val="1A1A1A"/>
          <w:sz w:val="20"/>
          <w:szCs w:val="20"/>
        </w:rPr>
        <w:t xml:space="preserve">Biens corporels et incorporels</w:t>
      </w:r>
      <w:r>
        <w:rPr>
          <w:rFonts w:ascii="Calibri" w:cs="Calibri" w:eastAsia="Calibri" w:hAnsi="Calibri"/>
          <w:color w:val="1A1A1A"/>
          <w:sz w:val="20"/>
          <w:szCs w:val="20"/>
        </w:rPr>
        <w:t xml:space="preserve"> : clientèle (</w:t>
      </w:r>
      <w:r>
        <w:rPr>
          <w:rFonts w:ascii="Calibri" w:cs="Calibri" w:eastAsia="Calibri" w:hAnsi="Calibri"/>
          <w:color w:val="E91E63"/>
          <w:sz w:val="20"/>
          <w:szCs w:val="20"/>
        </w:rPr>
        <w:t xml:space="preserve">CEDH, 26 juin 1986, Van Marle c. Pays-Bas</w:t>
      </w:r>
      <w:r>
        <w:rPr>
          <w:rFonts w:ascii="Calibri" w:cs="Calibri" w:eastAsia="Calibri" w:hAnsi="Calibri"/>
          <w:color w:val="1A1A1A"/>
          <w:sz w:val="20"/>
          <w:szCs w:val="20"/>
        </w:rPr>
        <w:t xml:space="preserve">) ; licence ; parts sociales ; créances suffisamment établies ; prestations sociales, contributives ou non (</w:t>
      </w:r>
      <w:r>
        <w:rPr>
          <w:rFonts w:ascii="Calibri" w:cs="Calibri" w:eastAsia="Calibri" w:hAnsi="Calibri"/>
          <w:color w:val="E91E63"/>
          <w:sz w:val="20"/>
          <w:szCs w:val="20"/>
        </w:rPr>
        <w:t xml:space="preserve">CEDH [GC], 6 juillet 2005, Stec c. Royaume-Uni</w:t>
      </w:r>
      <w:r>
        <w:rPr>
          <w:rFonts w:ascii="Calibri" w:cs="Calibri" w:eastAsia="Calibri" w:hAnsi="Calibri"/>
          <w:color w:val="1A1A1A"/>
          <w:sz w:val="20"/>
          <w:szCs w:val="20"/>
        </w:rPr>
        <w:t xml:space="preserve">, déc.) ; logement précaire toléré par les autorités (</w:t>
      </w:r>
      <w:r>
        <w:rPr>
          <w:rFonts w:ascii="Calibri" w:cs="Calibri" w:eastAsia="Calibri" w:hAnsi="Calibri"/>
          <w:color w:val="E91E63"/>
          <w:sz w:val="20"/>
          <w:szCs w:val="20"/>
        </w:rPr>
        <w:t xml:space="preserve">CEDH [GC], 30 novembre 2004, Öneryıldız c. Turquie</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Espérance légitime</w:t>
      </w:r>
      <w:r>
        <w:rPr>
          <w:rFonts w:ascii="Calibri" w:cs="Calibri" w:eastAsia="Calibri" w:hAnsi="Calibri"/>
          <w:color w:val="1A1A1A"/>
          <w:sz w:val="20"/>
          <w:szCs w:val="20"/>
        </w:rPr>
        <w:t xml:space="preserve"> : doit reposer sur une base suffisante en droit interne (</w:t>
      </w:r>
      <w:r>
        <w:rPr>
          <w:rFonts w:ascii="Calibri" w:cs="Calibri" w:eastAsia="Calibri" w:hAnsi="Calibri"/>
          <w:color w:val="E91E63"/>
          <w:sz w:val="20"/>
          <w:szCs w:val="20"/>
        </w:rPr>
        <w:t xml:space="preserve">CEDH [GC], 28 septembre 2004, Kopecký c. Slovaquie</w:t>
      </w:r>
      <w:r>
        <w:rPr>
          <w:rFonts w:ascii="Calibri" w:cs="Calibri" w:eastAsia="Calibri" w:hAnsi="Calibri"/>
          <w:color w:val="1A1A1A"/>
          <w:sz w:val="20"/>
          <w:szCs w:val="20"/>
        </w:rPr>
        <w:t xml:space="preserve">) ; indemnisation « Perruche » (</w:t>
      </w:r>
      <w:r>
        <w:rPr>
          <w:rFonts w:ascii="Calibri" w:cs="Calibri" w:eastAsia="Calibri" w:hAnsi="Calibri"/>
          <w:color w:val="E91E63"/>
          <w:sz w:val="20"/>
          <w:szCs w:val="20"/>
        </w:rPr>
        <w:t xml:space="preserve">Draon et Maurice</w:t>
      </w:r>
      <w:r>
        <w:rPr>
          <w:rFonts w:ascii="Calibri" w:cs="Calibri" w:eastAsia="Calibri" w:hAnsi="Calibri"/>
          <w:color w:val="1A1A1A"/>
          <w:sz w:val="20"/>
          <w:szCs w:val="20"/>
        </w:rPr>
        <w:t xml:space="preserve">, 2005 ; </w:t>
      </w:r>
      <w:r>
        <w:rPr>
          <w:rFonts w:ascii="Calibri" w:cs="Calibri" w:eastAsia="Calibri" w:hAnsi="Calibri"/>
          <w:color w:val="E91E63"/>
          <w:sz w:val="20"/>
          <w:szCs w:val="20"/>
        </w:rPr>
        <w:t xml:space="preserve">CEDH, 3 février 2022, N.M. et autres c. France</w:t>
      </w:r>
      <w:r>
        <w:rPr>
          <w:rFonts w:ascii="Calibri" w:cs="Calibri" w:eastAsia="Calibri" w:hAnsi="Calibri"/>
          <w:color w:val="1A1A1A"/>
          <w:sz w:val="20"/>
          <w:szCs w:val="20"/>
        </w:rPr>
        <w:t xml:space="preserve">, pour des actions engagées après la loi mais pour des dommages antérieurs).</w:t>
      </w:r>
    </w:p>
    <w:p>
      <w:pPr>
        <w:pStyle w:val="Heading3"/>
        <w:spacing w:after="90" w:before="200"/>
      </w:pPr>
      <w:r>
        <w:rPr>
          <w:rFonts w:ascii="Calibri" w:cs="Calibri" w:eastAsia="Calibri" w:hAnsi="Calibri"/>
          <w:b/>
          <w:bCs/>
          <w:i/>
          <w:iCs/>
          <w:color w:val="5A5A5A"/>
          <w:sz w:val="21"/>
          <w:szCs w:val="21"/>
        </w:rPr>
        <w:t xml:space="preserve">2.2. Les trois normes et le juste équilibre</w:t>
      </w:r>
    </w:p>
    <w:p>
      <w:pPr>
        <w:pStyle w:val="ListParagraph"/>
        <w:numPr>
          <w:ilvl w:val="0"/>
          <w:numId w:val="2"/>
        </w:numPr>
        <w:spacing w:after="70" w:line="264"/>
        <w:jc w:val="both"/>
      </w:pPr>
      <w:r>
        <w:rPr>
          <w:rFonts w:ascii="Calibri" w:cs="Calibri" w:eastAsia="Calibri" w:hAnsi="Calibri"/>
          <w:b/>
          <w:bCs/>
          <w:color w:val="1A1A1A"/>
          <w:sz w:val="20"/>
          <w:szCs w:val="20"/>
        </w:rPr>
        <w:t xml:space="preserve">Sporrong et Lönnroth</w:t>
      </w:r>
      <w:r>
        <w:rPr>
          <w:rFonts w:ascii="Calibri" w:cs="Calibri" w:eastAsia="Calibri" w:hAnsi="Calibri"/>
          <w:color w:val="1A1A1A"/>
          <w:sz w:val="20"/>
          <w:szCs w:val="20"/>
        </w:rPr>
        <w:t xml:space="preserve"> (1982) : respect des biens (norme générale), privation, réglementation de l’usage — la première s’applique lorsque les deux autres ne le peuvent pas (</w:t>
      </w:r>
      <w:r>
        <w:rPr>
          <w:rFonts w:ascii="Calibri" w:cs="Calibri" w:eastAsia="Calibri" w:hAnsi="Calibri"/>
          <w:color w:val="E91E63"/>
          <w:sz w:val="20"/>
          <w:szCs w:val="20"/>
        </w:rPr>
        <w:t xml:space="preserve">CEDH [GC], 18 décembre 1996, Loizidou c. Turquie</w:t>
      </w:r>
      <w:r>
        <w:rPr>
          <w:rFonts w:ascii="Calibri" w:cs="Calibri" w:eastAsia="Calibri" w:hAnsi="Calibri"/>
          <w:color w:val="1A1A1A"/>
          <w:sz w:val="20"/>
          <w:szCs w:val="20"/>
        </w:rPr>
        <w:t xml:space="preserve">). </w:t>
      </w:r>
      <w:r>
        <w:rPr>
          <w:rFonts w:ascii="Calibri" w:cs="Calibri" w:eastAsia="Calibri" w:hAnsi="Calibri"/>
          <w:b/>
          <w:bCs/>
          <w:color w:val="1A1A1A"/>
          <w:sz w:val="20"/>
          <w:szCs w:val="20"/>
        </w:rPr>
        <w:t xml:space="preserve">Contrôle</w:t>
      </w:r>
      <w:r>
        <w:rPr>
          <w:rFonts w:ascii="Calibri" w:cs="Calibri" w:eastAsia="Calibri" w:hAnsi="Calibri"/>
          <w:color w:val="1A1A1A"/>
          <w:sz w:val="20"/>
          <w:szCs w:val="20"/>
        </w:rPr>
        <w:t xml:space="preserve"> : légalité, but d’utilité publique (large marge, </w:t>
      </w:r>
      <w:r>
        <w:rPr>
          <w:rFonts w:ascii="Calibri" w:cs="Calibri" w:eastAsia="Calibri" w:hAnsi="Calibri"/>
          <w:color w:val="E91E63"/>
          <w:sz w:val="20"/>
          <w:szCs w:val="20"/>
        </w:rPr>
        <w:t xml:space="preserve">CEDH [plén.], 21 février 1986, James c. Royaume-Uni</w:t>
      </w:r>
      <w:r>
        <w:rPr>
          <w:rFonts w:ascii="Calibri" w:cs="Calibri" w:eastAsia="Calibri" w:hAnsi="Calibri"/>
          <w:color w:val="1A1A1A"/>
          <w:sz w:val="20"/>
          <w:szCs w:val="20"/>
        </w:rPr>
        <w:t xml:space="preserve">), </w:t>
      </w:r>
      <w:r>
        <w:rPr>
          <w:rFonts w:ascii="Calibri" w:cs="Calibri" w:eastAsia="Calibri" w:hAnsi="Calibri"/>
          <w:b/>
          <w:bCs/>
          <w:color w:val="1A1A1A"/>
          <w:sz w:val="20"/>
          <w:szCs w:val="20"/>
        </w:rPr>
        <w:t xml:space="preserve">juste équilibre</w:t>
      </w:r>
      <w:r>
        <w:rPr>
          <w:rFonts w:ascii="Calibri" w:cs="Calibri" w:eastAsia="Calibri" w:hAnsi="Calibri"/>
          <w:color w:val="1A1A1A"/>
          <w:sz w:val="20"/>
          <w:szCs w:val="20"/>
        </w:rPr>
        <w:t xml:space="preserve"> et indemnisation raisonnablement en rapport avec la valeur (</w:t>
      </w:r>
      <w:r>
        <w:rPr>
          <w:rFonts w:ascii="Calibri" w:cs="Calibri" w:eastAsia="Calibri" w:hAnsi="Calibri"/>
          <w:color w:val="E91E63"/>
          <w:sz w:val="20"/>
          <w:szCs w:val="20"/>
        </w:rPr>
        <w:t xml:space="preserve">CEDH [GC], 23 novembre 2000, Ex-roi de Grèce c. Grèce</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Arrêts pilotes</w:t>
      </w:r>
      <w:r>
        <w:rPr>
          <w:rFonts w:ascii="Calibri" w:cs="Calibri" w:eastAsia="Calibri" w:hAnsi="Calibri"/>
          <w:color w:val="1A1A1A"/>
          <w:sz w:val="20"/>
          <w:szCs w:val="20"/>
        </w:rPr>
        <w:t xml:space="preserve"> : défaillance structurelle d’indemnisation (</w:t>
      </w:r>
      <w:r>
        <w:rPr>
          <w:rFonts w:ascii="Calibri" w:cs="Calibri" w:eastAsia="Calibri" w:hAnsi="Calibri"/>
          <w:color w:val="E91E63"/>
          <w:sz w:val="20"/>
          <w:szCs w:val="20"/>
        </w:rPr>
        <w:t xml:space="preserve">CEDH [GC], 22 juin 2004, Broniowski c. Pologne</w:t>
      </w:r>
      <w:r>
        <w:rPr>
          <w:rFonts w:ascii="Calibri" w:cs="Calibri" w:eastAsia="Calibri" w:hAnsi="Calibri"/>
          <w:color w:val="1A1A1A"/>
          <w:sz w:val="20"/>
          <w:szCs w:val="20"/>
        </w:rPr>
        <w:t xml:space="preserve">) ; contrôle des loyers privant les bailleurs d’un rendement (</w:t>
      </w:r>
      <w:r>
        <w:rPr>
          <w:rFonts w:ascii="Calibri" w:cs="Calibri" w:eastAsia="Calibri" w:hAnsi="Calibri"/>
          <w:color w:val="E91E63"/>
          <w:sz w:val="20"/>
          <w:szCs w:val="20"/>
        </w:rPr>
        <w:t xml:space="preserve">CEDH [GC], 19 juin 2006, Hutten-Czapska c. Pologne</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France</w:t>
      </w:r>
      <w:r>
        <w:rPr>
          <w:rFonts w:ascii="Calibri" w:cs="Calibri" w:eastAsia="Calibri" w:hAnsi="Calibri"/>
          <w:color w:val="1A1A1A"/>
          <w:sz w:val="20"/>
          <w:szCs w:val="20"/>
        </w:rPr>
        <w:t xml:space="preserve"> : validations législatives (</w:t>
      </w:r>
      <w:r>
        <w:rPr>
          <w:rFonts w:ascii="Calibri" w:cs="Calibri" w:eastAsia="Calibri" w:hAnsi="Calibri"/>
          <w:color w:val="E91E63"/>
          <w:sz w:val="20"/>
          <w:szCs w:val="20"/>
        </w:rPr>
        <w:t xml:space="preserve">CEDH, 14 février 2006, Lecarpentier c. France</w:t>
      </w:r>
      <w:r>
        <w:rPr>
          <w:rFonts w:ascii="Calibri" w:cs="Calibri" w:eastAsia="Calibri" w:hAnsi="Calibri"/>
          <w:color w:val="1A1A1A"/>
          <w:sz w:val="20"/>
          <w:szCs w:val="20"/>
        </w:rPr>
        <w:t xml:space="preserve">) ; associations de chasse (</w:t>
      </w:r>
      <w:r>
        <w:rPr>
          <w:rFonts w:ascii="Calibri" w:cs="Calibri" w:eastAsia="Calibri" w:hAnsi="Calibri"/>
          <w:color w:val="E91E63"/>
          <w:sz w:val="20"/>
          <w:szCs w:val="20"/>
        </w:rPr>
        <w:t xml:space="preserve">Chassagnou</w:t>
      </w:r>
      <w:r>
        <w:rPr>
          <w:rFonts w:ascii="Calibri" w:cs="Calibri" w:eastAsia="Calibri" w:hAnsi="Calibri"/>
          <w:color w:val="1A1A1A"/>
          <w:sz w:val="20"/>
          <w:szCs w:val="20"/>
        </w:rPr>
        <w:t xml:space="preserve">, 1999, violation ; mais </w:t>
      </w:r>
      <w:r>
        <w:rPr>
          <w:rFonts w:ascii="Calibri" w:cs="Calibri" w:eastAsia="Calibri" w:hAnsi="Calibri"/>
          <w:color w:val="E91E63"/>
          <w:sz w:val="20"/>
          <w:szCs w:val="20"/>
        </w:rPr>
        <w:t xml:space="preserve">CEDH [GC], 4 octobre 2012, Chabauty c. France</w:t>
      </w:r>
      <w:r>
        <w:rPr>
          <w:rFonts w:ascii="Calibri" w:cs="Calibri" w:eastAsia="Calibri" w:hAnsi="Calibri"/>
          <w:color w:val="1A1A1A"/>
          <w:sz w:val="20"/>
          <w:szCs w:val="20"/>
        </w:rPr>
        <w:t xml:space="preserve">, non-violation pour un propriétaire d’une superficie inférieure au seuil) ; obligations positives et effet horizontal (</w:t>
      </w:r>
      <w:r>
        <w:rPr>
          <w:rFonts w:ascii="Calibri" w:cs="Calibri" w:eastAsia="Calibri" w:hAnsi="Calibri"/>
          <w:color w:val="E91E63"/>
          <w:sz w:val="20"/>
          <w:szCs w:val="20"/>
        </w:rPr>
        <w:t xml:space="preserve">CEDH, 29 janvier 2013, Zolotas c. Grèce (n° 2)</w:t>
      </w:r>
      <w:r>
        <w:rPr>
          <w:rFonts w:ascii="Calibri" w:cs="Calibri" w:eastAsia="Calibri" w:hAnsi="Calibri"/>
          <w:color w:val="1A1A1A"/>
          <w:sz w:val="20"/>
          <w:szCs w:val="20"/>
        </w:rPr>
        <w:t xml:space="preserve">).</w:t>
      </w:r>
    </w:p>
    <w:p>
      <w:pPr>
        <w:pStyle w:val="Heading2"/>
        <w:spacing w:after="120" w:before="280"/>
      </w:pPr>
      <w:r>
        <w:rPr>
          <w:rFonts w:ascii="Calibri" w:cs="Calibri" w:eastAsia="Calibri" w:hAnsi="Calibri"/>
          <w:b/>
          <w:bCs/>
          <w:color w:val="1A1A1A"/>
          <w:sz w:val="24"/>
          <w:szCs w:val="24"/>
        </w:rPr>
        <w:t xml:space="preserve">3. La protection constitutionnelle</w:t>
      </w:r>
    </w:p>
    <w:p>
      <w:pPr>
        <w:pStyle w:val="ListParagraph"/>
        <w:numPr>
          <w:ilvl w:val="0"/>
          <w:numId w:val="2"/>
        </w:numPr>
        <w:spacing w:after="70" w:line="264"/>
        <w:jc w:val="both"/>
      </w:pPr>
      <w:r>
        <w:rPr>
          <w:rFonts w:ascii="Calibri" w:cs="Calibri" w:eastAsia="Calibri" w:hAnsi="Calibri"/>
          <w:b/>
          <w:bCs/>
          <w:color w:val="1A1A1A"/>
          <w:sz w:val="20"/>
          <w:szCs w:val="20"/>
        </w:rPr>
        <w:t xml:space="preserve">Privation (art. 17)</w:t>
      </w:r>
      <w:r>
        <w:rPr>
          <w:rFonts w:ascii="Calibri" w:cs="Calibri" w:eastAsia="Calibri" w:hAnsi="Calibri"/>
          <w:color w:val="1A1A1A"/>
          <w:sz w:val="20"/>
          <w:szCs w:val="20"/>
        </w:rPr>
        <w:t xml:space="preserve"> : nécessité publique légalement constatée, juste et préalable indemnité ; nationalisations validées sous réserve d’une indemnisation équitable (</w:t>
      </w:r>
      <w:r>
        <w:rPr>
          <w:rFonts w:ascii="Calibri" w:cs="Calibri" w:eastAsia="Calibri" w:hAnsi="Calibri"/>
          <w:color w:val="E91E63"/>
          <w:sz w:val="20"/>
          <w:szCs w:val="20"/>
        </w:rPr>
        <w:t xml:space="preserve">81-132 DC</w:t>
      </w:r>
      <w:r>
        <w:rPr>
          <w:rFonts w:ascii="Calibri" w:cs="Calibri" w:eastAsia="Calibri" w:hAnsi="Calibri"/>
          <w:color w:val="1A1A1A"/>
          <w:sz w:val="20"/>
          <w:szCs w:val="20"/>
        </w:rPr>
        <w:t xml:space="preserve">) ; vente anticipée d’un bien saisi (</w:t>
      </w:r>
      <w:r>
        <w:rPr>
          <w:rFonts w:ascii="Calibri" w:cs="Calibri" w:eastAsia="Calibri" w:hAnsi="Calibri"/>
          <w:color w:val="E91E63"/>
          <w:sz w:val="20"/>
          <w:szCs w:val="20"/>
        </w:rPr>
        <w:t xml:space="preserve">2025-1156 QPC</w:t>
      </w:r>
      <w:r>
        <w:rPr>
          <w:rFonts w:ascii="Calibri" w:cs="Calibri" w:eastAsia="Calibri" w:hAnsi="Calibri"/>
          <w:color w:val="1A1A1A"/>
          <w:sz w:val="20"/>
          <w:szCs w:val="20"/>
        </w:rPr>
        <w:t xml:space="preserve">, le caractère « préalable » n’interdit pas l’indisponibilité provisoire du prix). </w:t>
      </w:r>
      <w:r>
        <w:rPr>
          <w:rFonts w:ascii="Calibri" w:cs="Calibri" w:eastAsia="Calibri" w:hAnsi="Calibri"/>
          <w:b/>
          <w:bCs/>
          <w:color w:val="1A1A1A"/>
          <w:sz w:val="20"/>
          <w:szCs w:val="20"/>
        </w:rPr>
        <w:t xml:space="preserve">Limitation (art. 2)</w:t>
      </w:r>
      <w:r>
        <w:rPr>
          <w:rFonts w:ascii="Calibri" w:cs="Calibri" w:eastAsia="Calibri" w:hAnsi="Calibri"/>
          <w:color w:val="1A1A1A"/>
          <w:sz w:val="20"/>
          <w:szCs w:val="20"/>
        </w:rPr>
        <w:t xml:space="preserve"> : motif d’intérêt général, atteinte proportionnée — lais et relais de la mer (</w:t>
      </w:r>
      <w:r>
        <w:rPr>
          <w:rFonts w:ascii="Calibri" w:cs="Calibri" w:eastAsia="Calibri" w:hAnsi="Calibri"/>
          <w:color w:val="E91E63"/>
          <w:sz w:val="20"/>
          <w:szCs w:val="20"/>
        </w:rPr>
        <w:t xml:space="preserve">2011-169 QPC, 30 septembre 2011</w:t>
      </w:r>
      <w:r>
        <w:rPr>
          <w:rFonts w:ascii="Calibri" w:cs="Calibri" w:eastAsia="Calibri" w:hAnsi="Calibri"/>
          <w:color w:val="1A1A1A"/>
          <w:sz w:val="20"/>
          <w:szCs w:val="20"/>
        </w:rPr>
        <w:t xml:space="preserve">) ; interdiction des meublés de tourisme en copropriété (</w:t>
      </w:r>
      <w:r>
        <w:rPr>
          <w:rFonts w:ascii="Calibri" w:cs="Calibri" w:eastAsia="Calibri" w:hAnsi="Calibri"/>
          <w:color w:val="1E88E5"/>
          <w:sz w:val="20"/>
          <w:szCs w:val="20"/>
        </w:rPr>
        <w:t xml:space="preserve">loi « Le Meur » du 19 novembre 2024</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2025-1186 QPC</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Squats</w:t>
      </w:r>
      <w:r>
        <w:rPr>
          <w:rFonts w:ascii="Calibri" w:cs="Calibri" w:eastAsia="Calibri" w:hAnsi="Calibri"/>
          <w:color w:val="1A1A1A"/>
          <w:sz w:val="20"/>
          <w:szCs w:val="20"/>
        </w:rPr>
        <w:t xml:space="preserve"> : loi « Kasbarian-Bergé » du 27 juillet 2023 — durcissement des sanctions et procédure accélérée ; censure de l’exonération de responsabilité du propriétaire pour défaut d’entretien du bien squatté (</w:t>
      </w:r>
      <w:r>
        <w:rPr>
          <w:rFonts w:ascii="Calibri" w:cs="Calibri" w:eastAsia="Calibri" w:hAnsi="Calibri"/>
          <w:color w:val="E91E63"/>
          <w:sz w:val="20"/>
          <w:szCs w:val="20"/>
        </w:rPr>
        <w:t xml:space="preserve">2023-853 DC, 26 juillet 2023</w:t>
      </w:r>
      <w:r>
        <w:rPr>
          <w:rFonts w:ascii="Calibri" w:cs="Calibri" w:eastAsia="Calibri" w:hAnsi="Calibri"/>
          <w:color w:val="1A1A1A"/>
          <w:sz w:val="20"/>
          <w:szCs w:val="20"/>
        </w:rPr>
        <w:t xml:space="preserve">). </w:t>
      </w:r>
      <w:r>
        <w:rPr>
          <w:rFonts w:ascii="Calibri" w:cs="Calibri" w:eastAsia="Calibri" w:hAnsi="Calibri"/>
          <w:b/>
          <w:bCs/>
          <w:color w:val="1A1A1A"/>
          <w:sz w:val="20"/>
          <w:szCs w:val="20"/>
        </w:rPr>
        <w:t xml:space="preserve">Cour de cassation</w:t>
      </w:r>
      <w:r>
        <w:rPr>
          <w:rFonts w:ascii="Calibri" w:cs="Calibri" w:eastAsia="Calibri" w:hAnsi="Calibri"/>
          <w:color w:val="1A1A1A"/>
          <w:sz w:val="20"/>
          <w:szCs w:val="20"/>
        </w:rPr>
        <w:t xml:space="preserve"> : l’expulsion d’un occupant sans droit ni titre est la seule mesure permettant au propriétaire de recouvrer son bien et ne peut être disproportionnée (</w:t>
      </w:r>
      <w:r>
        <w:rPr>
          <w:rFonts w:ascii="Calibri" w:cs="Calibri" w:eastAsia="Calibri" w:hAnsi="Calibri"/>
          <w:color w:val="E91E63"/>
          <w:sz w:val="20"/>
          <w:szCs w:val="20"/>
        </w:rPr>
        <w:t xml:space="preserve">Cass. 3e civ., 4 juillet 2019</w:t>
      </w:r>
      <w:r>
        <w:rPr>
          <w:rFonts w:ascii="Calibri" w:cs="Calibri" w:eastAsia="Calibri" w:hAnsi="Calibri"/>
          <w:color w:val="1A1A1A"/>
          <w:sz w:val="20"/>
          <w:szCs w:val="20"/>
        </w:rPr>
        <w:t xml:space="preserve">) ; démolition d’un empiètement sans contrôle de proportionnalité, même minime (</w:t>
      </w:r>
      <w:r>
        <w:rPr>
          <w:rFonts w:ascii="Calibri" w:cs="Calibri" w:eastAsia="Calibri" w:hAnsi="Calibri"/>
          <w:color w:val="E91E63"/>
          <w:sz w:val="20"/>
          <w:szCs w:val="20"/>
        </w:rPr>
        <w:t xml:space="preserve">Cass. 3e civ., 21 décembre 2017</w:t>
      </w:r>
      <w:r>
        <w:rPr>
          <w:rFonts w:ascii="Calibri" w:cs="Calibri" w:eastAsia="Calibri" w:hAnsi="Calibri"/>
          <w:color w:val="1A1A1A"/>
          <w:sz w:val="20"/>
          <w:szCs w:val="20"/>
        </w:rPr>
        <w:t xml:space="preserve">).</w:t>
      </w:r>
    </w:p>
    <w:p>
      <w:pPr>
        <w:pStyle w:val="Heading2"/>
        <w:spacing w:after="120" w:before="280"/>
      </w:pPr>
      <w:r>
        <w:rPr>
          <w:rFonts w:ascii="Calibri" w:cs="Calibri" w:eastAsia="Calibri" w:hAnsi="Calibri"/>
          <w:b/>
          <w:bCs/>
          <w:color w:val="1A1A1A"/>
          <w:sz w:val="24"/>
          <w:szCs w:val="24"/>
        </w:rPr>
        <w:t xml:space="preserve">4. Expropriation et voie de fait</w:t>
      </w:r>
    </w:p>
    <w:p>
      <w:pPr>
        <w:pStyle w:val="ListParagraph"/>
        <w:numPr>
          <w:ilvl w:val="0"/>
          <w:numId w:val="2"/>
        </w:numPr>
        <w:spacing w:after="70" w:line="264"/>
        <w:jc w:val="both"/>
      </w:pPr>
      <w:r>
        <w:rPr>
          <w:rFonts w:ascii="Calibri" w:cs="Calibri" w:eastAsia="Calibri" w:hAnsi="Calibri"/>
          <w:b/>
          <w:bCs/>
          <w:color w:val="1A1A1A"/>
          <w:sz w:val="20"/>
          <w:szCs w:val="20"/>
        </w:rPr>
        <w:t xml:space="preserve">Expropriation</w:t>
      </w:r>
      <w:r>
        <w:rPr>
          <w:rFonts w:ascii="Calibri" w:cs="Calibri" w:eastAsia="Calibri" w:hAnsi="Calibri"/>
          <w:color w:val="1A1A1A"/>
          <w:sz w:val="20"/>
          <w:szCs w:val="20"/>
        </w:rPr>
        <w:t xml:space="preserve"> : phase administrative (déclaration d’utilité publique, contrôle du </w:t>
      </w:r>
      <w:r>
        <w:rPr>
          <w:rFonts w:ascii="Calibri" w:cs="Calibri" w:eastAsia="Calibri" w:hAnsi="Calibri"/>
          <w:b/>
          <w:bCs/>
          <w:color w:val="1A1A1A"/>
          <w:sz w:val="20"/>
          <w:szCs w:val="20"/>
        </w:rPr>
        <w:t xml:space="preserve">bilan coûts-avantages</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 ass., 28 mai 1971, Ville nouvelle Est</w:t>
      </w:r>
      <w:r>
        <w:rPr>
          <w:rFonts w:ascii="Calibri" w:cs="Calibri" w:eastAsia="Calibri" w:hAnsi="Calibri"/>
          <w:color w:val="1A1A1A"/>
          <w:sz w:val="20"/>
          <w:szCs w:val="20"/>
        </w:rPr>
        <w:t xml:space="preserve">) et phase judiciaire (transfert de propriété et indemnité fixés par le juge de l’expropriation, garant de la propriété immobilière).</w:t>
      </w:r>
    </w:p>
    <w:p>
      <w:pPr>
        <w:pStyle w:val="ListParagraph"/>
        <w:numPr>
          <w:ilvl w:val="0"/>
          <w:numId w:val="2"/>
        </w:numPr>
        <w:spacing w:after="70" w:line="264"/>
        <w:jc w:val="both"/>
      </w:pPr>
      <w:r>
        <w:rPr>
          <w:rFonts w:ascii="Calibri" w:cs="Calibri" w:eastAsia="Calibri" w:hAnsi="Calibri"/>
          <w:b/>
          <w:bCs/>
          <w:color w:val="1A1A1A"/>
          <w:sz w:val="20"/>
          <w:szCs w:val="20"/>
        </w:rPr>
        <w:t xml:space="preserve">Voie de fait</w:t>
      </w:r>
      <w:r>
        <w:rPr>
          <w:rFonts w:ascii="Calibri" w:cs="Calibri" w:eastAsia="Calibri" w:hAnsi="Calibri"/>
          <w:color w:val="1A1A1A"/>
          <w:sz w:val="20"/>
          <w:szCs w:val="20"/>
        </w:rPr>
        <w:t xml:space="preserve"> : désormais limitée à l’atteinte à la liberté individuelle et à l’</w:t>
      </w:r>
      <w:r>
        <w:rPr>
          <w:rFonts w:ascii="Calibri" w:cs="Calibri" w:eastAsia="Calibri" w:hAnsi="Calibri"/>
          <w:b/>
          <w:bCs/>
          <w:color w:val="1A1A1A"/>
          <w:sz w:val="20"/>
          <w:szCs w:val="20"/>
        </w:rPr>
        <w:t xml:space="preserve">extinction</w:t>
      </w:r>
      <w:r>
        <w:rPr>
          <w:rFonts w:ascii="Calibri" w:cs="Calibri" w:eastAsia="Calibri" w:hAnsi="Calibri"/>
          <w:color w:val="1A1A1A"/>
          <w:sz w:val="20"/>
          <w:szCs w:val="20"/>
        </w:rPr>
        <w:t xml:space="preserve"> du droit de propriété (</w:t>
      </w:r>
      <w:r>
        <w:rPr>
          <w:rFonts w:ascii="Calibri" w:cs="Calibri" w:eastAsia="Calibri" w:hAnsi="Calibri"/>
          <w:color w:val="E91E63"/>
          <w:sz w:val="20"/>
          <w:szCs w:val="20"/>
        </w:rPr>
        <w:t xml:space="preserve">Bergoend</w:t>
      </w:r>
      <w:r>
        <w:rPr>
          <w:rFonts w:ascii="Calibri" w:cs="Calibri" w:eastAsia="Calibri" w:hAnsi="Calibri"/>
          <w:color w:val="1A1A1A"/>
          <w:sz w:val="20"/>
          <w:szCs w:val="20"/>
        </w:rPr>
        <w:t xml:space="preserve">, 2013) ; l’emprise irrégulière relève du juge administratif pour l’indemnisation sauf extinction. Le juge judiciaire reste gardien de la propriété privée immobilière, attribution que le Conseil constitutionnel rattache aux principes fondamentaux reconnus par les lois de la République (</w:t>
      </w:r>
      <w:r>
        <w:rPr>
          <w:rFonts w:ascii="Calibri" w:cs="Calibri" w:eastAsia="Calibri" w:hAnsi="Calibri"/>
          <w:color w:val="E91E63"/>
          <w:sz w:val="20"/>
          <w:szCs w:val="20"/>
        </w:rPr>
        <w:t xml:space="preserve">89-256 DC, 25 juillet 1989</w:t>
      </w:r>
      <w:r>
        <w:rPr>
          <w:rFonts w:ascii="Calibri" w:cs="Calibri" w:eastAsia="Calibri" w:hAnsi="Calibri"/>
          <w:color w:val="1A1A1A"/>
          <w:sz w:val="20"/>
          <w:szCs w:val="20"/>
        </w:rPr>
        <w:t xml:space="preserve">).</w:t>
      </w:r>
    </w:p>
    <w:p>
      <w:pPr>
        <w:pStyle w:val="Heading2"/>
        <w:spacing w:after="120" w:before="280"/>
      </w:pPr>
      <w:r>
        <w:rPr>
          <w:rFonts w:ascii="Calibri" w:cs="Calibri" w:eastAsia="Calibri" w:hAnsi="Calibri"/>
          <w:b/>
          <w:bCs/>
          <w:color w:val="1A1A1A"/>
          <w:sz w:val="24"/>
          <w:szCs w:val="24"/>
        </w:rPr>
        <w:t xml:space="preserve">5. Débats doctrinaux et critiques</w:t>
      </w:r>
    </w:p>
    <w:p>
      <w:pPr>
        <w:pStyle w:val="ListParagraph"/>
        <w:numPr>
          <w:ilvl w:val="0"/>
          <w:numId w:val="2"/>
        </w:numPr>
        <w:spacing w:after="70" w:line="264"/>
        <w:jc w:val="both"/>
      </w:pPr>
      <w:r>
        <w:rPr>
          <w:rFonts w:ascii="Calibri" w:cs="Calibri" w:eastAsia="Calibri" w:hAnsi="Calibri"/>
          <w:b/>
          <w:bCs/>
          <w:color w:val="1A1A1A"/>
          <w:sz w:val="20"/>
          <w:szCs w:val="20"/>
        </w:rPr>
        <w:t xml:space="preserve">Droit naturel ou institution sociale ?</w:t>
      </w:r>
      <w:r>
        <w:rPr>
          <w:rFonts w:ascii="Calibri" w:cs="Calibri" w:eastAsia="Calibri" w:hAnsi="Calibri"/>
          <w:color w:val="1A1A1A"/>
          <w:sz w:val="20"/>
          <w:szCs w:val="20"/>
        </w:rPr>
        <w:t xml:space="preserve"> — </w:t>
      </w:r>
      <w:r>
        <w:rPr>
          <w:rFonts w:ascii="Calibri" w:cs="Calibri" w:eastAsia="Calibri" w:hAnsi="Calibri"/>
          <w:color w:val="2E7D32"/>
          <w:sz w:val="20"/>
          <w:szCs w:val="20"/>
        </w:rPr>
        <w:t xml:space="preserve">Locke</w:t>
      </w:r>
      <w:r>
        <w:rPr>
          <w:rFonts w:ascii="Calibri" w:cs="Calibri" w:eastAsia="Calibri" w:hAnsi="Calibri"/>
          <w:color w:val="1A1A1A"/>
          <w:sz w:val="20"/>
          <w:szCs w:val="20"/>
        </w:rPr>
        <w:t xml:space="preserve"> (</w:t>
      </w:r>
      <w:r>
        <w:rPr>
          <w:rFonts w:ascii="Calibri" w:cs="Calibri" w:eastAsia="Calibri" w:hAnsi="Calibri"/>
          <w:color w:val="2E7D32"/>
          <w:sz w:val="20"/>
          <w:szCs w:val="20"/>
        </w:rPr>
        <w:t xml:space="preserve">Second traité</w:t>
      </w:r>
      <w:r>
        <w:rPr>
          <w:rFonts w:ascii="Calibri" w:cs="Calibri" w:eastAsia="Calibri" w:hAnsi="Calibri"/>
          <w:color w:val="1A1A1A"/>
          <w:sz w:val="20"/>
          <w:szCs w:val="20"/>
        </w:rPr>
        <w:t xml:space="preserve">, 1690) : la propriété naît du travail et précède l’État ; </w:t>
      </w:r>
      <w:r>
        <w:rPr>
          <w:rFonts w:ascii="Calibri" w:cs="Calibri" w:eastAsia="Calibri" w:hAnsi="Calibri"/>
          <w:color w:val="2E7D32"/>
          <w:sz w:val="20"/>
          <w:szCs w:val="20"/>
        </w:rPr>
        <w:t xml:space="preserve">Rousseau</w:t>
      </w:r>
      <w:r>
        <w:rPr>
          <w:rFonts w:ascii="Calibri" w:cs="Calibri" w:eastAsia="Calibri" w:hAnsi="Calibri"/>
          <w:color w:val="1A1A1A"/>
          <w:sz w:val="20"/>
          <w:szCs w:val="20"/>
        </w:rPr>
        <w:t xml:space="preserve"> (</w:t>
      </w:r>
      <w:r>
        <w:rPr>
          <w:rFonts w:ascii="Calibri" w:cs="Calibri" w:eastAsia="Calibri" w:hAnsi="Calibri"/>
          <w:color w:val="2E7D32"/>
          <w:sz w:val="20"/>
          <w:szCs w:val="20"/>
        </w:rPr>
        <w:t xml:space="preserve">Discours sur l’origine de l’inégalité</w:t>
      </w:r>
      <w:r>
        <w:rPr>
          <w:rFonts w:ascii="Calibri" w:cs="Calibri" w:eastAsia="Calibri" w:hAnsi="Calibri"/>
          <w:color w:val="1A1A1A"/>
          <w:sz w:val="20"/>
          <w:szCs w:val="20"/>
        </w:rPr>
        <w:t xml:space="preserve">, 1755) : « Le premier qui, ayant enclos un terrain, s’avisa de dire : ceci est à moi… » ; </w:t>
      </w:r>
      <w:r>
        <w:rPr>
          <w:rFonts w:ascii="Calibri" w:cs="Calibri" w:eastAsia="Calibri" w:hAnsi="Calibri"/>
          <w:color w:val="2E7D32"/>
          <w:sz w:val="20"/>
          <w:szCs w:val="20"/>
        </w:rPr>
        <w:t xml:space="preserve">Proudhon</w:t>
      </w:r>
      <w:r>
        <w:rPr>
          <w:rFonts w:ascii="Calibri" w:cs="Calibri" w:eastAsia="Calibri" w:hAnsi="Calibri"/>
          <w:color w:val="1A1A1A"/>
          <w:sz w:val="20"/>
          <w:szCs w:val="20"/>
        </w:rPr>
        <w:t xml:space="preserve"> (1840) ; </w:t>
      </w:r>
      <w:r>
        <w:rPr>
          <w:rFonts w:ascii="Calibri" w:cs="Calibri" w:eastAsia="Calibri" w:hAnsi="Calibri"/>
          <w:color w:val="2E7D32"/>
          <w:sz w:val="20"/>
          <w:szCs w:val="20"/>
        </w:rPr>
        <w:t xml:space="preserve">Duguit</w:t>
      </w:r>
      <w:r>
        <w:rPr>
          <w:rFonts w:ascii="Calibri" w:cs="Calibri" w:eastAsia="Calibri" w:hAnsi="Calibri"/>
          <w:color w:val="1A1A1A"/>
          <w:sz w:val="20"/>
          <w:szCs w:val="20"/>
        </w:rPr>
        <w:t xml:space="preserve"> (1911) : fonction sociale.</w:t>
      </w:r>
    </w:p>
    <w:p>
      <w:pPr>
        <w:pStyle w:val="ListParagraph"/>
        <w:numPr>
          <w:ilvl w:val="0"/>
          <w:numId w:val="2"/>
        </w:numPr>
        <w:spacing w:after="70" w:line="264"/>
        <w:jc w:val="both"/>
      </w:pPr>
      <w:r>
        <w:rPr>
          <w:rFonts w:ascii="Calibri" w:cs="Calibri" w:eastAsia="Calibri" w:hAnsi="Calibri"/>
          <w:b/>
          <w:bCs/>
          <w:color w:val="1A1A1A"/>
          <w:sz w:val="20"/>
          <w:szCs w:val="20"/>
        </w:rPr>
        <w:t xml:space="preserve">Un droit de l’homme ?</w:t>
      </w:r>
      <w:r>
        <w:rPr>
          <w:rFonts w:ascii="Calibri" w:cs="Calibri" w:eastAsia="Calibri" w:hAnsi="Calibri"/>
          <w:color w:val="1A1A1A"/>
          <w:sz w:val="20"/>
          <w:szCs w:val="20"/>
        </w:rPr>
        <w:t xml:space="preserve"> — l’absence du droit de propriété dans les Pactes de 1966 traduit le clivage idéologique ; la jurisprudence européenne en a fait un droit de protection des </w:t>
      </w:r>
      <w:r>
        <w:rPr>
          <w:rFonts w:ascii="Calibri" w:cs="Calibri" w:eastAsia="Calibri" w:hAnsi="Calibri"/>
          <w:b/>
          <w:bCs/>
          <w:color w:val="1A1A1A"/>
          <w:sz w:val="20"/>
          <w:szCs w:val="20"/>
        </w:rPr>
        <w:t xml:space="preserve">revenus sociaux et créances</w:t>
      </w:r>
      <w:r>
        <w:rPr>
          <w:rFonts w:ascii="Calibri" w:cs="Calibri" w:eastAsia="Calibri" w:hAnsi="Calibri"/>
          <w:color w:val="1A1A1A"/>
          <w:sz w:val="20"/>
          <w:szCs w:val="20"/>
        </w:rPr>
        <w:t xml:space="preserve">, rapprochant la propriété des droits sociaux.</w:t>
      </w:r>
    </w:p>
    <w:p>
      <w:pPr>
        <w:pStyle w:val="ListParagraph"/>
        <w:numPr>
          <w:ilvl w:val="0"/>
          <w:numId w:val="2"/>
        </w:numPr>
        <w:spacing w:after="70" w:line="264"/>
        <w:jc w:val="both"/>
      </w:pPr>
      <w:r>
        <w:rPr>
          <w:rFonts w:ascii="Calibri" w:cs="Calibri" w:eastAsia="Calibri" w:hAnsi="Calibri"/>
          <w:b/>
          <w:bCs/>
          <w:color w:val="1A1A1A"/>
          <w:sz w:val="20"/>
          <w:szCs w:val="20"/>
        </w:rPr>
        <w:t xml:space="preserve">Propriété et crise du logement</w:t>
      </w:r>
      <w:r>
        <w:rPr>
          <w:rFonts w:ascii="Calibri" w:cs="Calibri" w:eastAsia="Calibri" w:hAnsi="Calibri"/>
          <w:color w:val="1A1A1A"/>
          <w:sz w:val="20"/>
          <w:szCs w:val="20"/>
        </w:rPr>
        <w:t xml:space="preserve"> — encadrement des loyers, réquisitions, meublés de tourisme, squats : le législateur oscille entre protection du propriétaire et droit au logement (fiche 51) ; le Conseil constitutionnel arbitre par la distinction privation/limitation.</w:t>
      </w:r>
    </w:p>
    <w:p>
      <w:pPr>
        <w:pStyle w:val="Heading2"/>
        <w:spacing w:after="120" w:before="280"/>
      </w:pPr>
      <w:r>
        <w:rPr>
          <w:rFonts w:ascii="Calibri" w:cs="Calibri" w:eastAsia="Calibri" w:hAnsi="Calibri"/>
          <w:b/>
          <w:bCs/>
          <w:color w:val="1A1A1A"/>
          <w:sz w:val="24"/>
          <w:szCs w:val="24"/>
        </w:rPr>
        <w:t xml:space="preserve">6. Dispositif « Grand Oral »</w:t>
      </w:r>
    </w:p>
    <w:p>
      <w:pPr>
        <w:pStyle w:val="Heading3"/>
        <w:spacing w:after="90" w:before="200"/>
      </w:pPr>
      <w:r>
        <w:rPr>
          <w:rFonts w:ascii="Calibri" w:cs="Calibri" w:eastAsia="Calibri" w:hAnsi="Calibri"/>
          <w:b/>
          <w:bCs/>
          <w:i/>
          <w:iCs/>
          <w:color w:val="5A5A5A"/>
          <w:sz w:val="21"/>
          <w:szCs w:val="21"/>
        </w:rPr>
        <w:t xml:space="preserve">6.1. Trois relances / questions pièges</w:t>
      </w:r>
    </w:p>
    <w:p>
      <w:pPr>
        <w:pStyle w:val="ListParagraph"/>
        <w:numPr>
          <w:ilvl w:val="0"/>
          <w:numId w:val="2"/>
        </w:numPr>
        <w:spacing w:after="70" w:line="264"/>
        <w:jc w:val="both"/>
      </w:pPr>
      <w:r>
        <w:rPr>
          <w:rFonts w:ascii="Calibri" w:cs="Calibri" w:eastAsia="Calibri" w:hAnsi="Calibri"/>
          <w:b/>
          <w:bCs/>
          <w:color w:val="1A1A1A"/>
          <w:sz w:val="20"/>
          <w:szCs w:val="20"/>
        </w:rPr>
        <w:t xml:space="preserve">« Une prestation sociale est-elle une propriété ? »</w:t>
      </w:r>
      <w:r>
        <w:rPr>
          <w:rFonts w:ascii="Calibri" w:cs="Calibri" w:eastAsia="Calibri" w:hAnsi="Calibri"/>
          <w:color w:val="1A1A1A"/>
          <w:sz w:val="20"/>
          <w:szCs w:val="20"/>
        </w:rPr>
        <w:t xml:space="preserve"> — Pour Strasbourg, c’est un </w:t>
      </w:r>
      <w:r>
        <w:rPr>
          <w:rFonts w:ascii="Calibri" w:cs="Calibri" w:eastAsia="Calibri" w:hAnsi="Calibri"/>
          <w:b/>
          <w:bCs/>
          <w:color w:val="1A1A1A"/>
          <w:sz w:val="20"/>
          <w:szCs w:val="20"/>
        </w:rPr>
        <w:t xml:space="preserve">bien</w:t>
      </w:r>
      <w:r>
        <w:rPr>
          <w:rFonts w:ascii="Calibri" w:cs="Calibri" w:eastAsia="Calibri" w:hAnsi="Calibri"/>
          <w:color w:val="1A1A1A"/>
          <w:sz w:val="20"/>
          <w:szCs w:val="20"/>
        </w:rPr>
        <w:t xml:space="preserve"> au sens de l’</w:t>
      </w:r>
      <w:r>
        <w:rPr>
          <w:rFonts w:ascii="Calibri" w:cs="Calibri" w:eastAsia="Calibri" w:hAnsi="Calibri"/>
          <w:color w:val="1E88E5"/>
          <w:sz w:val="20"/>
          <w:szCs w:val="20"/>
        </w:rPr>
        <w:t xml:space="preserve">art. 1er Prot. 1</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Stec</w:t>
      </w:r>
      <w:r>
        <w:rPr>
          <w:rFonts w:ascii="Calibri" w:cs="Calibri" w:eastAsia="Calibri" w:hAnsi="Calibri"/>
          <w:color w:val="1A1A1A"/>
          <w:sz w:val="20"/>
          <w:szCs w:val="20"/>
        </w:rPr>
        <w:t xml:space="preserve">) ; pour le Conseil constitutionnel, non (</w:t>
      </w:r>
      <w:r>
        <w:rPr>
          <w:rFonts w:ascii="Calibri" w:cs="Calibri" w:eastAsia="Calibri" w:hAnsi="Calibri"/>
          <w:color w:val="E91E63"/>
          <w:sz w:val="20"/>
          <w:szCs w:val="20"/>
        </w:rPr>
        <w:t xml:space="preserve">85-200 DC</w:t>
      </w:r>
      <w:r>
        <w:rPr>
          <w:rFonts w:ascii="Calibri" w:cs="Calibri" w:eastAsia="Calibri" w:hAnsi="Calibri"/>
          <w:color w:val="1A1A1A"/>
          <w:sz w:val="20"/>
          <w:szCs w:val="20"/>
        </w:rPr>
        <w:t xml:space="preserve">) — la protection passe par l’</w:t>
      </w:r>
      <w:r>
        <w:rPr>
          <w:rFonts w:ascii="Calibri" w:cs="Calibri" w:eastAsia="Calibri" w:hAnsi="Calibri"/>
          <w:color w:val="1E88E5"/>
          <w:sz w:val="20"/>
          <w:szCs w:val="20"/>
        </w:rPr>
        <w:t xml:space="preserve">al. 11</w:t>
      </w:r>
      <w:r>
        <w:rPr>
          <w:rFonts w:ascii="Calibri" w:cs="Calibri" w:eastAsia="Calibri" w:hAnsi="Calibri"/>
          <w:color w:val="1A1A1A"/>
          <w:sz w:val="20"/>
          <w:szCs w:val="20"/>
        </w:rPr>
        <w:t xml:space="preserve"> et la garantie des droits.</w:t>
      </w:r>
    </w:p>
    <w:p>
      <w:pPr>
        <w:pStyle w:val="ListParagraph"/>
        <w:numPr>
          <w:ilvl w:val="0"/>
          <w:numId w:val="2"/>
        </w:numPr>
        <w:spacing w:after="70" w:line="264"/>
        <w:jc w:val="both"/>
      </w:pPr>
      <w:r>
        <w:rPr>
          <w:rFonts w:ascii="Calibri" w:cs="Calibri" w:eastAsia="Calibri" w:hAnsi="Calibri"/>
          <w:b/>
          <w:bCs/>
          <w:color w:val="1A1A1A"/>
          <w:sz w:val="20"/>
          <w:szCs w:val="20"/>
        </w:rPr>
        <w:t xml:space="preserve">« Le propriétaire d’une maison squattée peut-il se faire justice lui-même ? »</w:t>
      </w:r>
      <w:r>
        <w:rPr>
          <w:rFonts w:ascii="Calibri" w:cs="Calibri" w:eastAsia="Calibri" w:hAnsi="Calibri"/>
          <w:color w:val="1A1A1A"/>
          <w:sz w:val="20"/>
          <w:szCs w:val="20"/>
        </w:rPr>
        <w:t xml:space="preserve"> — Non : le changement de serrure ou l’expulsion sans titre est une infraction (</w:t>
      </w:r>
      <w:r>
        <w:rPr>
          <w:rFonts w:ascii="Calibri" w:cs="Calibri" w:eastAsia="Calibri" w:hAnsi="Calibri"/>
          <w:color w:val="1E88E5"/>
          <w:sz w:val="20"/>
          <w:szCs w:val="20"/>
        </w:rPr>
        <w:t xml:space="preserve">art. 226-4-2 C. pén.</w:t>
      </w:r>
      <w:r>
        <w:rPr>
          <w:rFonts w:ascii="Calibri" w:cs="Calibri" w:eastAsia="Calibri" w:hAnsi="Calibri"/>
          <w:color w:val="1A1A1A"/>
          <w:sz w:val="20"/>
          <w:szCs w:val="20"/>
        </w:rPr>
        <w:t xml:space="preserve">) ; il dispose de la procédure administrative accélérée (</w:t>
      </w:r>
      <w:r>
        <w:rPr>
          <w:rFonts w:ascii="Calibri" w:cs="Calibri" w:eastAsia="Calibri" w:hAnsi="Calibri"/>
          <w:color w:val="1E88E5"/>
          <w:sz w:val="20"/>
          <w:szCs w:val="20"/>
        </w:rPr>
        <w:t xml:space="preserve">art. 38 loi DALO</w:t>
      </w:r>
      <w:r>
        <w:rPr>
          <w:rFonts w:ascii="Calibri" w:cs="Calibri" w:eastAsia="Calibri" w:hAnsi="Calibri"/>
          <w:color w:val="1A1A1A"/>
          <w:sz w:val="20"/>
          <w:szCs w:val="20"/>
        </w:rPr>
        <w:t xml:space="preserve">) et du juge, avec une protection renforcée depuis 2023.</w:t>
      </w:r>
    </w:p>
    <w:p>
      <w:pPr>
        <w:pStyle w:val="ListParagraph"/>
        <w:numPr>
          <w:ilvl w:val="0"/>
          <w:numId w:val="2"/>
        </w:numPr>
        <w:spacing w:after="70" w:line="264"/>
        <w:jc w:val="both"/>
      </w:pPr>
      <w:r>
        <w:rPr>
          <w:rFonts w:ascii="Calibri" w:cs="Calibri" w:eastAsia="Calibri" w:hAnsi="Calibri"/>
          <w:b/>
          <w:bCs/>
          <w:color w:val="1A1A1A"/>
          <w:sz w:val="20"/>
          <w:szCs w:val="20"/>
        </w:rPr>
        <w:t xml:space="preserve">« L’impôt porte-t-il atteinte au droit de propriété ? »</w:t>
      </w:r>
      <w:r>
        <w:rPr>
          <w:rFonts w:ascii="Calibri" w:cs="Calibri" w:eastAsia="Calibri" w:hAnsi="Calibri"/>
          <w:color w:val="1A1A1A"/>
          <w:sz w:val="20"/>
          <w:szCs w:val="20"/>
        </w:rPr>
        <w:t xml:space="preserve"> — Il relève de l’al. 2 de l’</w:t>
      </w:r>
      <w:r>
        <w:rPr>
          <w:rFonts w:ascii="Calibri" w:cs="Calibri" w:eastAsia="Calibri" w:hAnsi="Calibri"/>
          <w:color w:val="1E88E5"/>
          <w:sz w:val="20"/>
          <w:szCs w:val="20"/>
        </w:rPr>
        <w:t xml:space="preserve">art. 1er Prot. 1</w:t>
      </w:r>
      <w:r>
        <w:rPr>
          <w:rFonts w:ascii="Calibri" w:cs="Calibri" w:eastAsia="Calibri" w:hAnsi="Calibri"/>
          <w:color w:val="1A1A1A"/>
          <w:sz w:val="20"/>
          <w:szCs w:val="20"/>
        </w:rPr>
        <w:t xml:space="preserve"> (marge très large) ; en droit interne, de l’</w:t>
      </w:r>
      <w:r>
        <w:rPr>
          <w:rFonts w:ascii="Calibri" w:cs="Calibri" w:eastAsia="Calibri" w:hAnsi="Calibri"/>
          <w:color w:val="1E88E5"/>
          <w:sz w:val="20"/>
          <w:szCs w:val="20"/>
        </w:rPr>
        <w:t xml:space="preserve">art. 13 DDHC</w:t>
      </w:r>
      <w:r>
        <w:rPr>
          <w:rFonts w:ascii="Calibri" w:cs="Calibri" w:eastAsia="Calibri" w:hAnsi="Calibri"/>
          <w:color w:val="1A1A1A"/>
          <w:sz w:val="20"/>
          <w:szCs w:val="20"/>
        </w:rPr>
        <w:t xml:space="preserve"> : le Conseil vérifie que l’imposition n’a pas de caractère confiscatoire et a censuré la contribution exceptionnelle de 75 %, assise sur les revenus de chaque personne et non du foyer (</w:t>
      </w:r>
      <w:r>
        <w:rPr>
          <w:rFonts w:ascii="Calibri" w:cs="Calibri" w:eastAsia="Calibri" w:hAnsi="Calibri"/>
          <w:color w:val="E91E63"/>
          <w:sz w:val="20"/>
          <w:szCs w:val="20"/>
        </w:rPr>
        <w:t xml:space="preserve">2012-662 DC, 29 décembre 2012</w:t>
      </w:r>
      <w:r>
        <w:rPr>
          <w:rFonts w:ascii="Calibri" w:cs="Calibri" w:eastAsia="Calibri" w:hAnsi="Calibri"/>
          <w:color w:val="1A1A1A"/>
          <w:sz w:val="20"/>
          <w:szCs w:val="20"/>
        </w:rPr>
        <w:t xml:space="preserve">).</w:t>
      </w:r>
    </w:p>
    <w:p>
      <w:pPr>
        <w:pStyle w:val="Heading3"/>
        <w:spacing w:after="90" w:before="200"/>
      </w:pPr>
      <w:r>
        <w:rPr>
          <w:rFonts w:ascii="Calibri" w:cs="Calibri" w:eastAsia="Calibri" w:hAnsi="Calibri"/>
          <w:b/>
          <w:bCs/>
          <w:i/>
          <w:iCs/>
          <w:color w:val="5A5A5A"/>
          <w:sz w:val="21"/>
          <w:szCs w:val="21"/>
        </w:rPr>
        <w:t xml:space="preserve">6.2. Sujets d’exposé rattachables</w:t>
      </w:r>
    </w:p>
    <w:p>
      <w:pPr>
        <w:pStyle w:val="ListParagraph"/>
        <w:numPr>
          <w:ilvl w:val="0"/>
          <w:numId w:val="2"/>
        </w:numPr>
        <w:spacing w:after="70" w:line="264"/>
        <w:jc w:val="both"/>
      </w:pPr>
      <w:r>
        <w:rPr>
          <w:rFonts w:ascii="Calibri" w:cs="Calibri" w:eastAsia="Calibri" w:hAnsi="Calibri"/>
          <w:color w:val="1A1A1A"/>
          <w:sz w:val="20"/>
          <w:szCs w:val="20"/>
        </w:rPr>
        <w:t xml:space="preserve">Le droit de propriété, droit inviolable et sacré ? — Commentaire de l’</w:t>
      </w:r>
      <w:r>
        <w:rPr>
          <w:rFonts w:ascii="Calibri" w:cs="Calibri" w:eastAsia="Calibri" w:hAnsi="Calibri"/>
          <w:color w:val="1E88E5"/>
          <w:sz w:val="20"/>
          <w:szCs w:val="20"/>
        </w:rPr>
        <w:t xml:space="preserve">article 1er du Protocole n° 1</w:t>
      </w:r>
      <w:r>
        <w:rPr>
          <w:rFonts w:ascii="Calibri" w:cs="Calibri" w:eastAsia="Calibri" w:hAnsi="Calibri"/>
          <w:color w:val="1A1A1A"/>
          <w:sz w:val="20"/>
          <w:szCs w:val="20"/>
        </w:rPr>
        <w:t xml:space="preserve"> (sujet « Pour s’entraîner » du fascicule) — Propriété et intérêt général — L’expropriation — Propriété et logement — Le juge judiciaire gardien de la propriété — Commentaire : </w:t>
      </w:r>
      <w:r>
        <w:rPr>
          <w:rFonts w:ascii="Calibri" w:cs="Calibri" w:eastAsia="Calibri" w:hAnsi="Calibri"/>
          <w:color w:val="E91E63"/>
          <w:sz w:val="20"/>
          <w:szCs w:val="20"/>
        </w:rPr>
        <w:t xml:space="preserve">2025-1186 QPC</w:t>
      </w:r>
      <w:r>
        <w:rPr>
          <w:rFonts w:ascii="Calibri" w:cs="Calibri" w:eastAsia="Calibri" w:hAnsi="Calibri"/>
          <w:color w:val="1A1A1A"/>
          <w:sz w:val="20"/>
          <w:szCs w:val="20"/>
        </w:rPr>
        <w:t xml:space="preserve">.</w:t>
      </w:r>
    </w:p>
    <w:p>
      <w:pPr>
        <w:pStyle w:val="Heading3"/>
        <w:spacing w:after="90" w:before="200"/>
      </w:pPr>
      <w:r>
        <w:rPr>
          <w:rFonts w:ascii="Calibri" w:cs="Calibri" w:eastAsia="Calibri" w:hAnsi="Calibri"/>
          <w:b/>
          <w:bCs/>
          <w:i/>
          <w:iCs/>
          <w:color w:val="5A5A5A"/>
          <w:sz w:val="21"/>
          <w:szCs w:val="21"/>
        </w:rPr>
        <w:t xml:space="preserve">6.3. Angles morts — en question / réponse</w:t>
      </w:r>
    </w:p>
    <w:p>
      <w:pPr>
        <w:pStyle w:val="ListParagraph"/>
        <w:numPr>
          <w:ilvl w:val="0"/>
          <w:numId w:val="2"/>
        </w:numPr>
        <w:spacing w:after="70" w:line="264"/>
        <w:jc w:val="both"/>
      </w:pPr>
      <w:r>
        <w:rPr>
          <w:rFonts w:ascii="Calibri" w:cs="Calibri" w:eastAsia="Calibri" w:hAnsi="Calibri"/>
          <w:b/>
          <w:bCs/>
          <w:color w:val="1A1A1A"/>
          <w:sz w:val="20"/>
          <w:szCs w:val="20"/>
        </w:rPr>
        <w:t xml:space="preserve">Q. Quand le Protocole n° 1 a-t-il été adopté ?</w:t>
      </w:r>
      <w:r>
        <w:rPr>
          <w:rFonts w:ascii="Calibri" w:cs="Calibri" w:eastAsia="Calibri" w:hAnsi="Calibri"/>
          <w:color w:val="1A1A1A"/>
          <w:sz w:val="20"/>
          <w:szCs w:val="20"/>
        </w:rPr>
        <w:t xml:space="preserve"> — Le </w:t>
      </w:r>
      <w:r>
        <w:rPr>
          <w:rFonts w:ascii="Calibri" w:cs="Calibri" w:eastAsia="Calibri" w:hAnsi="Calibri"/>
          <w:b/>
          <w:bCs/>
          <w:color w:val="1A1A1A"/>
          <w:sz w:val="20"/>
          <w:szCs w:val="20"/>
        </w:rPr>
        <w:t xml:space="preserve">20 mars 1952</w:t>
      </w:r>
      <w:r>
        <w:rPr>
          <w:rFonts w:ascii="Calibri" w:cs="Calibri" w:eastAsia="Calibri" w:hAnsi="Calibri"/>
          <w:color w:val="1A1A1A"/>
          <w:sz w:val="20"/>
          <w:szCs w:val="20"/>
        </w:rPr>
        <w:t xml:space="preserve"> (en vigueur en 1954) ; la France l’a ratifié en 1974.</w:t>
      </w:r>
    </w:p>
    <w:p>
      <w:pPr>
        <w:pStyle w:val="ListParagraph"/>
        <w:numPr>
          <w:ilvl w:val="0"/>
          <w:numId w:val="2"/>
        </w:numPr>
        <w:spacing w:after="70" w:line="264"/>
        <w:jc w:val="both"/>
      </w:pPr>
      <w:r>
        <w:rPr>
          <w:rFonts w:ascii="Calibri" w:cs="Calibri" w:eastAsia="Calibri" w:hAnsi="Calibri"/>
          <w:b/>
          <w:bCs/>
          <w:color w:val="1A1A1A"/>
          <w:sz w:val="20"/>
          <w:szCs w:val="20"/>
        </w:rPr>
        <w:t xml:space="preserve">Q. Qu’est-ce que la théorie du bilan ?</w:t>
      </w:r>
      <w:r>
        <w:rPr>
          <w:rFonts w:ascii="Calibri" w:cs="Calibri" w:eastAsia="Calibri" w:hAnsi="Calibri"/>
          <w:color w:val="1A1A1A"/>
          <w:sz w:val="20"/>
          <w:szCs w:val="20"/>
        </w:rPr>
        <w:t xml:space="preserve"> — Une opération n’est d’utilité publique que si ses atteintes à la propriété privée, son coût financier et ses inconvénients sociaux ne sont pas excessifs eu égard à l’intérêt qu’elle présente (</w:t>
      </w:r>
      <w:r>
        <w:rPr>
          <w:rFonts w:ascii="Calibri" w:cs="Calibri" w:eastAsia="Calibri" w:hAnsi="Calibri"/>
          <w:color w:val="E91E63"/>
          <w:sz w:val="20"/>
          <w:szCs w:val="20"/>
        </w:rPr>
        <w:t xml:space="preserve">Ville nouvelle Est</w:t>
      </w:r>
      <w:r>
        <w:rPr>
          <w:rFonts w:ascii="Calibri" w:cs="Calibri" w:eastAsia="Calibri" w:hAnsi="Calibri"/>
          <w:color w:val="1A1A1A"/>
          <w:sz w:val="20"/>
          <w:szCs w:val="20"/>
        </w:rPr>
        <w:t xml:space="preserve">, 1971).</w:t>
      </w:r>
    </w:p>
    <w:p>
      <w:pPr>
        <w:pStyle w:val="ListParagraph"/>
        <w:numPr>
          <w:ilvl w:val="0"/>
          <w:numId w:val="2"/>
        </w:numPr>
        <w:spacing w:after="70" w:line="264"/>
        <w:jc w:val="both"/>
      </w:pPr>
      <w:r>
        <w:rPr>
          <w:rFonts w:ascii="Calibri" w:cs="Calibri" w:eastAsia="Calibri" w:hAnsi="Calibri"/>
          <w:b/>
          <w:bCs/>
          <w:color w:val="1A1A1A"/>
          <w:sz w:val="20"/>
          <w:szCs w:val="20"/>
        </w:rPr>
        <w:t xml:space="preserve">Q. Le droit au respect des biens a-t-il un effet horizontal ?</w:t>
      </w:r>
      <w:r>
        <w:rPr>
          <w:rFonts w:ascii="Calibri" w:cs="Calibri" w:eastAsia="Calibri" w:hAnsi="Calibri"/>
          <w:color w:val="1A1A1A"/>
          <w:sz w:val="20"/>
          <w:szCs w:val="20"/>
        </w:rPr>
        <w:t xml:space="preserve"> — Oui : l’État doit protéger la propriété dans les rapports entre particuliers et assurer l’exécution des décisions (</w:t>
      </w:r>
      <w:r>
        <w:rPr>
          <w:rFonts w:ascii="Calibri" w:cs="Calibri" w:eastAsia="Calibri" w:hAnsi="Calibri"/>
          <w:color w:val="E91E63"/>
          <w:sz w:val="20"/>
          <w:szCs w:val="20"/>
        </w:rPr>
        <w:t xml:space="preserve">Zolotas (n° 2)</w:t>
      </w:r>
      <w:r>
        <w:rPr>
          <w:rFonts w:ascii="Calibri" w:cs="Calibri" w:eastAsia="Calibri" w:hAnsi="Calibri"/>
          <w:color w:val="1A1A1A"/>
          <w:sz w:val="20"/>
          <w:szCs w:val="20"/>
        </w:rPr>
        <w:t xml:space="preserve">, 2013).</w:t>
      </w:r>
    </w:p>
    <w:p>
      <w:pPr>
        <w:pStyle w:val="ListParagraph"/>
        <w:numPr>
          <w:ilvl w:val="0"/>
          <w:numId w:val="2"/>
        </w:numPr>
        <w:spacing w:after="70" w:line="264"/>
        <w:jc w:val="both"/>
      </w:pPr>
      <w:r>
        <w:rPr>
          <w:rFonts w:ascii="Calibri" w:cs="Calibri" w:eastAsia="Calibri" w:hAnsi="Calibri"/>
          <w:b/>
          <w:bCs/>
          <w:color w:val="1A1A1A"/>
          <w:sz w:val="20"/>
          <w:szCs w:val="20"/>
        </w:rPr>
        <w:t xml:space="preserve">Q. Qu’a jugé le Conseil constitutionnel en 1986 sur les privatisations ?</w:t>
      </w:r>
      <w:r>
        <w:rPr>
          <w:rFonts w:ascii="Calibri" w:cs="Calibri" w:eastAsia="Calibri" w:hAnsi="Calibri"/>
          <w:color w:val="1A1A1A"/>
          <w:sz w:val="20"/>
          <w:szCs w:val="20"/>
        </w:rPr>
        <w:t xml:space="preserve"> — Que les biens publics ne peuvent être cédés à un prix inférieur à leur valeur, en vertu des </w:t>
      </w:r>
      <w:r>
        <w:rPr>
          <w:rFonts w:ascii="Calibri" w:cs="Calibri" w:eastAsia="Calibri" w:hAnsi="Calibri"/>
          <w:color w:val="1E88E5"/>
          <w:sz w:val="20"/>
          <w:szCs w:val="20"/>
        </w:rPr>
        <w:t xml:space="preserve">art. 17</w:t>
      </w:r>
      <w:r>
        <w:rPr>
          <w:rFonts w:ascii="Calibri" w:cs="Calibri" w:eastAsia="Calibri" w:hAnsi="Calibri"/>
          <w:color w:val="1A1A1A"/>
          <w:sz w:val="20"/>
          <w:szCs w:val="20"/>
        </w:rPr>
        <w:t xml:space="preserve"> et de l’égalité (</w:t>
      </w:r>
      <w:r>
        <w:rPr>
          <w:rFonts w:ascii="Calibri" w:cs="Calibri" w:eastAsia="Calibri" w:hAnsi="Calibri"/>
          <w:color w:val="E91E63"/>
          <w:sz w:val="20"/>
          <w:szCs w:val="20"/>
        </w:rPr>
        <w:t xml:space="preserve">86-207 DC</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Q. La propriété intellectuelle relève-t-elle du droit de propriété constitutionnel ?</w:t>
      </w:r>
      <w:r>
        <w:rPr>
          <w:rFonts w:ascii="Calibri" w:cs="Calibri" w:eastAsia="Calibri" w:hAnsi="Calibri"/>
          <w:color w:val="1A1A1A"/>
          <w:sz w:val="20"/>
          <w:szCs w:val="20"/>
        </w:rPr>
        <w:t xml:space="preserve"> — Oui (</w:t>
      </w:r>
      <w:r>
        <w:rPr>
          <w:rFonts w:ascii="Calibri" w:cs="Calibri" w:eastAsia="Calibri" w:hAnsi="Calibri"/>
          <w:color w:val="E91E63"/>
          <w:sz w:val="20"/>
          <w:szCs w:val="20"/>
        </w:rPr>
        <w:t xml:space="preserve">2006-540 DC</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2009-580 DC</w:t>
      </w:r>
      <w:r>
        <w:rPr>
          <w:rFonts w:ascii="Calibri" w:cs="Calibri" w:eastAsia="Calibri" w:hAnsi="Calibri"/>
          <w:color w:val="1A1A1A"/>
          <w:sz w:val="20"/>
          <w:szCs w:val="20"/>
        </w:rPr>
        <w:t xml:space="preserve">) ; l’</w:t>
      </w:r>
      <w:r>
        <w:rPr>
          <w:rFonts w:ascii="Calibri" w:cs="Calibri" w:eastAsia="Calibri" w:hAnsi="Calibri"/>
          <w:color w:val="1E88E5"/>
          <w:sz w:val="20"/>
          <w:szCs w:val="20"/>
        </w:rPr>
        <w:t xml:space="preserve">art. 17 § 2 CDFUE</w:t>
      </w:r>
      <w:r>
        <w:rPr>
          <w:rFonts w:ascii="Calibri" w:cs="Calibri" w:eastAsia="Calibri" w:hAnsi="Calibri"/>
          <w:color w:val="1A1A1A"/>
          <w:sz w:val="20"/>
          <w:szCs w:val="20"/>
        </w:rPr>
        <w:t xml:space="preserve"> le dit expressément.</w:t>
      </w:r>
    </w:p>
    <w:p>
      <w:r>
        <w:br w:type="page"/>
      </w:r>
    </w:p>
    <w:p>
      <w:pPr>
        <w:pStyle w:val="Heading1"/>
        <w:pBdr>
          <w:bottom w:val="single" w:color="8C1C2B" w:sz="12" w:space="6"/>
        </w:pBdr>
        <w:spacing w:after="200" w:before="240"/>
      </w:pPr>
      <w:r>
        <w:rPr>
          <w:rFonts w:ascii="Calibri" w:cs="Calibri" w:eastAsia="Calibri" w:hAnsi="Calibri"/>
          <w:b/>
          <w:bCs/>
          <w:color w:val="8C1C2B"/>
          <w:sz w:val="30"/>
          <w:szCs w:val="30"/>
        </w:rPr>
        <w:t xml:space="preserve">FICHE N° 47 — LE DROIT À L’ÉDUCATION ET À LA FORMATION</w:t>
      </w:r>
    </w:p>
    <w:p>
      <w:pPr>
        <w:pStyle w:val="Heading2"/>
        <w:spacing w:after="120" w:before="280"/>
      </w:pPr>
      <w:r>
        <w:rPr>
          <w:rFonts w:ascii="Calibri" w:cs="Calibri" w:eastAsia="Calibri" w:hAnsi="Calibri"/>
          <w:b/>
          <w:bCs/>
          <w:color w:val="1A1A1A"/>
          <w:sz w:val="24"/>
          <w:szCs w:val="24"/>
        </w:rPr>
        <w:t xml:space="preserve">◆ FICHE-MÉMOIRE — à réviser en trois minutes</w:t>
      </w:r>
    </w:p>
    <w:p>
      <w:pPr>
        <w:pStyle w:val="Heading3"/>
        <w:spacing w:after="90" w:before="200"/>
      </w:pPr>
      <w:r>
        <w:rPr>
          <w:rFonts w:ascii="Calibri" w:cs="Calibri" w:eastAsia="Calibri" w:hAnsi="Calibri"/>
          <w:b/>
          <w:bCs/>
          <w:i/>
          <w:iCs/>
          <w:color w:val="5A5A5A"/>
          <w:sz w:val="21"/>
          <w:szCs w:val="21"/>
        </w:rPr>
        <w:t xml:space="preserve">Accroche</w:t>
      </w:r>
    </w:p>
    <w:p>
      <w:pPr>
        <w:pStyle w:val="ListParagraph"/>
        <w:numPr>
          <w:ilvl w:val="0"/>
          <w:numId w:val="2"/>
        </w:numPr>
        <w:spacing w:after="70" w:line="264"/>
        <w:jc w:val="both"/>
      </w:pPr>
      <w:r>
        <w:rPr>
          <w:rFonts w:ascii="Calibri" w:cs="Calibri" w:eastAsia="Calibri" w:hAnsi="Calibri"/>
          <w:color w:val="1A1A1A"/>
          <w:sz w:val="20"/>
          <w:szCs w:val="20"/>
        </w:rPr>
        <w:t xml:space="preserve">En 1964, </w:t>
      </w:r>
      <w:r>
        <w:rPr>
          <w:rFonts w:ascii="Calibri" w:cs="Calibri" w:eastAsia="Calibri" w:hAnsi="Calibri"/>
          <w:color w:val="2E7D32"/>
          <w:sz w:val="20"/>
          <w:szCs w:val="20"/>
        </w:rPr>
        <w:t xml:space="preserve">Pierre Bourdieu et Jean-Claude Passeron</w:t>
      </w:r>
      <w:r>
        <w:rPr>
          <w:rFonts w:ascii="Calibri" w:cs="Calibri" w:eastAsia="Calibri" w:hAnsi="Calibri"/>
          <w:color w:val="1A1A1A"/>
          <w:sz w:val="20"/>
          <w:szCs w:val="20"/>
        </w:rPr>
        <w:t xml:space="preserve"> publient </w:t>
      </w:r>
      <w:r>
        <w:rPr>
          <w:rFonts w:ascii="Calibri" w:cs="Calibri" w:eastAsia="Calibri" w:hAnsi="Calibri"/>
          <w:color w:val="2E7D32"/>
          <w:sz w:val="20"/>
          <w:szCs w:val="20"/>
        </w:rPr>
        <w:t xml:space="preserve">Les Héritiers</w:t>
      </w:r>
      <w:r>
        <w:rPr>
          <w:rFonts w:ascii="Calibri" w:cs="Calibri" w:eastAsia="Calibri" w:hAnsi="Calibri"/>
          <w:color w:val="1A1A1A"/>
          <w:sz w:val="20"/>
          <w:szCs w:val="20"/>
        </w:rPr>
        <w:t xml:space="preserve"> : l’école républicaine, gratuite et obligatoire, reproduit les inégalités qu’elle prétend corriger. Soixante ans plus tard, la Cour des comptes dresse le constat d’un système primaire « en situation d’échec » où « les inégalités s’aggravent » (rapport de mai 2025, sujet « Pour s’entraîner ») : </w:t>
      </w:r>
      <w:r>
        <w:rPr>
          <w:rFonts w:ascii="Calibri" w:cs="Calibri" w:eastAsia="Calibri" w:hAnsi="Calibri"/>
          <w:b/>
          <w:bCs/>
          <w:color w:val="1A1A1A"/>
          <w:sz w:val="20"/>
          <w:szCs w:val="20"/>
        </w:rPr>
        <w:t xml:space="preserve">le droit à l’éducation se mesure moins à l’accès qu’à l’égalité des chances qu’il produit</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color w:val="1A1A1A"/>
          <w:sz w:val="20"/>
          <w:szCs w:val="20"/>
        </w:rPr>
        <w:t xml:space="preserve">Accroche alternative : l’</w:t>
      </w:r>
      <w:r>
        <w:rPr>
          <w:rFonts w:ascii="Calibri" w:cs="Calibri" w:eastAsia="Calibri" w:hAnsi="Calibri"/>
          <w:color w:val="1E88E5"/>
          <w:sz w:val="20"/>
          <w:szCs w:val="20"/>
        </w:rPr>
        <w:t xml:space="preserve">alinéa 13 du Préambule de 1946</w:t>
      </w:r>
      <w:r>
        <w:rPr>
          <w:rFonts w:ascii="Calibri" w:cs="Calibri" w:eastAsia="Calibri" w:hAnsi="Calibri"/>
          <w:color w:val="1A1A1A"/>
          <w:sz w:val="20"/>
          <w:szCs w:val="20"/>
        </w:rPr>
        <w:t xml:space="preserve"> promet « l’égal accès de l’enfant et de l’adulte à l’instruction, à la formation professionnelle et à la culture ». C’est l’un des rares droits-créances dont le Conseil constitutionnel a tiré une exigence précise : la </w:t>
      </w:r>
      <w:r>
        <w:rPr>
          <w:rFonts w:ascii="Calibri" w:cs="Calibri" w:eastAsia="Calibri" w:hAnsi="Calibri"/>
          <w:b/>
          <w:bCs/>
          <w:color w:val="1A1A1A"/>
          <w:sz w:val="20"/>
          <w:szCs w:val="20"/>
        </w:rPr>
        <w:t xml:space="preserve">gratuité</w:t>
      </w:r>
      <w:r>
        <w:rPr>
          <w:rFonts w:ascii="Calibri" w:cs="Calibri" w:eastAsia="Calibri" w:hAnsi="Calibri"/>
          <w:color w:val="1A1A1A"/>
          <w:sz w:val="20"/>
          <w:szCs w:val="20"/>
        </w:rPr>
        <w:t xml:space="preserve"> de l’enseignement public, jusqu’à l’université (</w:t>
      </w:r>
      <w:r>
        <w:rPr>
          <w:rFonts w:ascii="Calibri" w:cs="Calibri" w:eastAsia="Calibri" w:hAnsi="Calibri"/>
          <w:color w:val="E91E63"/>
          <w:sz w:val="20"/>
          <w:szCs w:val="20"/>
        </w:rPr>
        <w:t xml:space="preserve">2019-809 QPC</w:t>
      </w:r>
      <w:r>
        <w:rPr>
          <w:rFonts w:ascii="Calibri" w:cs="Calibri" w:eastAsia="Calibri" w:hAnsi="Calibri"/>
          <w:color w:val="1A1A1A"/>
          <w:sz w:val="20"/>
          <w:szCs w:val="20"/>
        </w:rPr>
        <w:t xml:space="preserve">).</w:t>
      </w:r>
    </w:p>
    <w:p>
      <w:pPr>
        <w:pStyle w:val="Heading3"/>
        <w:spacing w:after="90" w:before="200"/>
      </w:pPr>
      <w:r>
        <w:rPr>
          <w:rFonts w:ascii="Calibri" w:cs="Calibri" w:eastAsia="Calibri" w:hAnsi="Calibri"/>
          <w:b/>
          <w:bCs/>
          <w:i/>
          <w:iCs/>
          <w:color w:val="5A5A5A"/>
          <w:sz w:val="21"/>
          <w:szCs w:val="21"/>
        </w:rPr>
        <w:t xml:space="preserve">Définition en trois lignes</w:t>
      </w:r>
    </w:p>
    <w:p>
      <w:pPr>
        <w:pStyle w:val="ListParagraph"/>
        <w:numPr>
          <w:ilvl w:val="0"/>
          <w:numId w:val="2"/>
        </w:numPr>
        <w:spacing w:after="70" w:line="264"/>
        <w:jc w:val="both"/>
      </w:pPr>
      <w:r>
        <w:rPr>
          <w:rFonts w:ascii="Calibri" w:cs="Calibri" w:eastAsia="Calibri" w:hAnsi="Calibri"/>
          <w:color w:val="1A1A1A"/>
          <w:sz w:val="20"/>
          <w:szCs w:val="20"/>
        </w:rPr>
        <w:t xml:space="preserve">Le droit à l’éducation et à la formation garantit à toute personne, enfant ou adulte, l’accès à l’instruction et à la formation professionnelle tout au long de la vie ; il a une double nature : </w:t>
      </w:r>
      <w:r>
        <w:rPr>
          <w:rFonts w:ascii="Calibri" w:cs="Calibri" w:eastAsia="Calibri" w:hAnsi="Calibri"/>
          <w:b/>
          <w:bCs/>
          <w:color w:val="1A1A1A"/>
          <w:sz w:val="20"/>
          <w:szCs w:val="20"/>
        </w:rPr>
        <w:t xml:space="preserve">droit</w:t>
      </w:r>
      <w:r>
        <w:rPr>
          <w:rFonts w:ascii="Calibri" w:cs="Calibri" w:eastAsia="Calibri" w:hAnsi="Calibri"/>
          <w:color w:val="1A1A1A"/>
          <w:sz w:val="20"/>
          <w:szCs w:val="20"/>
        </w:rPr>
        <w:t xml:space="preserve"> de l’individu et </w:t>
      </w:r>
      <w:r>
        <w:rPr>
          <w:rFonts w:ascii="Calibri" w:cs="Calibri" w:eastAsia="Calibri" w:hAnsi="Calibri"/>
          <w:b/>
          <w:bCs/>
          <w:color w:val="1A1A1A"/>
          <w:sz w:val="20"/>
          <w:szCs w:val="20"/>
        </w:rPr>
        <w:t xml:space="preserve">obligation</w:t>
      </w:r>
      <w:r>
        <w:rPr>
          <w:rFonts w:ascii="Calibri" w:cs="Calibri" w:eastAsia="Calibri" w:hAnsi="Calibri"/>
          <w:color w:val="1A1A1A"/>
          <w:sz w:val="20"/>
          <w:szCs w:val="20"/>
        </w:rPr>
        <w:t xml:space="preserve"> (instruction obligatoire de 3 à 16 ans, formation jusqu’à 18 ans).</w:t>
      </w:r>
    </w:p>
    <w:p>
      <w:pPr>
        <w:pStyle w:val="ListParagraph"/>
        <w:numPr>
          <w:ilvl w:val="0"/>
          <w:numId w:val="2"/>
        </w:numPr>
        <w:spacing w:after="70" w:line="264"/>
        <w:jc w:val="both"/>
      </w:pPr>
      <w:r>
        <w:rPr>
          <w:rFonts w:ascii="Calibri" w:cs="Calibri" w:eastAsia="Calibri" w:hAnsi="Calibri"/>
          <w:color w:val="1A1A1A"/>
          <w:sz w:val="20"/>
          <w:szCs w:val="20"/>
        </w:rPr>
        <w:t xml:space="preserve">Il implique des obligations négatives (ne pas refuser l’accès, ne pas endoctriner) et </w:t>
      </w:r>
      <w:r>
        <w:rPr>
          <w:rFonts w:ascii="Calibri" w:cs="Calibri" w:eastAsia="Calibri" w:hAnsi="Calibri"/>
          <w:b/>
          <w:bCs/>
          <w:color w:val="1A1A1A"/>
          <w:sz w:val="20"/>
          <w:szCs w:val="20"/>
        </w:rPr>
        <w:t xml:space="preserve">positives</w:t>
      </w:r>
      <w:r>
        <w:rPr>
          <w:rFonts w:ascii="Calibri" w:cs="Calibri" w:eastAsia="Calibri" w:hAnsi="Calibri"/>
          <w:color w:val="1A1A1A"/>
          <w:sz w:val="20"/>
          <w:szCs w:val="20"/>
        </w:rPr>
        <w:t xml:space="preserve"> (gratuité, égalité des chances, aménagements raisonnables pour les élèves handicapés, protection de l’élève) ; il se distingue de la </w:t>
      </w:r>
      <w:r>
        <w:rPr>
          <w:rFonts w:ascii="Calibri" w:cs="Calibri" w:eastAsia="Calibri" w:hAnsi="Calibri"/>
          <w:b/>
          <w:bCs/>
          <w:color w:val="1A1A1A"/>
          <w:sz w:val="20"/>
          <w:szCs w:val="20"/>
        </w:rPr>
        <w:t xml:space="preserve">liberté de l’enseignement</w:t>
      </w:r>
      <w:r>
        <w:rPr>
          <w:rFonts w:ascii="Calibri" w:cs="Calibri" w:eastAsia="Calibri" w:hAnsi="Calibri"/>
          <w:color w:val="1A1A1A"/>
          <w:sz w:val="20"/>
          <w:szCs w:val="20"/>
        </w:rPr>
        <w:t xml:space="preserve"> (fiche 41).</w:t>
      </w:r>
    </w:p>
    <w:p>
      <w:pPr>
        <w:pStyle w:val="Heading3"/>
        <w:spacing w:after="90" w:before="200"/>
      </w:pPr>
      <w:r>
        <w:rPr>
          <w:rFonts w:ascii="Calibri" w:cs="Calibri" w:eastAsia="Calibri" w:hAnsi="Calibri"/>
          <w:b/>
          <w:bCs/>
          <w:i/>
          <w:iCs/>
          <w:color w:val="5A5A5A"/>
          <w:sz w:val="21"/>
          <w:szCs w:val="21"/>
        </w:rPr>
        <w:t xml:space="preserve">Les cinq références incontournables</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Al. 13 Préambule 1946</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2 du Protocole n° 1 CEDH</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13 et 14 PIDESC</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28 et 29 CIDE</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14 CDFUE</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10 et 15 Charte sociale européenne révisée</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L. 111-1, L. 112-1 et L. 131-1 C. éduc.</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Cons. const., déc. n° 2019-809 QPC, 11 octobre 2019, UNEDESEP</w:t>
      </w:r>
      <w:r>
        <w:rPr>
          <w:rFonts w:ascii="Calibri" w:cs="Calibri" w:eastAsia="Calibri" w:hAnsi="Calibri"/>
          <w:color w:val="1A1A1A"/>
          <w:sz w:val="20"/>
          <w:szCs w:val="20"/>
        </w:rPr>
        <w:t xml:space="preserve"> : l’exigence de </w:t>
      </w:r>
      <w:r>
        <w:rPr>
          <w:rFonts w:ascii="Calibri" w:cs="Calibri" w:eastAsia="Calibri" w:hAnsi="Calibri"/>
          <w:b/>
          <w:bCs/>
          <w:color w:val="1A1A1A"/>
          <w:sz w:val="20"/>
          <w:szCs w:val="20"/>
        </w:rPr>
        <w:t xml:space="preserve">gratuité</w:t>
      </w:r>
      <w:r>
        <w:rPr>
          <w:rFonts w:ascii="Calibri" w:cs="Calibri" w:eastAsia="Calibri" w:hAnsi="Calibri"/>
          <w:color w:val="1A1A1A"/>
          <w:sz w:val="20"/>
          <w:szCs w:val="20"/>
        </w:rPr>
        <w:t xml:space="preserve"> s’applique à l’enseignement supérieur public, qui admet des droits d’inscription modiques.</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CEDH, 23 juillet 1968, Affaire linguistique belge</w:t>
      </w:r>
      <w:r>
        <w:rPr>
          <w:rFonts w:ascii="Calibri" w:cs="Calibri" w:eastAsia="Calibri" w:hAnsi="Calibri"/>
          <w:color w:val="1A1A1A"/>
          <w:sz w:val="20"/>
          <w:szCs w:val="20"/>
        </w:rPr>
        <w:t xml:space="preserve"> : la formule négative de l’</w:t>
      </w:r>
      <w:r>
        <w:rPr>
          <w:rFonts w:ascii="Calibri" w:cs="Calibri" w:eastAsia="Calibri" w:hAnsi="Calibri"/>
          <w:color w:val="1E88E5"/>
          <w:sz w:val="20"/>
          <w:szCs w:val="20"/>
        </w:rPr>
        <w:t xml:space="preserve">art. 2 Prot. 1</w:t>
      </w:r>
      <w:r>
        <w:rPr>
          <w:rFonts w:ascii="Calibri" w:cs="Calibri" w:eastAsia="Calibri" w:hAnsi="Calibri"/>
          <w:color w:val="1A1A1A"/>
          <w:sz w:val="20"/>
          <w:szCs w:val="20"/>
        </w:rPr>
        <w:t xml:space="preserve"> n’impose pas d’organiser un enseignement d’une forme déterminée, mais garantit l’</w:t>
      </w:r>
      <w:r>
        <w:rPr>
          <w:rFonts w:ascii="Calibri" w:cs="Calibri" w:eastAsia="Calibri" w:hAnsi="Calibri"/>
          <w:b/>
          <w:bCs/>
          <w:color w:val="1A1A1A"/>
          <w:sz w:val="20"/>
          <w:szCs w:val="20"/>
        </w:rPr>
        <w:t xml:space="preserve">accès</w:t>
      </w:r>
      <w:r>
        <w:rPr>
          <w:rFonts w:ascii="Calibri" w:cs="Calibri" w:eastAsia="Calibri" w:hAnsi="Calibri"/>
          <w:color w:val="1A1A1A"/>
          <w:sz w:val="20"/>
          <w:szCs w:val="20"/>
        </w:rPr>
        <w:t xml:space="preserve"> aux établissements existants sans discrimination.</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CEDH [GC], 13 novembre 2007, D.H. et autres c. République tchèque</w:t>
      </w:r>
      <w:r>
        <w:rPr>
          <w:rFonts w:ascii="Calibri" w:cs="Calibri" w:eastAsia="Calibri" w:hAnsi="Calibri"/>
          <w:color w:val="1A1A1A"/>
          <w:sz w:val="20"/>
          <w:szCs w:val="20"/>
        </w:rPr>
        <w:t xml:space="preserve"> : la scolarisation des enfants roms dans des écoles spéciales constitue une </w:t>
      </w:r>
      <w:r>
        <w:rPr>
          <w:rFonts w:ascii="Calibri" w:cs="Calibri" w:eastAsia="Calibri" w:hAnsi="Calibri"/>
          <w:b/>
          <w:bCs/>
          <w:color w:val="1A1A1A"/>
          <w:sz w:val="20"/>
          <w:szCs w:val="20"/>
        </w:rPr>
        <w:t xml:space="preserve">discrimination indirecte</w:t>
      </w:r>
      <w:r>
        <w:rPr>
          <w:rFonts w:ascii="Calibri" w:cs="Calibri" w:eastAsia="Calibri" w:hAnsi="Calibri"/>
          <w:color w:val="1A1A1A"/>
          <w:sz w:val="20"/>
          <w:szCs w:val="20"/>
        </w:rPr>
        <w:t xml:space="preserve"> (fiche 54).</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 8 avril 2009, M. et Mme Laruelle, n° 311434</w:t>
      </w:r>
      <w:r>
        <w:rPr>
          <w:rFonts w:ascii="Calibri" w:cs="Calibri" w:eastAsia="Calibri" w:hAnsi="Calibri"/>
          <w:color w:val="1A1A1A"/>
          <w:sz w:val="20"/>
          <w:szCs w:val="20"/>
        </w:rPr>
        <w:t xml:space="preserve"> : l’État a une </w:t>
      </w:r>
      <w:r>
        <w:rPr>
          <w:rFonts w:ascii="Calibri" w:cs="Calibri" w:eastAsia="Calibri" w:hAnsi="Calibri"/>
          <w:b/>
          <w:bCs/>
          <w:color w:val="1A1A1A"/>
          <w:sz w:val="20"/>
          <w:szCs w:val="20"/>
        </w:rPr>
        <w:t xml:space="preserve">obligation de résultat</w:t>
      </w:r>
      <w:r>
        <w:rPr>
          <w:rFonts w:ascii="Calibri" w:cs="Calibri" w:eastAsia="Calibri" w:hAnsi="Calibri"/>
          <w:color w:val="1A1A1A"/>
          <w:sz w:val="20"/>
          <w:szCs w:val="20"/>
        </w:rPr>
        <w:t xml:space="preserve"> de scolarisation des enfants handicapés ; sa carence engage sa responsabilité.</w:t>
      </w:r>
    </w:p>
    <w:p>
      <w:pPr>
        <w:pStyle w:val="Heading3"/>
        <w:spacing w:after="90" w:before="200"/>
      </w:pPr>
      <w:r>
        <w:rPr>
          <w:rFonts w:ascii="Calibri" w:cs="Calibri" w:eastAsia="Calibri" w:hAnsi="Calibri"/>
          <w:b/>
          <w:bCs/>
          <w:i/>
          <w:iCs/>
          <w:color w:val="5A5A5A"/>
          <w:sz w:val="21"/>
          <w:szCs w:val="21"/>
        </w:rPr>
        <w:t xml:space="preserve">Deux matrices de plan</w:t>
      </w:r>
    </w:p>
    <w:p>
      <w:pPr>
        <w:pStyle w:val="ListParagraph"/>
        <w:numPr>
          <w:ilvl w:val="0"/>
          <w:numId w:val="2"/>
        </w:numPr>
        <w:spacing w:after="70" w:line="264"/>
        <w:jc w:val="both"/>
      </w:pPr>
      <w:r>
        <w:rPr>
          <w:rFonts w:ascii="Calibri" w:cs="Calibri" w:eastAsia="Calibri" w:hAnsi="Calibri"/>
          <w:b/>
          <w:bCs/>
          <w:color w:val="1A1A1A"/>
          <w:sz w:val="20"/>
          <w:szCs w:val="20"/>
        </w:rPr>
        <w:t xml:space="preserve">Sujet « Le droit à l’éducation »</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I. Un droit-créance consacré</w:t>
      </w:r>
      <w:r>
        <w:rPr>
          <w:rFonts w:ascii="Calibri" w:cs="Calibri" w:eastAsia="Calibri" w:hAnsi="Calibri"/>
          <w:color w:val="1A1A1A"/>
          <w:sz w:val="20"/>
          <w:szCs w:val="20"/>
        </w:rPr>
        <w:t xml:space="preserve"> (A. Des sources convergentes : </w:t>
      </w:r>
      <w:r>
        <w:rPr>
          <w:rFonts w:ascii="Calibri" w:cs="Calibri" w:eastAsia="Calibri" w:hAnsi="Calibri"/>
          <w:color w:val="1E88E5"/>
          <w:sz w:val="20"/>
          <w:szCs w:val="20"/>
        </w:rPr>
        <w:t xml:space="preserve">al. 13</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art. 2 Prot. 1</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art. 13 PIDESC</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art. 28 CIDE</w:t>
      </w:r>
      <w:r>
        <w:rPr>
          <w:rFonts w:ascii="Calibri" w:cs="Calibri" w:eastAsia="Calibri" w:hAnsi="Calibri"/>
          <w:color w:val="1A1A1A"/>
          <w:sz w:val="20"/>
          <w:szCs w:val="20"/>
        </w:rPr>
        <w:t xml:space="preserve"> ; B. Des principes structurants : gratuité </w:t>
      </w:r>
      <w:r>
        <w:rPr>
          <w:rFonts w:ascii="Calibri" w:cs="Calibri" w:eastAsia="Calibri" w:hAnsi="Calibri"/>
          <w:color w:val="E91E63"/>
          <w:sz w:val="20"/>
          <w:szCs w:val="20"/>
        </w:rPr>
        <w:t xml:space="preserve">2019-809 QPC</w:t>
      </w:r>
      <w:r>
        <w:rPr>
          <w:rFonts w:ascii="Calibri" w:cs="Calibri" w:eastAsia="Calibri" w:hAnsi="Calibri"/>
          <w:color w:val="1A1A1A"/>
          <w:sz w:val="20"/>
          <w:szCs w:val="20"/>
        </w:rPr>
        <w:t xml:space="preserve">, obligation </w:t>
      </w:r>
      <w:r>
        <w:rPr>
          <w:rFonts w:ascii="Calibri" w:cs="Calibri" w:eastAsia="Calibri" w:hAnsi="Calibri"/>
          <w:color w:val="1E88E5"/>
          <w:sz w:val="20"/>
          <w:szCs w:val="20"/>
        </w:rPr>
        <w:t xml:space="preserve">L. 131-1</w:t>
      </w:r>
      <w:r>
        <w:rPr>
          <w:rFonts w:ascii="Calibri" w:cs="Calibri" w:eastAsia="Calibri" w:hAnsi="Calibri"/>
          <w:color w:val="1A1A1A"/>
          <w:sz w:val="20"/>
          <w:szCs w:val="20"/>
        </w:rPr>
        <w:t xml:space="preserve">, neutralité) / </w:t>
      </w:r>
      <w:r>
        <w:rPr>
          <w:rFonts w:ascii="Calibri" w:cs="Calibri" w:eastAsia="Calibri" w:hAnsi="Calibri"/>
          <w:b/>
          <w:bCs/>
          <w:color w:val="1A1A1A"/>
          <w:sz w:val="20"/>
          <w:szCs w:val="20"/>
        </w:rPr>
        <w:t xml:space="preserve">II. Un droit à l’effectivité inégale</w:t>
      </w:r>
      <w:r>
        <w:rPr>
          <w:rFonts w:ascii="Calibri" w:cs="Calibri" w:eastAsia="Calibri" w:hAnsi="Calibri"/>
          <w:color w:val="1A1A1A"/>
          <w:sz w:val="20"/>
          <w:szCs w:val="20"/>
        </w:rPr>
        <w:t xml:space="preserve"> (A. Les exigences d’égalité : handicap (</w:t>
      </w:r>
      <w:r>
        <w:rPr>
          <w:rFonts w:ascii="Calibri" w:cs="Calibri" w:eastAsia="Calibri" w:hAnsi="Calibri"/>
          <w:color w:val="E91E63"/>
          <w:sz w:val="20"/>
          <w:szCs w:val="20"/>
        </w:rPr>
        <w:t xml:space="preserve">Laruelle</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G.L. c. Italie</w:t>
      </w:r>
      <w:r>
        <w:rPr>
          <w:rFonts w:ascii="Calibri" w:cs="Calibri" w:eastAsia="Calibri" w:hAnsi="Calibri"/>
          <w:color w:val="1A1A1A"/>
          <w:sz w:val="20"/>
          <w:szCs w:val="20"/>
        </w:rPr>
        <w:t xml:space="preserve">), mixité, sélection (</w:t>
      </w:r>
      <w:r>
        <w:rPr>
          <w:rFonts w:ascii="Calibri" w:cs="Calibri" w:eastAsia="Calibri" w:hAnsi="Calibri"/>
          <w:color w:val="E91E63"/>
          <w:sz w:val="20"/>
          <w:szCs w:val="20"/>
        </w:rPr>
        <w:t xml:space="preserve">2001-450 DC</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2020-834 QPC</w:t>
      </w:r>
      <w:r>
        <w:rPr>
          <w:rFonts w:ascii="Calibri" w:cs="Calibri" w:eastAsia="Calibri" w:hAnsi="Calibri"/>
          <w:color w:val="1A1A1A"/>
          <w:sz w:val="20"/>
          <w:szCs w:val="20"/>
        </w:rPr>
        <w:t xml:space="preserve">) ; B. Les limites de la justiciabilité : marge de l’État, </w:t>
      </w:r>
      <w:r>
        <w:rPr>
          <w:rFonts w:ascii="Calibri" w:cs="Calibri" w:eastAsia="Calibri" w:hAnsi="Calibri"/>
          <w:color w:val="E91E63"/>
          <w:sz w:val="20"/>
          <w:szCs w:val="20"/>
        </w:rPr>
        <w:t xml:space="preserve">CE, ord., 23 avril 2026</w:t>
      </w:r>
      <w:r>
        <w:rPr>
          <w:rFonts w:ascii="Calibri" w:cs="Calibri" w:eastAsia="Calibri" w:hAnsi="Calibri"/>
          <w:color w:val="1A1A1A"/>
          <w:sz w:val="20"/>
          <w:szCs w:val="20"/>
        </w:rPr>
        <w:t xml:space="preserve">, constat d’échec de la Cour des comptes).</w:t>
      </w:r>
    </w:p>
    <w:p>
      <w:pPr>
        <w:pStyle w:val="ListParagraph"/>
        <w:numPr>
          <w:ilvl w:val="0"/>
          <w:numId w:val="2"/>
        </w:numPr>
        <w:spacing w:after="70" w:line="264"/>
        <w:jc w:val="both"/>
      </w:pPr>
      <w:r>
        <w:rPr>
          <w:rFonts w:ascii="Calibri" w:cs="Calibri" w:eastAsia="Calibri" w:hAnsi="Calibri"/>
          <w:b/>
          <w:bCs/>
          <w:color w:val="1A1A1A"/>
          <w:sz w:val="20"/>
          <w:szCs w:val="20"/>
        </w:rPr>
        <w:t xml:space="preserve">Sujet « L’école, institution d’égalité ? »</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I. L’égalité proclamée</w:t>
      </w:r>
      <w:r>
        <w:rPr>
          <w:rFonts w:ascii="Calibri" w:cs="Calibri" w:eastAsia="Calibri" w:hAnsi="Calibri"/>
          <w:color w:val="1A1A1A"/>
          <w:sz w:val="20"/>
          <w:szCs w:val="20"/>
        </w:rPr>
        <w:t xml:space="preserve"> (A. Égal accès et gratuité ; B. Non-discrimination : </w:t>
      </w:r>
      <w:r>
        <w:rPr>
          <w:rFonts w:ascii="Calibri" w:cs="Calibri" w:eastAsia="Calibri" w:hAnsi="Calibri"/>
          <w:color w:val="E91E63"/>
          <w:sz w:val="20"/>
          <w:szCs w:val="20"/>
        </w:rPr>
        <w:t xml:space="preserve">D.H.</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Oršuš</w:t>
      </w:r>
      <w:r>
        <w:rPr>
          <w:rFonts w:ascii="Calibri" w:cs="Calibri" w:eastAsia="Calibri" w:hAnsi="Calibri"/>
          <w:color w:val="1A1A1A"/>
          <w:sz w:val="20"/>
          <w:szCs w:val="20"/>
        </w:rPr>
        <w:t xml:space="preserve">, étrangers </w:t>
      </w:r>
      <w:r>
        <w:rPr>
          <w:rFonts w:ascii="Calibri" w:cs="Calibri" w:eastAsia="Calibri" w:hAnsi="Calibri"/>
          <w:color w:val="E91E63"/>
          <w:sz w:val="20"/>
          <w:szCs w:val="20"/>
        </w:rPr>
        <w:t xml:space="preserve">Ponomaryovi</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II. L’égalité à construire</w:t>
      </w:r>
      <w:r>
        <w:rPr>
          <w:rFonts w:ascii="Calibri" w:cs="Calibri" w:eastAsia="Calibri" w:hAnsi="Calibri"/>
          <w:color w:val="1A1A1A"/>
          <w:sz w:val="20"/>
          <w:szCs w:val="20"/>
        </w:rPr>
        <w:t xml:space="preserve"> (A. Les discriminations positives territoriales et sociales : éducation prioritaire, </w:t>
      </w:r>
      <w:r>
        <w:rPr>
          <w:rFonts w:ascii="Calibri" w:cs="Calibri" w:eastAsia="Calibri" w:hAnsi="Calibri"/>
          <w:color w:val="E91E63"/>
          <w:sz w:val="20"/>
          <w:szCs w:val="20"/>
        </w:rPr>
        <w:t xml:space="preserve">2001-450 DC</w:t>
      </w:r>
      <w:r>
        <w:rPr>
          <w:rFonts w:ascii="Calibri" w:cs="Calibri" w:eastAsia="Calibri" w:hAnsi="Calibri"/>
          <w:color w:val="1A1A1A"/>
          <w:sz w:val="20"/>
          <w:szCs w:val="20"/>
        </w:rPr>
        <w:t xml:space="preserve"> ; B. L’inclusion : aménagements raisonnables, harcèlement (</w:t>
      </w:r>
      <w:r>
        <w:rPr>
          <w:rFonts w:ascii="Calibri" w:cs="Calibri" w:eastAsia="Calibri" w:hAnsi="Calibri"/>
          <w:color w:val="1E88E5"/>
          <w:sz w:val="20"/>
          <w:szCs w:val="20"/>
        </w:rPr>
        <w:t xml:space="preserve">art. L. 111-6</w:t>
      </w:r>
      <w:r>
        <w:rPr>
          <w:rFonts w:ascii="Calibri" w:cs="Calibri" w:eastAsia="Calibri" w:hAnsi="Calibri"/>
          <w:color w:val="1A1A1A"/>
          <w:sz w:val="20"/>
          <w:szCs w:val="20"/>
        </w:rPr>
        <w:t xml:space="preserve">), protection contre les violences (</w:t>
      </w:r>
      <w:r>
        <w:rPr>
          <w:rFonts w:ascii="Calibri" w:cs="Calibri" w:eastAsia="Calibri" w:hAnsi="Calibri"/>
          <w:color w:val="E91E63"/>
          <w:sz w:val="20"/>
          <w:szCs w:val="20"/>
        </w:rPr>
        <w:t xml:space="preserve">O’Keeffe</w:t>
      </w:r>
      <w:r>
        <w:rPr>
          <w:rFonts w:ascii="Calibri" w:cs="Calibri" w:eastAsia="Calibri" w:hAnsi="Calibri"/>
          <w:color w:val="1A1A1A"/>
          <w:sz w:val="20"/>
          <w:szCs w:val="20"/>
        </w:rPr>
        <w:t xml:space="preserve">, 2014)).</w:t>
      </w:r>
    </w:p>
    <w:p>
      <w:pPr>
        <w:pStyle w:val="Heading3"/>
        <w:spacing w:after="90" w:before="200"/>
      </w:pPr>
      <w:r>
        <w:rPr>
          <w:rFonts w:ascii="Calibri" w:cs="Calibri" w:eastAsia="Calibri" w:hAnsi="Calibri"/>
          <w:b/>
          <w:bCs/>
          <w:i/>
          <w:iCs/>
          <w:color w:val="5A5A5A"/>
          <w:sz w:val="21"/>
          <w:szCs w:val="21"/>
        </w:rPr>
        <w:t xml:space="preserve">Trois pièges</w:t>
      </w:r>
    </w:p>
    <w:p>
      <w:pPr>
        <w:pStyle w:val="ListParagraph"/>
        <w:numPr>
          <w:ilvl w:val="0"/>
          <w:numId w:val="2"/>
        </w:numPr>
        <w:spacing w:after="70" w:line="264"/>
        <w:jc w:val="both"/>
      </w:pPr>
      <w:r>
        <w:rPr>
          <w:rFonts w:ascii="Calibri" w:cs="Calibri" w:eastAsia="Calibri" w:hAnsi="Calibri"/>
          <w:b/>
          <w:bCs/>
          <w:color w:val="1A1A1A"/>
          <w:sz w:val="20"/>
          <w:szCs w:val="20"/>
        </w:rPr>
        <w:t xml:space="preserve">Droit à l’instruction ≠ liberté de l’enseignement</w:t>
      </w:r>
      <w:r>
        <w:rPr>
          <w:rFonts w:ascii="Calibri" w:cs="Calibri" w:eastAsia="Calibri" w:hAnsi="Calibri"/>
          <w:color w:val="1A1A1A"/>
          <w:sz w:val="20"/>
          <w:szCs w:val="20"/>
        </w:rPr>
        <w:t xml:space="preserve"> : le premier est un droit de l’enfant (créance), la seconde une liberté des établissements et des parents (PFRLR) ; c’est le droit à l’instruction qui fonde le contrôle du hors contrat et l’encadrement de l’instruction en famille.</w:t>
      </w:r>
    </w:p>
    <w:p>
      <w:pPr>
        <w:pStyle w:val="ListParagraph"/>
        <w:numPr>
          <w:ilvl w:val="0"/>
          <w:numId w:val="2"/>
        </w:numPr>
        <w:spacing w:after="70" w:line="264"/>
        <w:jc w:val="both"/>
      </w:pPr>
      <w:r>
        <w:rPr>
          <w:rFonts w:ascii="Calibri" w:cs="Calibri" w:eastAsia="Calibri" w:hAnsi="Calibri"/>
          <w:b/>
          <w:bCs/>
          <w:color w:val="1A1A1A"/>
          <w:sz w:val="20"/>
          <w:szCs w:val="20"/>
        </w:rPr>
        <w:t xml:space="preserve">Ne pas confondre les conventions</w:t>
      </w:r>
      <w:r>
        <w:rPr>
          <w:rFonts w:ascii="Calibri" w:cs="Calibri" w:eastAsia="Calibri" w:hAnsi="Calibri"/>
          <w:color w:val="1A1A1A"/>
          <w:sz w:val="20"/>
          <w:szCs w:val="20"/>
        </w:rPr>
        <w:t xml:space="preserve"> : la </w:t>
      </w:r>
      <w:r>
        <w:rPr>
          <w:rFonts w:ascii="Calibri" w:cs="Calibri" w:eastAsia="Calibri" w:hAnsi="Calibri"/>
          <w:color w:val="1E88E5"/>
          <w:sz w:val="20"/>
          <w:szCs w:val="20"/>
        </w:rPr>
        <w:t xml:space="preserve">Convention de l’UNESCO du 14 décembre 1960</w:t>
      </w:r>
      <w:r>
        <w:rPr>
          <w:rFonts w:ascii="Calibri" w:cs="Calibri" w:eastAsia="Calibri" w:hAnsi="Calibri"/>
          <w:color w:val="1A1A1A"/>
          <w:sz w:val="20"/>
          <w:szCs w:val="20"/>
        </w:rPr>
        <w:t xml:space="preserve"> concerne la lutte contre la discrimination dans l’enseignement ; l’</w:t>
      </w:r>
      <w:r>
        <w:rPr>
          <w:rFonts w:ascii="Calibri" w:cs="Calibri" w:eastAsia="Calibri" w:hAnsi="Calibri"/>
          <w:color w:val="1E88E5"/>
          <w:sz w:val="20"/>
          <w:szCs w:val="20"/>
        </w:rPr>
        <w:t xml:space="preserve">art. 24</w:t>
      </w:r>
      <w:r>
        <w:rPr>
          <w:rFonts w:ascii="Calibri" w:cs="Calibri" w:eastAsia="Calibri" w:hAnsi="Calibri"/>
          <w:color w:val="1A1A1A"/>
          <w:sz w:val="20"/>
          <w:szCs w:val="20"/>
        </w:rPr>
        <w:t xml:space="preserve"> relatif à l’éducation inclusive est celui de la </w:t>
      </w:r>
      <w:r>
        <w:rPr>
          <w:rFonts w:ascii="Calibri" w:cs="Calibri" w:eastAsia="Calibri" w:hAnsi="Calibri"/>
          <w:color w:val="1E88E5"/>
          <w:sz w:val="20"/>
          <w:szCs w:val="20"/>
        </w:rPr>
        <w:t xml:space="preserve">Convention relative aux droits des personnes handicapées (2006)</w:t>
      </w:r>
      <w:r>
        <w:rPr>
          <w:rFonts w:ascii="Calibri" w:cs="Calibri" w:eastAsia="Calibri" w:hAnsi="Calibri"/>
          <w:color w:val="1A1A1A"/>
          <w:sz w:val="20"/>
          <w:szCs w:val="20"/>
        </w:rPr>
        <w:t xml:space="preserve"> — le fascicule mêle les deux.</w:t>
      </w:r>
    </w:p>
    <w:p>
      <w:pPr>
        <w:pStyle w:val="ListParagraph"/>
        <w:numPr>
          <w:ilvl w:val="0"/>
          <w:numId w:val="2"/>
        </w:numPr>
        <w:spacing w:after="70" w:line="264"/>
        <w:jc w:val="both"/>
      </w:pPr>
      <w:r>
        <w:rPr>
          <w:rFonts w:ascii="Calibri" w:cs="Calibri" w:eastAsia="Calibri" w:hAnsi="Calibri"/>
          <w:b/>
          <w:bCs/>
          <w:color w:val="1A1A1A"/>
          <w:sz w:val="20"/>
          <w:szCs w:val="20"/>
        </w:rPr>
        <w:t xml:space="preserve">Le compte personnel de formation date de 2014</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loi du 5 mars 2014</w:t>
      </w:r>
      <w:r>
        <w:rPr>
          <w:rFonts w:ascii="Calibri" w:cs="Calibri" w:eastAsia="Calibri" w:hAnsi="Calibri"/>
          <w:color w:val="1A1A1A"/>
          <w:sz w:val="20"/>
          <w:szCs w:val="20"/>
        </w:rPr>
        <w:t xml:space="preserve">, en vigueur en 2015) ; la </w:t>
      </w:r>
      <w:r>
        <w:rPr>
          <w:rFonts w:ascii="Calibri" w:cs="Calibri" w:eastAsia="Calibri" w:hAnsi="Calibri"/>
          <w:color w:val="1E88E5"/>
          <w:sz w:val="20"/>
          <w:szCs w:val="20"/>
        </w:rPr>
        <w:t xml:space="preserve">loi du 5 septembre 2018 « avenir professionnel »</w:t>
      </w:r>
      <w:r>
        <w:rPr>
          <w:rFonts w:ascii="Calibri" w:cs="Calibri" w:eastAsia="Calibri" w:hAnsi="Calibri"/>
          <w:color w:val="1A1A1A"/>
          <w:sz w:val="20"/>
          <w:szCs w:val="20"/>
        </w:rPr>
        <w:t xml:space="preserve"> l’a </w:t>
      </w:r>
      <w:r>
        <w:rPr>
          <w:rFonts w:ascii="Calibri" w:cs="Calibri" w:eastAsia="Calibri" w:hAnsi="Calibri"/>
          <w:b/>
          <w:bCs/>
          <w:color w:val="1A1A1A"/>
          <w:sz w:val="20"/>
          <w:szCs w:val="20"/>
        </w:rPr>
        <w:t xml:space="preserve">monétisé</w:t>
      </w:r>
      <w:r>
        <w:rPr>
          <w:rFonts w:ascii="Calibri" w:cs="Calibri" w:eastAsia="Calibri" w:hAnsi="Calibri"/>
          <w:color w:val="1A1A1A"/>
          <w:sz w:val="20"/>
          <w:szCs w:val="20"/>
        </w:rPr>
        <w:t xml:space="preserve"> et rendu accessible par application — ne pas dire qu’elle l’a créé.</w:t>
      </w:r>
    </w:p>
    <w:p>
      <w:r>
        <w:br w:type="page"/>
      </w:r>
    </w:p>
    <w:p>
      <w:pPr>
        <w:pStyle w:val="Heading2"/>
        <w:spacing w:after="120" w:before="280"/>
      </w:pPr>
      <w:r>
        <w:rPr>
          <w:rFonts w:ascii="Calibri" w:cs="Calibri" w:eastAsia="Calibri" w:hAnsi="Calibri"/>
          <w:b/>
          <w:bCs/>
          <w:color w:val="1A1A1A"/>
          <w:sz w:val="24"/>
          <w:szCs w:val="24"/>
        </w:rPr>
        <w:t xml:space="preserve">1. Architecture textuelle</w:t>
      </w:r>
    </w:p>
    <w:p>
      <w:pPr>
        <w:pStyle w:val="ListParagraph"/>
        <w:numPr>
          <w:ilvl w:val="0"/>
          <w:numId w:val="2"/>
        </w:numPr>
        <w:spacing w:after="70" w:line="264"/>
        <w:jc w:val="both"/>
      </w:pPr>
      <w:r>
        <w:rPr>
          <w:rFonts w:ascii="Calibri" w:cs="Calibri" w:eastAsia="Calibri" w:hAnsi="Calibri"/>
          <w:b/>
          <w:bCs/>
          <w:color w:val="1A1A1A"/>
          <w:sz w:val="20"/>
          <w:szCs w:val="20"/>
        </w:rPr>
        <w:t xml:space="preserve">Droit international</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26 DUDH</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13 PIDESC</w:t>
      </w:r>
      <w:r>
        <w:rPr>
          <w:rFonts w:ascii="Calibri" w:cs="Calibri" w:eastAsia="Calibri" w:hAnsi="Calibri"/>
          <w:color w:val="1A1A1A"/>
          <w:sz w:val="20"/>
          <w:szCs w:val="20"/>
        </w:rPr>
        <w:t xml:space="preserve"> (enseignement primaire obligatoire et gratuit ; secondaire et supérieur rendus progressivement gratuits, § 2 c) et </w:t>
      </w:r>
      <w:r>
        <w:rPr>
          <w:rFonts w:ascii="Calibri" w:cs="Calibri" w:eastAsia="Calibri" w:hAnsi="Calibri"/>
          <w:color w:val="1E88E5"/>
          <w:sz w:val="20"/>
          <w:szCs w:val="20"/>
        </w:rPr>
        <w:t xml:space="preserve">art. 14</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Convention de l’UNESCO concernant la lutte contre la discrimination dans le domaine de l’enseignement (14 décembre 1960)</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28 et 29 CIDE</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24 Convention relative aux droits des personnes handicapées</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convention n° 142 de l’OIT (1975)</w:t>
      </w:r>
      <w:r>
        <w:rPr>
          <w:rFonts w:ascii="Calibri" w:cs="Calibri" w:eastAsia="Calibri" w:hAnsi="Calibri"/>
          <w:color w:val="1A1A1A"/>
          <w:sz w:val="20"/>
          <w:szCs w:val="20"/>
        </w:rPr>
        <w:t xml:space="preserve"> (formation professionnelle).</w:t>
      </w:r>
    </w:p>
    <w:p>
      <w:pPr>
        <w:pStyle w:val="ListParagraph"/>
        <w:numPr>
          <w:ilvl w:val="0"/>
          <w:numId w:val="2"/>
        </w:numPr>
        <w:spacing w:after="70" w:line="264"/>
        <w:jc w:val="both"/>
      </w:pPr>
      <w:r>
        <w:rPr>
          <w:rFonts w:ascii="Calibri" w:cs="Calibri" w:eastAsia="Calibri" w:hAnsi="Calibri"/>
          <w:b/>
          <w:bCs/>
          <w:color w:val="1A1A1A"/>
          <w:sz w:val="20"/>
          <w:szCs w:val="20"/>
        </w:rPr>
        <w:t xml:space="preserve">Droit européen</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2 Prot. 1</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14 CDFUE</w:t>
      </w:r>
      <w:r>
        <w:rPr>
          <w:rFonts w:ascii="Calibri" w:cs="Calibri" w:eastAsia="Calibri" w:hAnsi="Calibri"/>
          <w:color w:val="1A1A1A"/>
          <w:sz w:val="20"/>
          <w:szCs w:val="20"/>
        </w:rPr>
        <w:t xml:space="preserve"> (droit à l’éducation et accès à la formation professionnelle et continue ; faculté de suivre gratuitement l’enseignement obligatoire) ; </w:t>
      </w:r>
      <w:r>
        <w:rPr>
          <w:rFonts w:ascii="Calibri" w:cs="Calibri" w:eastAsia="Calibri" w:hAnsi="Calibri"/>
          <w:color w:val="1E88E5"/>
          <w:sz w:val="20"/>
          <w:szCs w:val="20"/>
        </w:rPr>
        <w:t xml:space="preserve">Charte sociale européenne révisée</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7</w:t>
      </w:r>
      <w:r>
        <w:rPr>
          <w:rFonts w:ascii="Calibri" w:cs="Calibri" w:eastAsia="Calibri" w:hAnsi="Calibri"/>
          <w:color w:val="1A1A1A"/>
          <w:sz w:val="20"/>
          <w:szCs w:val="20"/>
        </w:rPr>
        <w:t xml:space="preserve"> (protection des enfants), </w:t>
      </w:r>
      <w:r>
        <w:rPr>
          <w:rFonts w:ascii="Calibri" w:cs="Calibri" w:eastAsia="Calibri" w:hAnsi="Calibri"/>
          <w:color w:val="1E88E5"/>
          <w:sz w:val="20"/>
          <w:szCs w:val="20"/>
        </w:rPr>
        <w:t xml:space="preserve">art. 9</w:t>
      </w:r>
      <w:r>
        <w:rPr>
          <w:rFonts w:ascii="Calibri" w:cs="Calibri" w:eastAsia="Calibri" w:hAnsi="Calibri"/>
          <w:color w:val="1A1A1A"/>
          <w:sz w:val="20"/>
          <w:szCs w:val="20"/>
        </w:rPr>
        <w:t xml:space="preserve"> (orientation), </w:t>
      </w:r>
      <w:r>
        <w:rPr>
          <w:rFonts w:ascii="Calibri" w:cs="Calibri" w:eastAsia="Calibri" w:hAnsi="Calibri"/>
          <w:color w:val="1E88E5"/>
          <w:sz w:val="20"/>
          <w:szCs w:val="20"/>
        </w:rPr>
        <w:t xml:space="preserve">art. 10</w:t>
      </w:r>
      <w:r>
        <w:rPr>
          <w:rFonts w:ascii="Calibri" w:cs="Calibri" w:eastAsia="Calibri" w:hAnsi="Calibri"/>
          <w:color w:val="1A1A1A"/>
          <w:sz w:val="20"/>
          <w:szCs w:val="20"/>
        </w:rPr>
        <w:t xml:space="preserve"> (formation professionnelle), </w:t>
      </w:r>
      <w:r>
        <w:rPr>
          <w:rFonts w:ascii="Calibri" w:cs="Calibri" w:eastAsia="Calibri" w:hAnsi="Calibri"/>
          <w:color w:val="1E88E5"/>
          <w:sz w:val="20"/>
          <w:szCs w:val="20"/>
        </w:rPr>
        <w:t xml:space="preserve">art. 15</w:t>
      </w:r>
      <w:r>
        <w:rPr>
          <w:rFonts w:ascii="Calibri" w:cs="Calibri" w:eastAsia="Calibri" w:hAnsi="Calibri"/>
          <w:color w:val="1A1A1A"/>
          <w:sz w:val="20"/>
          <w:szCs w:val="20"/>
        </w:rPr>
        <w:t xml:space="preserve"> (personnes handicapées), </w:t>
      </w:r>
      <w:r>
        <w:rPr>
          <w:rFonts w:ascii="Calibri" w:cs="Calibri" w:eastAsia="Calibri" w:hAnsi="Calibri"/>
          <w:color w:val="1E88E5"/>
          <w:sz w:val="20"/>
          <w:szCs w:val="20"/>
        </w:rPr>
        <w:t xml:space="preserve">art. 17</w:t>
      </w:r>
      <w:r>
        <w:rPr>
          <w:rFonts w:ascii="Calibri" w:cs="Calibri" w:eastAsia="Calibri" w:hAnsi="Calibri"/>
          <w:color w:val="1A1A1A"/>
          <w:sz w:val="20"/>
          <w:szCs w:val="20"/>
        </w:rPr>
        <w:t xml:space="preserve"> (éducation des enfants).</w:t>
      </w:r>
    </w:p>
    <w:p>
      <w:pPr>
        <w:pStyle w:val="ListParagraph"/>
        <w:numPr>
          <w:ilvl w:val="0"/>
          <w:numId w:val="2"/>
        </w:numPr>
        <w:spacing w:after="70" w:line="264"/>
        <w:jc w:val="both"/>
      </w:pPr>
      <w:r>
        <w:rPr>
          <w:rFonts w:ascii="Calibri" w:cs="Calibri" w:eastAsia="Calibri" w:hAnsi="Calibri"/>
          <w:b/>
          <w:bCs/>
          <w:color w:val="1A1A1A"/>
          <w:sz w:val="20"/>
          <w:szCs w:val="20"/>
        </w:rPr>
        <w:t xml:space="preserve">Droit constitutionnel</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al. 13 Préambule 1946</w:t>
      </w:r>
      <w:r>
        <w:rPr>
          <w:rFonts w:ascii="Calibri" w:cs="Calibri" w:eastAsia="Calibri" w:hAnsi="Calibri"/>
          <w:color w:val="1A1A1A"/>
          <w:sz w:val="20"/>
          <w:szCs w:val="20"/>
        </w:rPr>
        <w:t xml:space="preserve"> — gratuité et laïcité de l’enseignement public, devoir de l’État ; </w:t>
      </w:r>
      <w:r>
        <w:rPr>
          <w:rFonts w:ascii="Calibri" w:cs="Calibri" w:eastAsia="Calibri" w:hAnsi="Calibri"/>
          <w:color w:val="E91E63"/>
          <w:sz w:val="20"/>
          <w:szCs w:val="20"/>
        </w:rPr>
        <w:t xml:space="preserve">2019-809 QPC</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Droit législatif</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loi Ferry du 16 juin 1881</w:t>
      </w:r>
      <w:r>
        <w:rPr>
          <w:rFonts w:ascii="Calibri" w:cs="Calibri" w:eastAsia="Calibri" w:hAnsi="Calibri"/>
          <w:color w:val="1A1A1A"/>
          <w:sz w:val="20"/>
          <w:szCs w:val="20"/>
        </w:rPr>
        <w:t xml:space="preserve"> (gratuité) et </w:t>
      </w:r>
      <w:r>
        <w:rPr>
          <w:rFonts w:ascii="Calibri" w:cs="Calibri" w:eastAsia="Calibri" w:hAnsi="Calibri"/>
          <w:color w:val="1E88E5"/>
          <w:sz w:val="20"/>
          <w:szCs w:val="20"/>
        </w:rPr>
        <w:t xml:space="preserve">du 28 mars 1882</w:t>
      </w:r>
      <w:r>
        <w:rPr>
          <w:rFonts w:ascii="Calibri" w:cs="Calibri" w:eastAsia="Calibri" w:hAnsi="Calibri"/>
          <w:color w:val="1A1A1A"/>
          <w:sz w:val="20"/>
          <w:szCs w:val="20"/>
        </w:rPr>
        <w:t xml:space="preserve"> (obligation, laïcité) ; </w:t>
      </w:r>
      <w:r>
        <w:rPr>
          <w:rFonts w:ascii="Calibri" w:cs="Calibri" w:eastAsia="Calibri" w:hAnsi="Calibri"/>
          <w:color w:val="1E88E5"/>
          <w:sz w:val="20"/>
          <w:szCs w:val="20"/>
        </w:rPr>
        <w:t xml:space="preserve">art. L. 111-1 C. éduc.</w:t>
      </w:r>
      <w:r>
        <w:rPr>
          <w:rFonts w:ascii="Calibri" w:cs="Calibri" w:eastAsia="Calibri" w:hAnsi="Calibri"/>
          <w:color w:val="1A1A1A"/>
          <w:sz w:val="20"/>
          <w:szCs w:val="20"/>
        </w:rPr>
        <w:t xml:space="preserve"> (« première priorité nationale ») ; </w:t>
      </w:r>
      <w:r>
        <w:rPr>
          <w:rFonts w:ascii="Calibri" w:cs="Calibri" w:eastAsia="Calibri" w:hAnsi="Calibri"/>
          <w:color w:val="1E88E5"/>
          <w:sz w:val="20"/>
          <w:szCs w:val="20"/>
        </w:rPr>
        <w:t xml:space="preserve">art. L. 112-1</w:t>
      </w:r>
      <w:r>
        <w:rPr>
          <w:rFonts w:ascii="Calibri" w:cs="Calibri" w:eastAsia="Calibri" w:hAnsi="Calibri"/>
          <w:color w:val="1A1A1A"/>
          <w:sz w:val="20"/>
          <w:szCs w:val="20"/>
        </w:rPr>
        <w:t xml:space="preserve"> (scolarisation inclusive) ; </w:t>
      </w:r>
      <w:r>
        <w:rPr>
          <w:rFonts w:ascii="Calibri" w:cs="Calibri" w:eastAsia="Calibri" w:hAnsi="Calibri"/>
          <w:color w:val="1E88E5"/>
          <w:sz w:val="20"/>
          <w:szCs w:val="20"/>
        </w:rPr>
        <w:t xml:space="preserve">art. L. 131-1</w:t>
      </w:r>
      <w:r>
        <w:rPr>
          <w:rFonts w:ascii="Calibri" w:cs="Calibri" w:eastAsia="Calibri" w:hAnsi="Calibri"/>
          <w:color w:val="1A1A1A"/>
          <w:sz w:val="20"/>
          <w:szCs w:val="20"/>
        </w:rPr>
        <w:t xml:space="preserve"> (3-16 ans, </w:t>
      </w:r>
      <w:r>
        <w:rPr>
          <w:rFonts w:ascii="Calibri" w:cs="Calibri" w:eastAsia="Calibri" w:hAnsi="Calibri"/>
          <w:color w:val="1E88E5"/>
          <w:sz w:val="20"/>
          <w:szCs w:val="20"/>
        </w:rPr>
        <w:t xml:space="preserve">loi du 26 juillet 2019</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L. 114-1</w:t>
      </w:r>
      <w:r>
        <w:rPr>
          <w:rFonts w:ascii="Calibri" w:cs="Calibri" w:eastAsia="Calibri" w:hAnsi="Calibri"/>
          <w:color w:val="1A1A1A"/>
          <w:sz w:val="20"/>
          <w:szCs w:val="20"/>
        </w:rPr>
        <w:t xml:space="preserve"> (obligation de formation 16-18 ans) ; </w:t>
      </w:r>
      <w:r>
        <w:rPr>
          <w:rFonts w:ascii="Calibri" w:cs="Calibri" w:eastAsia="Calibri" w:hAnsi="Calibri"/>
          <w:color w:val="1E88E5"/>
          <w:sz w:val="20"/>
          <w:szCs w:val="20"/>
        </w:rPr>
        <w:t xml:space="preserve">art. L. 6111-1 C. trav.</w:t>
      </w:r>
      <w:r>
        <w:rPr>
          <w:rFonts w:ascii="Calibri" w:cs="Calibri" w:eastAsia="Calibri" w:hAnsi="Calibri"/>
          <w:color w:val="1A1A1A"/>
          <w:sz w:val="20"/>
          <w:szCs w:val="20"/>
        </w:rPr>
        <w:t xml:space="preserve"> (formation tout au long de la vie).</w:t>
      </w:r>
    </w:p>
    <w:p>
      <w:pPr>
        <w:pStyle w:val="ListParagraph"/>
        <w:numPr>
          <w:ilvl w:val="0"/>
          <w:numId w:val="2"/>
        </w:numPr>
        <w:spacing w:after="70" w:line="264"/>
        <w:jc w:val="both"/>
      </w:pPr>
      <w:r>
        <w:rPr>
          <w:rFonts w:ascii="Calibri" w:cs="Calibri" w:eastAsia="Calibri" w:hAnsi="Calibri"/>
          <w:b/>
          <w:bCs/>
          <w:color w:val="1A1A1A"/>
          <w:sz w:val="20"/>
          <w:szCs w:val="20"/>
        </w:rPr>
        <w:t xml:space="preserve">Lecture à retenir</w:t>
      </w:r>
      <w:r>
        <w:rPr>
          <w:rFonts w:ascii="Calibri" w:cs="Calibri" w:eastAsia="Calibri" w:hAnsi="Calibri"/>
          <w:color w:val="1A1A1A"/>
          <w:sz w:val="20"/>
          <w:szCs w:val="20"/>
        </w:rPr>
        <w:t xml:space="preserve"> : l’éducation est le droit « multiplicateur » par excellence — condition de l’exercice des autres droits (</w:t>
      </w:r>
      <w:r>
        <w:rPr>
          <w:rFonts w:ascii="Calibri" w:cs="Calibri" w:eastAsia="Calibri" w:hAnsi="Calibri"/>
          <w:color w:val="E91E63"/>
          <w:sz w:val="20"/>
          <w:szCs w:val="20"/>
        </w:rPr>
        <w:t xml:space="preserve">CEDH, 27 mai 2014, Velyo Velev c. Bulgarie</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CEDH, 23 février 2016, Çam c. Turquie</w:t>
      </w:r>
      <w:r>
        <w:rPr>
          <w:rFonts w:ascii="Calibri" w:cs="Calibri" w:eastAsia="Calibri" w:hAnsi="Calibri"/>
          <w:color w:val="1A1A1A"/>
          <w:sz w:val="20"/>
          <w:szCs w:val="20"/>
        </w:rPr>
        <w:t xml:space="preserve">). D’où l’intensité des obligations positives.</w:t>
      </w:r>
    </w:p>
    <w:p>
      <w:pPr>
        <w:pStyle w:val="Heading2"/>
        <w:spacing w:after="120" w:before="280"/>
      </w:pPr>
      <w:r>
        <w:rPr>
          <w:rFonts w:ascii="Calibri" w:cs="Calibri" w:eastAsia="Calibri" w:hAnsi="Calibri"/>
          <w:b/>
          <w:bCs/>
          <w:color w:val="1A1A1A"/>
          <w:sz w:val="24"/>
          <w:szCs w:val="24"/>
        </w:rPr>
        <w:t xml:space="preserve">2. Les principes structurants</w:t>
      </w:r>
    </w:p>
    <w:p>
      <w:pPr>
        <w:pStyle w:val="Heading3"/>
        <w:spacing w:after="90" w:before="200"/>
      </w:pPr>
      <w:r>
        <w:rPr>
          <w:rFonts w:ascii="Calibri" w:cs="Calibri" w:eastAsia="Calibri" w:hAnsi="Calibri"/>
          <w:b/>
          <w:bCs/>
          <w:i/>
          <w:iCs/>
          <w:color w:val="5A5A5A"/>
          <w:sz w:val="21"/>
          <w:szCs w:val="21"/>
        </w:rPr>
        <w:t xml:space="preserve">2.1. Gratuité</w:t>
      </w:r>
    </w:p>
    <w:p>
      <w:pPr>
        <w:pStyle w:val="ListParagraph"/>
        <w:numPr>
          <w:ilvl w:val="0"/>
          <w:numId w:val="2"/>
        </w:numPr>
        <w:spacing w:after="70" w:line="264"/>
        <w:jc w:val="both"/>
      </w:pPr>
      <w:r>
        <w:rPr>
          <w:rFonts w:ascii="Calibri" w:cs="Calibri" w:eastAsia="Calibri" w:hAnsi="Calibri"/>
          <w:b/>
          <w:bCs/>
          <w:color w:val="1A1A1A"/>
          <w:sz w:val="20"/>
          <w:szCs w:val="20"/>
        </w:rPr>
        <w:t xml:space="preserve">Primaire</w:t>
      </w:r>
      <w:r>
        <w:rPr>
          <w:rFonts w:ascii="Calibri" w:cs="Calibri" w:eastAsia="Calibri" w:hAnsi="Calibri"/>
          <w:color w:val="1A1A1A"/>
          <w:sz w:val="20"/>
          <w:szCs w:val="20"/>
        </w:rPr>
        <w:t xml:space="preserve"> gratuit depuis 1881 ; </w:t>
      </w:r>
      <w:r>
        <w:rPr>
          <w:rFonts w:ascii="Calibri" w:cs="Calibri" w:eastAsia="Calibri" w:hAnsi="Calibri"/>
          <w:b/>
          <w:bCs/>
          <w:color w:val="1A1A1A"/>
          <w:sz w:val="20"/>
          <w:szCs w:val="20"/>
        </w:rPr>
        <w:t xml:space="preserve">supérieur</w:t>
      </w:r>
      <w:r>
        <w:rPr>
          <w:rFonts w:ascii="Calibri" w:cs="Calibri" w:eastAsia="Calibri" w:hAnsi="Calibri"/>
          <w:color w:val="1A1A1A"/>
          <w:sz w:val="20"/>
          <w:szCs w:val="20"/>
        </w:rPr>
        <w:t xml:space="preserve"> : droits d’inscription modiques tenant compte des capacités financières (</w:t>
      </w:r>
      <w:r>
        <w:rPr>
          <w:rFonts w:ascii="Calibri" w:cs="Calibri" w:eastAsia="Calibri" w:hAnsi="Calibri"/>
          <w:color w:val="E91E63"/>
          <w:sz w:val="20"/>
          <w:szCs w:val="20"/>
        </w:rPr>
        <w:t xml:space="preserve">2019-809 QPC</w:t>
      </w:r>
      <w:r>
        <w:rPr>
          <w:rFonts w:ascii="Calibri" w:cs="Calibri" w:eastAsia="Calibri" w:hAnsi="Calibri"/>
          <w:color w:val="1A1A1A"/>
          <w:sz w:val="20"/>
          <w:szCs w:val="20"/>
        </w:rPr>
        <w:t xml:space="preserve">) ; droits différenciés pour les étudiants extracommunautaires validés par le Conseil d’État en 2020.</w:t>
      </w:r>
    </w:p>
    <w:p>
      <w:pPr>
        <w:pStyle w:val="Heading3"/>
        <w:spacing w:after="90" w:before="200"/>
      </w:pPr>
      <w:r>
        <w:rPr>
          <w:rFonts w:ascii="Calibri" w:cs="Calibri" w:eastAsia="Calibri" w:hAnsi="Calibri"/>
          <w:b/>
          <w:bCs/>
          <w:i/>
          <w:iCs/>
          <w:color w:val="5A5A5A"/>
          <w:sz w:val="21"/>
          <w:szCs w:val="21"/>
        </w:rPr>
        <w:t xml:space="preserve">2.2. Obligation et contrôle</w:t>
      </w:r>
    </w:p>
    <w:p>
      <w:pPr>
        <w:pStyle w:val="ListParagraph"/>
        <w:numPr>
          <w:ilvl w:val="0"/>
          <w:numId w:val="2"/>
        </w:numPr>
        <w:spacing w:after="70" w:line="264"/>
        <w:jc w:val="both"/>
      </w:pPr>
      <w:r>
        <w:rPr>
          <w:rFonts w:ascii="Calibri" w:cs="Calibri" w:eastAsia="Calibri" w:hAnsi="Calibri"/>
          <w:b/>
          <w:bCs/>
          <w:color w:val="1A1A1A"/>
          <w:sz w:val="20"/>
          <w:szCs w:val="20"/>
        </w:rPr>
        <w:t xml:space="preserve">Obligation scolaire</w:t>
      </w:r>
      <w:r>
        <w:rPr>
          <w:rFonts w:ascii="Calibri" w:cs="Calibri" w:eastAsia="Calibri" w:hAnsi="Calibri"/>
          <w:color w:val="1A1A1A"/>
          <w:sz w:val="20"/>
          <w:szCs w:val="20"/>
        </w:rPr>
        <w:t xml:space="preserve"> de 3 à 16 ans, quel que soit l’établissement ; </w:t>
      </w:r>
      <w:r>
        <w:rPr>
          <w:rFonts w:ascii="Calibri" w:cs="Calibri" w:eastAsia="Calibri" w:hAnsi="Calibri"/>
          <w:b/>
          <w:bCs/>
          <w:color w:val="1A1A1A"/>
          <w:sz w:val="20"/>
          <w:szCs w:val="20"/>
        </w:rPr>
        <w:t xml:space="preserve">socle commun</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art. L. 122-1-1</w:t>
      </w:r>
      <w:r>
        <w:rPr>
          <w:rFonts w:ascii="Calibri" w:cs="Calibri" w:eastAsia="Calibri" w:hAnsi="Calibri"/>
          <w:color w:val="1A1A1A"/>
          <w:sz w:val="20"/>
          <w:szCs w:val="20"/>
        </w:rPr>
        <w:t xml:space="preserve">) ; contrôle de l’instruction en famille et du hors contrat (fiche 41) ; obligation de formation jusqu’à 18 ans contrôlée par les missions locales.</w:t>
      </w:r>
    </w:p>
    <w:p>
      <w:pPr>
        <w:pStyle w:val="Heading3"/>
        <w:spacing w:after="90" w:before="200"/>
      </w:pPr>
      <w:r>
        <w:rPr>
          <w:rFonts w:ascii="Calibri" w:cs="Calibri" w:eastAsia="Calibri" w:hAnsi="Calibri"/>
          <w:b/>
          <w:bCs/>
          <w:i/>
          <w:iCs/>
          <w:color w:val="5A5A5A"/>
          <w:sz w:val="21"/>
          <w:szCs w:val="21"/>
        </w:rPr>
        <w:t xml:space="preserve">2.3. Non-discrimination et égalité des chances</w:t>
      </w:r>
    </w:p>
    <w:p>
      <w:pPr>
        <w:pStyle w:val="ListParagraph"/>
        <w:numPr>
          <w:ilvl w:val="0"/>
          <w:numId w:val="2"/>
        </w:numPr>
        <w:spacing w:after="70" w:line="264"/>
        <w:jc w:val="both"/>
      </w:pPr>
      <w:r>
        <w:rPr>
          <w:rFonts w:ascii="Calibri" w:cs="Calibri" w:eastAsia="Calibri" w:hAnsi="Calibri"/>
          <w:b/>
          <w:bCs/>
          <w:color w:val="1A1A1A"/>
          <w:sz w:val="20"/>
          <w:szCs w:val="20"/>
        </w:rPr>
        <w:t xml:space="preserve">Strasbourg</w:t>
      </w:r>
      <w:r>
        <w:rPr>
          <w:rFonts w:ascii="Calibri" w:cs="Calibri" w:eastAsia="Calibri" w:hAnsi="Calibri"/>
          <w:color w:val="1A1A1A"/>
          <w:sz w:val="20"/>
          <w:szCs w:val="20"/>
        </w:rPr>
        <w:t xml:space="preserve"> : écoles spéciales pour les Roms (</w:t>
      </w:r>
      <w:r>
        <w:rPr>
          <w:rFonts w:ascii="Calibri" w:cs="Calibri" w:eastAsia="Calibri" w:hAnsi="Calibri"/>
          <w:color w:val="E91E63"/>
          <w:sz w:val="20"/>
          <w:szCs w:val="20"/>
        </w:rPr>
        <w:t xml:space="preserve">D.H.</w:t>
      </w:r>
      <w:r>
        <w:rPr>
          <w:rFonts w:ascii="Calibri" w:cs="Calibri" w:eastAsia="Calibri" w:hAnsi="Calibri"/>
          <w:color w:val="1A1A1A"/>
          <w:sz w:val="20"/>
          <w:szCs w:val="20"/>
        </w:rPr>
        <w:t xml:space="preserve">, 2007) ; classes séparées (</w:t>
      </w:r>
      <w:r>
        <w:rPr>
          <w:rFonts w:ascii="Calibri" w:cs="Calibri" w:eastAsia="Calibri" w:hAnsi="Calibri"/>
          <w:color w:val="E91E63"/>
          <w:sz w:val="20"/>
          <w:szCs w:val="20"/>
        </w:rPr>
        <w:t xml:space="preserve">CEDH [GC], 16 mars 2010, Oršuš c. Croatie</w:t>
      </w:r>
      <w:r>
        <w:rPr>
          <w:rFonts w:ascii="Calibri" w:cs="Calibri" w:eastAsia="Calibri" w:hAnsi="Calibri"/>
          <w:color w:val="1A1A1A"/>
          <w:sz w:val="20"/>
          <w:szCs w:val="20"/>
        </w:rPr>
        <w:t xml:space="preserve">) ; frais de scolarité exigés d’enfants étrangers dans le secondaire (</w:t>
      </w:r>
      <w:r>
        <w:rPr>
          <w:rFonts w:ascii="Calibri" w:cs="Calibri" w:eastAsia="Calibri" w:hAnsi="Calibri"/>
          <w:color w:val="E91E63"/>
          <w:sz w:val="20"/>
          <w:szCs w:val="20"/>
        </w:rPr>
        <w:t xml:space="preserve">CEDH, 21 juin 2011, Ponomaryovi c. Bulgarie</w:t>
      </w:r>
      <w:r>
        <w:rPr>
          <w:rFonts w:ascii="Calibri" w:cs="Calibri" w:eastAsia="Calibri" w:hAnsi="Calibri"/>
          <w:color w:val="1A1A1A"/>
          <w:sz w:val="20"/>
          <w:szCs w:val="20"/>
        </w:rPr>
        <w:t xml:space="preserve">, violation) ; refus d’inscription en conservatoire d’une enfant handicapée (</w:t>
      </w:r>
      <w:r>
        <w:rPr>
          <w:rFonts w:ascii="Calibri" w:cs="Calibri" w:eastAsia="Calibri" w:hAnsi="Calibri"/>
          <w:color w:val="E91E63"/>
          <w:sz w:val="20"/>
          <w:szCs w:val="20"/>
        </w:rPr>
        <w:t xml:space="preserve">Çam c. Turquie</w:t>
      </w:r>
      <w:r>
        <w:rPr>
          <w:rFonts w:ascii="Calibri" w:cs="Calibri" w:eastAsia="Calibri" w:hAnsi="Calibri"/>
          <w:color w:val="1A1A1A"/>
          <w:sz w:val="20"/>
          <w:szCs w:val="20"/>
        </w:rPr>
        <w:t xml:space="preserve">) ; défaut d’assistance spécialisée à une élève autiste (</w:t>
      </w:r>
      <w:r>
        <w:rPr>
          <w:rFonts w:ascii="Calibri" w:cs="Calibri" w:eastAsia="Calibri" w:hAnsi="Calibri"/>
          <w:color w:val="E91E63"/>
          <w:sz w:val="20"/>
          <w:szCs w:val="20"/>
        </w:rPr>
        <w:t xml:space="preserve">CEDH, 10 septembre 2020, G.L. c. Italie</w:t>
      </w:r>
      <w:r>
        <w:rPr>
          <w:rFonts w:ascii="Calibri" w:cs="Calibri" w:eastAsia="Calibri" w:hAnsi="Calibri"/>
          <w:color w:val="1A1A1A"/>
          <w:sz w:val="20"/>
          <w:szCs w:val="20"/>
        </w:rPr>
        <w:t xml:space="preserve">) ; aménagements raisonnables (</w:t>
      </w:r>
      <w:r>
        <w:rPr>
          <w:rFonts w:ascii="Calibri" w:cs="Calibri" w:eastAsia="Calibri" w:hAnsi="Calibri"/>
          <w:color w:val="E91E63"/>
          <w:sz w:val="20"/>
          <w:szCs w:val="20"/>
        </w:rPr>
        <w:t xml:space="preserve">CEDH, 7 novembre 2024, S. c. République tchèque</w:t>
      </w:r>
      <w:r>
        <w:rPr>
          <w:rFonts w:ascii="Calibri" w:cs="Calibri" w:eastAsia="Calibri" w:hAnsi="Calibri"/>
          <w:color w:val="1A1A1A"/>
          <w:sz w:val="20"/>
          <w:szCs w:val="20"/>
        </w:rPr>
        <w:t xml:space="preserve">). Sélection admise selon des critères objectifs (</w:t>
      </w:r>
      <w:r>
        <w:rPr>
          <w:rFonts w:ascii="Calibri" w:cs="Calibri" w:eastAsia="Calibri" w:hAnsi="Calibri"/>
          <w:color w:val="E91E63"/>
          <w:sz w:val="20"/>
          <w:szCs w:val="20"/>
        </w:rPr>
        <w:t xml:space="preserve">CEDH, 9 juillet 2013, Altınay c. Turquie</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France</w:t>
      </w:r>
      <w:r>
        <w:rPr>
          <w:rFonts w:ascii="Calibri" w:cs="Calibri" w:eastAsia="Calibri" w:hAnsi="Calibri"/>
          <w:color w:val="1A1A1A"/>
          <w:sz w:val="20"/>
          <w:szCs w:val="20"/>
        </w:rPr>
        <w:t xml:space="preserve"> : refus d’admission à un concours pour opinions politiques (</w:t>
      </w:r>
      <w:r>
        <w:rPr>
          <w:rFonts w:ascii="Calibri" w:cs="Calibri" w:eastAsia="Calibri" w:hAnsi="Calibri"/>
          <w:color w:val="E91E63"/>
          <w:sz w:val="20"/>
          <w:szCs w:val="20"/>
        </w:rPr>
        <w:t xml:space="preserve">CE, ass., 28 mai 1954, Barel</w:t>
      </w:r>
      <w:r>
        <w:rPr>
          <w:rFonts w:ascii="Calibri" w:cs="Calibri" w:eastAsia="Calibri" w:hAnsi="Calibri"/>
          <w:color w:val="1A1A1A"/>
          <w:sz w:val="20"/>
          <w:szCs w:val="20"/>
        </w:rPr>
        <w:t xml:space="preserve">) ; voie d’accès spécifique de Sciences Po pour des lycéens de zones d’éducation prioritaire validée (</w:t>
      </w:r>
      <w:r>
        <w:rPr>
          <w:rFonts w:ascii="Calibri" w:cs="Calibri" w:eastAsia="Calibri" w:hAnsi="Calibri"/>
          <w:color w:val="E91E63"/>
          <w:sz w:val="20"/>
          <w:szCs w:val="20"/>
        </w:rPr>
        <w:t xml:space="preserve">2001-450 DC, 11 juillet 2001</w:t>
      </w:r>
      <w:r>
        <w:rPr>
          <w:rFonts w:ascii="Calibri" w:cs="Calibri" w:eastAsia="Calibri" w:hAnsi="Calibri"/>
          <w:color w:val="1A1A1A"/>
          <w:sz w:val="20"/>
          <w:szCs w:val="20"/>
        </w:rPr>
        <w:t xml:space="preserve">) ; critères des algorithmes locaux de Parcoursup publiés a posteriori (</w:t>
      </w:r>
      <w:r>
        <w:rPr>
          <w:rFonts w:ascii="Calibri" w:cs="Calibri" w:eastAsia="Calibri" w:hAnsi="Calibri"/>
          <w:color w:val="E91E63"/>
          <w:sz w:val="20"/>
          <w:szCs w:val="20"/>
        </w:rPr>
        <w:t xml:space="preserve">2020-834 QPC, 3 avril 2020</w:t>
      </w:r>
      <w:r>
        <w:rPr>
          <w:rFonts w:ascii="Calibri" w:cs="Calibri" w:eastAsia="Calibri" w:hAnsi="Calibri"/>
          <w:color w:val="1A1A1A"/>
          <w:sz w:val="20"/>
          <w:szCs w:val="20"/>
        </w:rPr>
        <w:t xml:space="preserve">) ; menus de substitution dans les cantines — pas d’obligation, mais suppression illégale faute de prise en compte de l’intérêt de l’enfant (</w:t>
      </w:r>
      <w:r>
        <w:rPr>
          <w:rFonts w:ascii="Calibri" w:cs="Calibri" w:eastAsia="Calibri" w:hAnsi="Calibri"/>
          <w:color w:val="E91E63"/>
          <w:sz w:val="20"/>
          <w:szCs w:val="20"/>
        </w:rPr>
        <w:t xml:space="preserve">CE, 11 décembre 2020, Commune de Chalon-sur-Saône</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Handicap</w:t>
      </w:r>
      <w:r>
        <w:rPr>
          <w:rFonts w:ascii="Calibri" w:cs="Calibri" w:eastAsia="Calibri" w:hAnsi="Calibri"/>
          <w:color w:val="1A1A1A"/>
          <w:sz w:val="20"/>
          <w:szCs w:val="20"/>
        </w:rPr>
        <w:t xml:space="preserve"> : obligation de résultat de l’État (</w:t>
      </w:r>
      <w:r>
        <w:rPr>
          <w:rFonts w:ascii="Calibri" w:cs="Calibri" w:eastAsia="Calibri" w:hAnsi="Calibri"/>
          <w:color w:val="E91E63"/>
          <w:sz w:val="20"/>
          <w:szCs w:val="20"/>
        </w:rPr>
        <w:t xml:space="preserve">Laruelle</w:t>
      </w:r>
      <w:r>
        <w:rPr>
          <w:rFonts w:ascii="Calibri" w:cs="Calibri" w:eastAsia="Calibri" w:hAnsi="Calibri"/>
          <w:color w:val="1A1A1A"/>
          <w:sz w:val="20"/>
          <w:szCs w:val="20"/>
        </w:rPr>
        <w:t xml:space="preserve">, 2009) ; réclamation collective : violation de la Charte sociale pour l’éducation des enfants autistes (</w:t>
      </w:r>
      <w:r>
        <w:rPr>
          <w:rFonts w:ascii="Calibri" w:cs="Calibri" w:eastAsia="Calibri" w:hAnsi="Calibri"/>
          <w:color w:val="E91E63"/>
          <w:sz w:val="20"/>
          <w:szCs w:val="20"/>
        </w:rPr>
        <w:t xml:space="preserve">CEDS, 4 novembre 2003, Autisme-Europe c. France</w:t>
      </w:r>
      <w:r>
        <w:rPr>
          <w:rFonts w:ascii="Calibri" w:cs="Calibri" w:eastAsia="Calibri" w:hAnsi="Calibri"/>
          <w:color w:val="1A1A1A"/>
          <w:sz w:val="20"/>
          <w:szCs w:val="20"/>
        </w:rPr>
        <w:t xml:space="preserve">) ; aménagements d’examens et concours (</w:t>
      </w:r>
      <w:r>
        <w:rPr>
          <w:rFonts w:ascii="Calibri" w:cs="Calibri" w:eastAsia="Calibri" w:hAnsi="Calibri"/>
          <w:color w:val="1E88E5"/>
          <w:sz w:val="20"/>
          <w:szCs w:val="20"/>
        </w:rPr>
        <w:t xml:space="preserve">art. L. 112-4</w:t>
      </w:r>
      <w:r>
        <w:rPr>
          <w:rFonts w:ascii="Calibri" w:cs="Calibri" w:eastAsia="Calibri" w:hAnsi="Calibri"/>
          <w:color w:val="1A1A1A"/>
          <w:sz w:val="20"/>
          <w:szCs w:val="20"/>
        </w:rPr>
        <w:t xml:space="preserve">) — pas de droit à l’aménagement exact choisi par le candidat ; une carence caractérisée peut justifier un référé-liberté (</w:t>
      </w:r>
      <w:r>
        <w:rPr>
          <w:rFonts w:ascii="Calibri" w:cs="Calibri" w:eastAsia="Calibri" w:hAnsi="Calibri"/>
          <w:color w:val="E91E63"/>
          <w:sz w:val="20"/>
          <w:szCs w:val="20"/>
        </w:rPr>
        <w:t xml:space="preserve">CE, ord., 23 avril 2026, CCI Paris Île-de-France, n° 515053</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Enfants étrangers</w:t>
      </w:r>
      <w:r>
        <w:rPr>
          <w:rFonts w:ascii="Calibri" w:cs="Calibri" w:eastAsia="Calibri" w:hAnsi="Calibri"/>
          <w:color w:val="1A1A1A"/>
          <w:sz w:val="20"/>
          <w:szCs w:val="20"/>
        </w:rPr>
        <w:t xml:space="preserve"> : droit à l’éducation indépendamment de la régularité du séjour (</w:t>
      </w:r>
      <w:r>
        <w:rPr>
          <w:rFonts w:ascii="Calibri" w:cs="Calibri" w:eastAsia="Calibri" w:hAnsi="Calibri"/>
          <w:color w:val="1E88E5"/>
          <w:sz w:val="20"/>
          <w:szCs w:val="20"/>
        </w:rPr>
        <w:t xml:space="preserve">art. 30 Convention sur les travailleurs migrants</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28 CIDE</w:t>
      </w:r>
      <w:r>
        <w:rPr>
          <w:rFonts w:ascii="Calibri" w:cs="Calibri" w:eastAsia="Calibri" w:hAnsi="Calibri"/>
          <w:color w:val="1A1A1A"/>
          <w:sz w:val="20"/>
          <w:szCs w:val="20"/>
        </w:rPr>
        <w:t xml:space="preserve">) ; inscription scolaire due par le maire.</w:t>
      </w:r>
    </w:p>
    <w:p>
      <w:pPr>
        <w:pStyle w:val="Heading3"/>
        <w:spacing w:after="90" w:before="200"/>
      </w:pPr>
      <w:r>
        <w:rPr>
          <w:rFonts w:ascii="Calibri" w:cs="Calibri" w:eastAsia="Calibri" w:hAnsi="Calibri"/>
          <w:b/>
          <w:bCs/>
          <w:i/>
          <w:iCs/>
          <w:color w:val="5A5A5A"/>
          <w:sz w:val="21"/>
          <w:szCs w:val="21"/>
        </w:rPr>
        <w:t xml:space="preserve">2.4. Protection de l’élève et qualité de l’enseignement</w:t>
      </w:r>
    </w:p>
    <w:p>
      <w:pPr>
        <w:pStyle w:val="ListParagraph"/>
        <w:numPr>
          <w:ilvl w:val="0"/>
          <w:numId w:val="2"/>
        </w:numPr>
        <w:spacing w:after="70" w:line="264"/>
        <w:jc w:val="both"/>
      </w:pPr>
      <w:r>
        <w:rPr>
          <w:rFonts w:ascii="Calibri" w:cs="Calibri" w:eastAsia="Calibri" w:hAnsi="Calibri"/>
          <w:b/>
          <w:bCs/>
          <w:color w:val="1A1A1A"/>
          <w:sz w:val="20"/>
          <w:szCs w:val="20"/>
        </w:rPr>
        <w:t xml:space="preserve">Violences</w:t>
      </w:r>
      <w:r>
        <w:rPr>
          <w:rFonts w:ascii="Calibri" w:cs="Calibri" w:eastAsia="Calibri" w:hAnsi="Calibri"/>
          <w:color w:val="1A1A1A"/>
          <w:sz w:val="20"/>
          <w:szCs w:val="20"/>
        </w:rPr>
        <w:t xml:space="preserve"> : obligation positive de protéger les élèves contre les abus sexuels, y compris dans les écoles confessionnelles financées par l’État (</w:t>
      </w:r>
      <w:r>
        <w:rPr>
          <w:rFonts w:ascii="Calibri" w:cs="Calibri" w:eastAsia="Calibri" w:hAnsi="Calibri"/>
          <w:color w:val="E91E63"/>
          <w:sz w:val="20"/>
          <w:szCs w:val="20"/>
        </w:rPr>
        <w:t xml:space="preserve">CEDH [GC], 28 janvier 2014, O’Keeffe c. Irlande</w:t>
      </w:r>
      <w:r>
        <w:rPr>
          <w:rFonts w:ascii="Calibri" w:cs="Calibri" w:eastAsia="Calibri" w:hAnsi="Calibri"/>
          <w:color w:val="1A1A1A"/>
          <w:sz w:val="20"/>
          <w:szCs w:val="20"/>
        </w:rPr>
        <w:t xml:space="preserve">) — écho aux révélations sur des établissements privés catholiques en France et à la commission d’enquête parlementaire de 2025. </w:t>
      </w:r>
      <w:r>
        <w:rPr>
          <w:rFonts w:ascii="Calibri" w:cs="Calibri" w:eastAsia="Calibri" w:hAnsi="Calibri"/>
          <w:b/>
          <w:bCs/>
          <w:color w:val="1A1A1A"/>
          <w:sz w:val="20"/>
          <w:szCs w:val="20"/>
        </w:rPr>
        <w:t xml:space="preserve">Harcèlement</w:t>
      </w:r>
      <w:r>
        <w:rPr>
          <w:rFonts w:ascii="Calibri" w:cs="Calibri" w:eastAsia="Calibri" w:hAnsi="Calibri"/>
          <w:color w:val="1A1A1A"/>
          <w:sz w:val="20"/>
          <w:szCs w:val="20"/>
        </w:rPr>
        <w:t xml:space="preserve"> : délit autonome (</w:t>
      </w:r>
      <w:r>
        <w:rPr>
          <w:rFonts w:ascii="Calibri" w:cs="Calibri" w:eastAsia="Calibri" w:hAnsi="Calibri"/>
          <w:color w:val="1E88E5"/>
          <w:sz w:val="20"/>
          <w:szCs w:val="20"/>
        </w:rPr>
        <w:t xml:space="preserve">art. 222-33-2-3 C. pén.</w:t>
      </w:r>
      <w:r>
        <w:rPr>
          <w:rFonts w:ascii="Calibri" w:cs="Calibri" w:eastAsia="Calibri" w:hAnsi="Calibri"/>
          <w:color w:val="1A1A1A"/>
          <w:sz w:val="20"/>
          <w:szCs w:val="20"/>
        </w:rPr>
        <w:t xml:space="preserve">) et droit à une scolarité sans harcèlement (</w:t>
      </w:r>
      <w:r>
        <w:rPr>
          <w:rFonts w:ascii="Calibri" w:cs="Calibri" w:eastAsia="Calibri" w:hAnsi="Calibri"/>
          <w:color w:val="1E88E5"/>
          <w:sz w:val="20"/>
          <w:szCs w:val="20"/>
        </w:rPr>
        <w:t xml:space="preserve">art. L. 111-6 C. éduc.</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loi du 2 mars 2022</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Endoctrinement</w:t>
      </w:r>
      <w:r>
        <w:rPr>
          <w:rFonts w:ascii="Calibri" w:cs="Calibri" w:eastAsia="Calibri" w:hAnsi="Calibri"/>
          <w:color w:val="1A1A1A"/>
          <w:sz w:val="20"/>
          <w:szCs w:val="20"/>
        </w:rPr>
        <w:t xml:space="preserve"> : l’État doit transmettre les savoirs de manière objective, critique et pluraliste (</w:t>
      </w:r>
      <w:r>
        <w:rPr>
          <w:rFonts w:ascii="Calibri" w:cs="Calibri" w:eastAsia="Calibri" w:hAnsi="Calibri"/>
          <w:color w:val="E91E63"/>
          <w:sz w:val="20"/>
          <w:szCs w:val="20"/>
        </w:rPr>
        <w:t xml:space="preserve">Kjeldsen</w:t>
      </w:r>
      <w:r>
        <w:rPr>
          <w:rFonts w:ascii="Calibri" w:cs="Calibri" w:eastAsia="Calibri" w:hAnsi="Calibri"/>
          <w:color w:val="1A1A1A"/>
          <w:sz w:val="20"/>
          <w:szCs w:val="20"/>
        </w:rPr>
        <w:t xml:space="preserve">, 1976) ; fermeture d’écoles en alphabet latin en Transnistrie (</w:t>
      </w:r>
      <w:r>
        <w:rPr>
          <w:rFonts w:ascii="Calibri" w:cs="Calibri" w:eastAsia="Calibri" w:hAnsi="Calibri"/>
          <w:color w:val="E91E63"/>
          <w:sz w:val="20"/>
          <w:szCs w:val="20"/>
        </w:rPr>
        <w:t xml:space="preserve">CEDH [GC], 19 octobre 2012, Catan et autres c. Moldova et Russie</w:t>
      </w:r>
      <w:r>
        <w:rPr>
          <w:rFonts w:ascii="Calibri" w:cs="Calibri" w:eastAsia="Calibri" w:hAnsi="Calibri"/>
          <w:color w:val="1A1A1A"/>
          <w:sz w:val="20"/>
          <w:szCs w:val="20"/>
        </w:rPr>
        <w:t xml:space="preserve">) ; suppression de l’enseignement en ukrainien et russification des programmes dans les territoires occupés (</w:t>
      </w:r>
      <w:r>
        <w:rPr>
          <w:rFonts w:ascii="Calibri" w:cs="Calibri" w:eastAsia="Calibri" w:hAnsi="Calibri"/>
          <w:color w:val="E91E63"/>
          <w:sz w:val="20"/>
          <w:szCs w:val="20"/>
        </w:rPr>
        <w:t xml:space="preserve">CEDH [GC], 9 juillet 2025, Ukraine et Pays-Bas c. Russie</w:t>
      </w:r>
      <w:r>
        <w:rPr>
          <w:rFonts w:ascii="Calibri" w:cs="Calibri" w:eastAsia="Calibri" w:hAnsi="Calibri"/>
          <w:color w:val="1A1A1A"/>
          <w:sz w:val="20"/>
          <w:szCs w:val="20"/>
        </w:rPr>
        <w:t xml:space="preserve">).</w:t>
      </w:r>
    </w:p>
    <w:p>
      <w:pPr>
        <w:pStyle w:val="Heading2"/>
        <w:spacing w:after="120" w:before="280"/>
      </w:pPr>
      <w:r>
        <w:rPr>
          <w:rFonts w:ascii="Calibri" w:cs="Calibri" w:eastAsia="Calibri" w:hAnsi="Calibri"/>
          <w:b/>
          <w:bCs/>
          <w:color w:val="1A1A1A"/>
          <w:sz w:val="24"/>
          <w:szCs w:val="24"/>
        </w:rPr>
        <w:t xml:space="preserve">3. Le droit à la formation</w:t>
      </w:r>
    </w:p>
    <w:p>
      <w:pPr>
        <w:pStyle w:val="ListParagraph"/>
        <w:numPr>
          <w:ilvl w:val="0"/>
          <w:numId w:val="2"/>
        </w:numPr>
        <w:spacing w:after="70" w:line="264"/>
        <w:jc w:val="both"/>
      </w:pPr>
      <w:r>
        <w:rPr>
          <w:rFonts w:ascii="Calibri" w:cs="Calibri" w:eastAsia="Calibri" w:hAnsi="Calibri"/>
          <w:b/>
          <w:bCs/>
          <w:color w:val="1A1A1A"/>
          <w:sz w:val="20"/>
          <w:szCs w:val="20"/>
        </w:rPr>
        <w:t xml:space="preserve">Sources</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10 Charte sociale révisée</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14 CDFUE</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L. 6111-1 C. trav.</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L. 6111-6</w:t>
      </w:r>
      <w:r>
        <w:rPr>
          <w:rFonts w:ascii="Calibri" w:cs="Calibri" w:eastAsia="Calibri" w:hAnsi="Calibri"/>
          <w:color w:val="1A1A1A"/>
          <w:sz w:val="20"/>
          <w:szCs w:val="20"/>
        </w:rPr>
        <w:t xml:space="preserve"> (conseil en évolution professionnelle). </w:t>
      </w:r>
      <w:r>
        <w:rPr>
          <w:rFonts w:ascii="Calibri" w:cs="Calibri" w:eastAsia="Calibri" w:hAnsi="Calibri"/>
          <w:b/>
          <w:bCs/>
          <w:color w:val="1A1A1A"/>
          <w:sz w:val="20"/>
          <w:szCs w:val="20"/>
        </w:rPr>
        <w:t xml:space="preserve">Outils</w:t>
      </w:r>
      <w:r>
        <w:rPr>
          <w:rFonts w:ascii="Calibri" w:cs="Calibri" w:eastAsia="Calibri" w:hAnsi="Calibri"/>
          <w:color w:val="1A1A1A"/>
          <w:sz w:val="20"/>
          <w:szCs w:val="20"/>
        </w:rPr>
        <w:t xml:space="preserve"> : compte personnel de formation (</w:t>
      </w:r>
      <w:r>
        <w:rPr>
          <w:rFonts w:ascii="Calibri" w:cs="Calibri" w:eastAsia="Calibri" w:hAnsi="Calibri"/>
          <w:color w:val="1E88E5"/>
          <w:sz w:val="20"/>
          <w:szCs w:val="20"/>
        </w:rPr>
        <w:t xml:space="preserve">loi du 5 mars 2014</w:t>
      </w:r>
      <w:r>
        <w:rPr>
          <w:rFonts w:ascii="Calibri" w:cs="Calibri" w:eastAsia="Calibri" w:hAnsi="Calibri"/>
          <w:color w:val="1A1A1A"/>
          <w:sz w:val="20"/>
          <w:szCs w:val="20"/>
        </w:rPr>
        <w:t xml:space="preserve">, monétisé par la </w:t>
      </w:r>
      <w:r>
        <w:rPr>
          <w:rFonts w:ascii="Calibri" w:cs="Calibri" w:eastAsia="Calibri" w:hAnsi="Calibri"/>
          <w:color w:val="1E88E5"/>
          <w:sz w:val="20"/>
          <w:szCs w:val="20"/>
        </w:rPr>
        <w:t xml:space="preserve">loi du 5 septembre 2018</w:t>
      </w:r>
      <w:r>
        <w:rPr>
          <w:rFonts w:ascii="Calibri" w:cs="Calibri" w:eastAsia="Calibri" w:hAnsi="Calibri"/>
          <w:color w:val="1A1A1A"/>
          <w:sz w:val="20"/>
          <w:szCs w:val="20"/>
        </w:rPr>
        <w:t xml:space="preserve">) ; obligation d’adaptation de l’employeur et de reclassement avant licenciement économique (</w:t>
      </w:r>
      <w:r>
        <w:rPr>
          <w:rFonts w:ascii="Calibri" w:cs="Calibri" w:eastAsia="Calibri" w:hAnsi="Calibri"/>
          <w:color w:val="1E88E5"/>
          <w:sz w:val="20"/>
          <w:szCs w:val="20"/>
        </w:rPr>
        <w:t xml:space="preserve">art. L. 1233-4</w:t>
      </w:r>
      <w:r>
        <w:rPr>
          <w:rFonts w:ascii="Calibri" w:cs="Calibri" w:eastAsia="Calibri" w:hAnsi="Calibri"/>
          <w:color w:val="1A1A1A"/>
          <w:sz w:val="20"/>
          <w:szCs w:val="20"/>
        </w:rPr>
        <w:t xml:space="preserve">). </w:t>
      </w:r>
      <w:r>
        <w:rPr>
          <w:rFonts w:ascii="Calibri" w:cs="Calibri" w:eastAsia="Calibri" w:hAnsi="Calibri"/>
          <w:b/>
          <w:bCs/>
          <w:color w:val="1A1A1A"/>
          <w:sz w:val="20"/>
          <w:szCs w:val="20"/>
        </w:rPr>
        <w:t xml:space="preserve">Détenus</w:t>
      </w:r>
      <w:r>
        <w:rPr>
          <w:rFonts w:ascii="Calibri" w:cs="Calibri" w:eastAsia="Calibri" w:hAnsi="Calibri"/>
          <w:color w:val="1A1A1A"/>
          <w:sz w:val="20"/>
          <w:szCs w:val="20"/>
        </w:rPr>
        <w:t xml:space="preserve"> : droit à l’enseignement et à la formation (</w:t>
      </w:r>
      <w:r>
        <w:rPr>
          <w:rFonts w:ascii="Calibri" w:cs="Calibri" w:eastAsia="Calibri" w:hAnsi="Calibri"/>
          <w:color w:val="1E88E5"/>
          <w:sz w:val="20"/>
          <w:szCs w:val="20"/>
        </w:rPr>
        <w:t xml:space="preserve">art. R. 413-2 et s. C. pénit.</w:t>
      </w:r>
      <w:r>
        <w:rPr>
          <w:rFonts w:ascii="Calibri" w:cs="Calibri" w:eastAsia="Calibri" w:hAnsi="Calibri"/>
          <w:color w:val="1A1A1A"/>
          <w:sz w:val="20"/>
          <w:szCs w:val="20"/>
        </w:rPr>
        <w:t xml:space="preserve">).</w:t>
      </w:r>
    </w:p>
    <w:p>
      <w:pPr>
        <w:pStyle w:val="Heading2"/>
        <w:spacing w:after="120" w:before="280"/>
      </w:pPr>
      <w:r>
        <w:rPr>
          <w:rFonts w:ascii="Calibri" w:cs="Calibri" w:eastAsia="Calibri" w:hAnsi="Calibri"/>
          <w:b/>
          <w:bCs/>
          <w:color w:val="1A1A1A"/>
          <w:sz w:val="24"/>
          <w:szCs w:val="24"/>
        </w:rPr>
        <w:t xml:space="preserve">4. Débats doctrinaux et critiques</w:t>
      </w:r>
    </w:p>
    <w:p>
      <w:pPr>
        <w:pStyle w:val="ListParagraph"/>
        <w:numPr>
          <w:ilvl w:val="0"/>
          <w:numId w:val="2"/>
        </w:numPr>
        <w:spacing w:after="70" w:line="264"/>
        <w:jc w:val="both"/>
      </w:pPr>
      <w:r>
        <w:rPr>
          <w:rFonts w:ascii="Calibri" w:cs="Calibri" w:eastAsia="Calibri" w:hAnsi="Calibri"/>
          <w:b/>
          <w:bCs/>
          <w:color w:val="1A1A1A"/>
          <w:sz w:val="20"/>
          <w:szCs w:val="20"/>
        </w:rPr>
        <w:t xml:space="preserve">Reproduction ou émancipation ?</w:t>
      </w:r>
      <w:r>
        <w:rPr>
          <w:rFonts w:ascii="Calibri" w:cs="Calibri" w:eastAsia="Calibri" w:hAnsi="Calibri"/>
          <w:color w:val="1A1A1A"/>
          <w:sz w:val="20"/>
          <w:szCs w:val="20"/>
        </w:rPr>
        <w:t xml:space="preserve"> — </w:t>
      </w:r>
      <w:r>
        <w:rPr>
          <w:rFonts w:ascii="Calibri" w:cs="Calibri" w:eastAsia="Calibri" w:hAnsi="Calibri"/>
          <w:color w:val="2E7D32"/>
          <w:sz w:val="20"/>
          <w:szCs w:val="20"/>
        </w:rPr>
        <w:t xml:space="preserve">Condorcet</w:t>
      </w:r>
      <w:r>
        <w:rPr>
          <w:rFonts w:ascii="Calibri" w:cs="Calibri" w:eastAsia="Calibri" w:hAnsi="Calibri"/>
          <w:color w:val="1A1A1A"/>
          <w:sz w:val="20"/>
          <w:szCs w:val="20"/>
        </w:rPr>
        <w:t xml:space="preserve"> (1792) : l’instruction rend « réelle » l’égalité des droits ; </w:t>
      </w:r>
      <w:r>
        <w:rPr>
          <w:rFonts w:ascii="Calibri" w:cs="Calibri" w:eastAsia="Calibri" w:hAnsi="Calibri"/>
          <w:color w:val="2E7D32"/>
          <w:sz w:val="20"/>
          <w:szCs w:val="20"/>
        </w:rPr>
        <w:t xml:space="preserve">Bourdieu et Passeron</w:t>
      </w:r>
      <w:r>
        <w:rPr>
          <w:rFonts w:ascii="Calibri" w:cs="Calibri" w:eastAsia="Calibri" w:hAnsi="Calibri"/>
          <w:color w:val="1A1A1A"/>
          <w:sz w:val="20"/>
          <w:szCs w:val="20"/>
        </w:rPr>
        <w:t xml:space="preserve"> (</w:t>
      </w:r>
      <w:r>
        <w:rPr>
          <w:rFonts w:ascii="Calibri" w:cs="Calibri" w:eastAsia="Calibri" w:hAnsi="Calibri"/>
          <w:color w:val="2E7D32"/>
          <w:sz w:val="20"/>
          <w:szCs w:val="20"/>
        </w:rPr>
        <w:t xml:space="preserve">Les Héritiers</w:t>
      </w:r>
      <w:r>
        <w:rPr>
          <w:rFonts w:ascii="Calibri" w:cs="Calibri" w:eastAsia="Calibri" w:hAnsi="Calibri"/>
          <w:color w:val="1A1A1A"/>
          <w:sz w:val="20"/>
          <w:szCs w:val="20"/>
        </w:rPr>
        <w:t xml:space="preserve">, 1964 ; </w:t>
      </w:r>
      <w:r>
        <w:rPr>
          <w:rFonts w:ascii="Calibri" w:cs="Calibri" w:eastAsia="Calibri" w:hAnsi="Calibri"/>
          <w:color w:val="2E7D32"/>
          <w:sz w:val="20"/>
          <w:szCs w:val="20"/>
        </w:rPr>
        <w:t xml:space="preserve">La Reproduction</w:t>
      </w:r>
      <w:r>
        <w:rPr>
          <w:rFonts w:ascii="Calibri" w:cs="Calibri" w:eastAsia="Calibri" w:hAnsi="Calibri"/>
          <w:color w:val="1A1A1A"/>
          <w:sz w:val="20"/>
          <w:szCs w:val="20"/>
        </w:rPr>
        <w:t xml:space="preserve">, 1970) : l’école convertit des héritages culturels en mérites scolaires. Les enquêtes PISA confirment que la France est l’un des pays de l’OCDE où l’origine sociale pèse le plus sur les résultats.</w:t>
      </w:r>
    </w:p>
    <w:p>
      <w:pPr>
        <w:pStyle w:val="ListParagraph"/>
        <w:numPr>
          <w:ilvl w:val="0"/>
          <w:numId w:val="2"/>
        </w:numPr>
        <w:spacing w:after="70" w:line="264"/>
        <w:jc w:val="both"/>
      </w:pPr>
      <w:r>
        <w:rPr>
          <w:rFonts w:ascii="Calibri" w:cs="Calibri" w:eastAsia="Calibri" w:hAnsi="Calibri"/>
          <w:b/>
          <w:bCs/>
          <w:color w:val="1A1A1A"/>
          <w:sz w:val="20"/>
          <w:szCs w:val="20"/>
        </w:rPr>
        <w:t xml:space="preserve">Justiciabilité des droits-créances</w:t>
      </w:r>
      <w:r>
        <w:rPr>
          <w:rFonts w:ascii="Calibri" w:cs="Calibri" w:eastAsia="Calibri" w:hAnsi="Calibri"/>
          <w:color w:val="1A1A1A"/>
          <w:sz w:val="20"/>
          <w:szCs w:val="20"/>
        </w:rPr>
        <w:t xml:space="preserve"> — le droit à l’éducation produit des obligations de moyens difficilement sanctionnables ; le juge sanctionne la carence caractérisée (handicap, </w:t>
      </w:r>
      <w:r>
        <w:rPr>
          <w:rFonts w:ascii="Calibri" w:cs="Calibri" w:eastAsia="Calibri" w:hAnsi="Calibri"/>
          <w:color w:val="E91E63"/>
          <w:sz w:val="20"/>
          <w:szCs w:val="20"/>
        </w:rPr>
        <w:t xml:space="preserve">Laruelle</w:t>
      </w:r>
      <w:r>
        <w:rPr>
          <w:rFonts w:ascii="Calibri" w:cs="Calibri" w:eastAsia="Calibri" w:hAnsi="Calibri"/>
          <w:color w:val="1A1A1A"/>
          <w:sz w:val="20"/>
          <w:szCs w:val="20"/>
        </w:rPr>
        <w:t xml:space="preserve">) mais refuse de définir la politique éducative — même logique que pour la santé (</w:t>
      </w:r>
      <w:r>
        <w:rPr>
          <w:rFonts w:ascii="Calibri" w:cs="Calibri" w:eastAsia="Calibri" w:hAnsi="Calibri"/>
          <w:color w:val="E91E63"/>
          <w:sz w:val="20"/>
          <w:szCs w:val="20"/>
        </w:rPr>
        <w:t xml:space="preserve">CE, 1er octobre 2025</w:t>
      </w:r>
      <w:r>
        <w:rPr>
          <w:rFonts w:ascii="Calibri" w:cs="Calibri" w:eastAsia="Calibri" w:hAnsi="Calibri"/>
          <w:color w:val="1A1A1A"/>
          <w:sz w:val="20"/>
          <w:szCs w:val="20"/>
        </w:rPr>
        <w:t xml:space="preserve">, déserts médicaux, fiche 48).</w:t>
      </w:r>
    </w:p>
    <w:p>
      <w:pPr>
        <w:pStyle w:val="ListParagraph"/>
        <w:numPr>
          <w:ilvl w:val="0"/>
          <w:numId w:val="2"/>
        </w:numPr>
        <w:spacing w:after="70" w:line="264"/>
        <w:jc w:val="both"/>
      </w:pPr>
      <w:r>
        <w:rPr>
          <w:rFonts w:ascii="Calibri" w:cs="Calibri" w:eastAsia="Calibri" w:hAnsi="Calibri"/>
          <w:b/>
          <w:bCs/>
          <w:color w:val="1A1A1A"/>
          <w:sz w:val="20"/>
          <w:szCs w:val="20"/>
        </w:rPr>
        <w:t xml:space="preserve">Le rapport de la Cour des comptes (2025)</w:t>
      </w:r>
      <w:r>
        <w:rPr>
          <w:rFonts w:ascii="Calibri" w:cs="Calibri" w:eastAsia="Calibri" w:hAnsi="Calibri"/>
          <w:color w:val="1A1A1A"/>
          <w:sz w:val="20"/>
          <w:szCs w:val="20"/>
        </w:rPr>
        <w:t xml:space="preserve"> — l’échec scolaire comme méconnaissance de l’</w:t>
      </w:r>
      <w:r>
        <w:rPr>
          <w:rFonts w:ascii="Calibri" w:cs="Calibri" w:eastAsia="Calibri" w:hAnsi="Calibri"/>
          <w:color w:val="1E88E5"/>
          <w:sz w:val="20"/>
          <w:szCs w:val="20"/>
        </w:rPr>
        <w:t xml:space="preserve">art. 29 CIDE</w:t>
      </w:r>
      <w:r>
        <w:rPr>
          <w:rFonts w:ascii="Calibri" w:cs="Calibri" w:eastAsia="Calibri" w:hAnsi="Calibri"/>
          <w:color w:val="1A1A1A"/>
          <w:sz w:val="20"/>
          <w:szCs w:val="20"/>
        </w:rPr>
        <w:t xml:space="preserve"> (épanouissement) : un constat de politique publique peut-il fonder un grief juridique ? En l’état, non — d’où l’intérêt de la réclamation collective devant le Comité européen des droits sociaux.</w:t>
      </w:r>
    </w:p>
    <w:p>
      <w:pPr>
        <w:pStyle w:val="Heading2"/>
        <w:spacing w:after="120" w:before="280"/>
      </w:pPr>
      <w:r>
        <w:rPr>
          <w:rFonts w:ascii="Calibri" w:cs="Calibri" w:eastAsia="Calibri" w:hAnsi="Calibri"/>
          <w:b/>
          <w:bCs/>
          <w:color w:val="1A1A1A"/>
          <w:sz w:val="24"/>
          <w:szCs w:val="24"/>
        </w:rPr>
        <w:t xml:space="preserve">5. Dispositif « Grand Oral »</w:t>
      </w:r>
    </w:p>
    <w:p>
      <w:pPr>
        <w:pStyle w:val="Heading3"/>
        <w:spacing w:after="90" w:before="200"/>
      </w:pPr>
      <w:r>
        <w:rPr>
          <w:rFonts w:ascii="Calibri" w:cs="Calibri" w:eastAsia="Calibri" w:hAnsi="Calibri"/>
          <w:b/>
          <w:bCs/>
          <w:i/>
          <w:iCs/>
          <w:color w:val="5A5A5A"/>
          <w:sz w:val="21"/>
          <w:szCs w:val="21"/>
        </w:rPr>
        <w:t xml:space="preserve">5.1. Trois relances / questions pièges</w:t>
      </w:r>
    </w:p>
    <w:p>
      <w:pPr>
        <w:pStyle w:val="ListParagraph"/>
        <w:numPr>
          <w:ilvl w:val="0"/>
          <w:numId w:val="2"/>
        </w:numPr>
        <w:spacing w:after="70" w:line="264"/>
        <w:jc w:val="both"/>
      </w:pPr>
      <w:r>
        <w:rPr>
          <w:rFonts w:ascii="Calibri" w:cs="Calibri" w:eastAsia="Calibri" w:hAnsi="Calibri"/>
          <w:b/>
          <w:bCs/>
          <w:color w:val="1A1A1A"/>
          <w:sz w:val="20"/>
          <w:szCs w:val="20"/>
        </w:rPr>
        <w:t xml:space="preserve">« Un enfant sans papiers a-t-il droit à l’école ? »</w:t>
      </w:r>
      <w:r>
        <w:rPr>
          <w:rFonts w:ascii="Calibri" w:cs="Calibri" w:eastAsia="Calibri" w:hAnsi="Calibri"/>
          <w:color w:val="1A1A1A"/>
          <w:sz w:val="20"/>
          <w:szCs w:val="20"/>
        </w:rPr>
        <w:t xml:space="preserve"> — Oui : l’instruction est obligatoire pour tout enfant résidant en France, sans condition de régularité ; le refus d’inscription par un maire est illégal et peut être suspendu en référé.</w:t>
      </w:r>
    </w:p>
    <w:p>
      <w:pPr>
        <w:pStyle w:val="ListParagraph"/>
        <w:numPr>
          <w:ilvl w:val="0"/>
          <w:numId w:val="2"/>
        </w:numPr>
        <w:spacing w:after="70" w:line="264"/>
        <w:jc w:val="both"/>
      </w:pPr>
      <w:r>
        <w:rPr>
          <w:rFonts w:ascii="Calibri" w:cs="Calibri" w:eastAsia="Calibri" w:hAnsi="Calibri"/>
          <w:b/>
          <w:bCs/>
          <w:color w:val="1A1A1A"/>
          <w:sz w:val="20"/>
          <w:szCs w:val="20"/>
        </w:rPr>
        <w:t xml:space="preserve">« Le juge peut-il ordonner l’affectation d’une AESH ? »</w:t>
      </w:r>
      <w:r>
        <w:rPr>
          <w:rFonts w:ascii="Calibri" w:cs="Calibri" w:eastAsia="Calibri" w:hAnsi="Calibri"/>
          <w:color w:val="1A1A1A"/>
          <w:sz w:val="20"/>
          <w:szCs w:val="20"/>
        </w:rPr>
        <w:t xml:space="preserve"> — Oui en cas de carence caractérisée portant atteinte à l’égal accès à l’instruction de l’enfant handicapé, en référé ; et la carence engage la responsabilité de l’État (</w:t>
      </w:r>
      <w:r>
        <w:rPr>
          <w:rFonts w:ascii="Calibri" w:cs="Calibri" w:eastAsia="Calibri" w:hAnsi="Calibri"/>
          <w:color w:val="E91E63"/>
          <w:sz w:val="20"/>
          <w:szCs w:val="20"/>
        </w:rPr>
        <w:t xml:space="preserve">Laruelle</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 La sélection à l’université est-elle contraire au droit à l’éducation ? »</w:t>
      </w:r>
      <w:r>
        <w:rPr>
          <w:rFonts w:ascii="Calibri" w:cs="Calibri" w:eastAsia="Calibri" w:hAnsi="Calibri"/>
          <w:color w:val="1A1A1A"/>
          <w:sz w:val="20"/>
          <w:szCs w:val="20"/>
        </w:rPr>
        <w:t xml:space="preserve"> — Non : l’</w:t>
      </w:r>
      <w:r>
        <w:rPr>
          <w:rFonts w:ascii="Calibri" w:cs="Calibri" w:eastAsia="Calibri" w:hAnsi="Calibri"/>
          <w:color w:val="1E88E5"/>
          <w:sz w:val="20"/>
          <w:szCs w:val="20"/>
        </w:rPr>
        <w:t xml:space="preserve">art. 2 Prot. 1</w:t>
      </w:r>
      <w:r>
        <w:rPr>
          <w:rFonts w:ascii="Calibri" w:cs="Calibri" w:eastAsia="Calibri" w:hAnsi="Calibri"/>
          <w:color w:val="1A1A1A"/>
          <w:sz w:val="20"/>
          <w:szCs w:val="20"/>
        </w:rPr>
        <w:t xml:space="preserve"> admet une réglementation de l’accès selon les capacités (</w:t>
      </w:r>
      <w:r>
        <w:rPr>
          <w:rFonts w:ascii="Calibri" w:cs="Calibri" w:eastAsia="Calibri" w:hAnsi="Calibri"/>
          <w:color w:val="E91E63"/>
          <w:sz w:val="20"/>
          <w:szCs w:val="20"/>
        </w:rPr>
        <w:t xml:space="preserve">Altınay</w:t>
      </w:r>
      <w:r>
        <w:rPr>
          <w:rFonts w:ascii="Calibri" w:cs="Calibri" w:eastAsia="Calibri" w:hAnsi="Calibri"/>
          <w:color w:val="1A1A1A"/>
          <w:sz w:val="20"/>
          <w:szCs w:val="20"/>
        </w:rPr>
        <w:t xml:space="preserve">) ; l’exigence est celle de critères objectifs et transparents (</w:t>
      </w:r>
      <w:r>
        <w:rPr>
          <w:rFonts w:ascii="Calibri" w:cs="Calibri" w:eastAsia="Calibri" w:hAnsi="Calibri"/>
          <w:color w:val="E91E63"/>
          <w:sz w:val="20"/>
          <w:szCs w:val="20"/>
        </w:rPr>
        <w:t xml:space="preserve">2020-834 QPC</w:t>
      </w:r>
      <w:r>
        <w:rPr>
          <w:rFonts w:ascii="Calibri" w:cs="Calibri" w:eastAsia="Calibri" w:hAnsi="Calibri"/>
          <w:color w:val="1A1A1A"/>
          <w:sz w:val="20"/>
          <w:szCs w:val="20"/>
        </w:rPr>
        <w:t xml:space="preserve">).</w:t>
      </w:r>
    </w:p>
    <w:p>
      <w:pPr>
        <w:pStyle w:val="Heading3"/>
        <w:spacing w:after="90" w:before="200"/>
      </w:pPr>
      <w:r>
        <w:rPr>
          <w:rFonts w:ascii="Calibri" w:cs="Calibri" w:eastAsia="Calibri" w:hAnsi="Calibri"/>
          <w:b/>
          <w:bCs/>
          <w:i/>
          <w:iCs/>
          <w:color w:val="5A5A5A"/>
          <w:sz w:val="21"/>
          <w:szCs w:val="21"/>
        </w:rPr>
        <w:t xml:space="preserve">5.2. Sujets d’exposé rattachables</w:t>
      </w:r>
    </w:p>
    <w:p>
      <w:pPr>
        <w:pStyle w:val="ListParagraph"/>
        <w:numPr>
          <w:ilvl w:val="0"/>
          <w:numId w:val="2"/>
        </w:numPr>
        <w:spacing w:after="70" w:line="264"/>
        <w:jc w:val="both"/>
      </w:pPr>
      <w:r>
        <w:rPr>
          <w:rFonts w:ascii="Calibri" w:cs="Calibri" w:eastAsia="Calibri" w:hAnsi="Calibri"/>
          <w:color w:val="1A1A1A"/>
          <w:sz w:val="20"/>
          <w:szCs w:val="20"/>
        </w:rPr>
        <w:t xml:space="preserve">Le droit à l’éducation — L’école, institution d’égalité ? — Le droit à la formation tout au long de la vie — Éducation et handicap — La gratuité de l’enseignement — Commentaire du rapport de la Cour des comptes (mai 2025) (sujet « Pour s’entraîner » du fascicule) — Commentaire : </w:t>
      </w:r>
      <w:r>
        <w:rPr>
          <w:rFonts w:ascii="Calibri" w:cs="Calibri" w:eastAsia="Calibri" w:hAnsi="Calibri"/>
          <w:color w:val="E91E63"/>
          <w:sz w:val="20"/>
          <w:szCs w:val="20"/>
        </w:rPr>
        <w:t xml:space="preserve">2019-809 QPC</w:t>
      </w:r>
      <w:r>
        <w:rPr>
          <w:rFonts w:ascii="Calibri" w:cs="Calibri" w:eastAsia="Calibri" w:hAnsi="Calibri"/>
          <w:color w:val="1A1A1A"/>
          <w:sz w:val="20"/>
          <w:szCs w:val="20"/>
        </w:rPr>
        <w:t xml:space="preserve">.</w:t>
      </w:r>
    </w:p>
    <w:p>
      <w:pPr>
        <w:pStyle w:val="Heading3"/>
        <w:spacing w:after="90" w:before="200"/>
      </w:pPr>
      <w:r>
        <w:rPr>
          <w:rFonts w:ascii="Calibri" w:cs="Calibri" w:eastAsia="Calibri" w:hAnsi="Calibri"/>
          <w:b/>
          <w:bCs/>
          <w:i/>
          <w:iCs/>
          <w:color w:val="5A5A5A"/>
          <w:sz w:val="21"/>
          <w:szCs w:val="21"/>
        </w:rPr>
        <w:t xml:space="preserve">5.3. Angles morts — en question / réponse</w:t>
      </w:r>
    </w:p>
    <w:p>
      <w:pPr>
        <w:pStyle w:val="ListParagraph"/>
        <w:numPr>
          <w:ilvl w:val="0"/>
          <w:numId w:val="2"/>
        </w:numPr>
        <w:spacing w:after="70" w:line="264"/>
        <w:jc w:val="both"/>
      </w:pPr>
      <w:r>
        <w:rPr>
          <w:rFonts w:ascii="Calibri" w:cs="Calibri" w:eastAsia="Calibri" w:hAnsi="Calibri"/>
          <w:b/>
          <w:bCs/>
          <w:color w:val="1A1A1A"/>
          <w:sz w:val="20"/>
          <w:szCs w:val="20"/>
        </w:rPr>
        <w:t xml:space="preserve">Q. Depuis quand l’instruction est-elle obligatoire dès trois ans ?</w:t>
      </w:r>
      <w:r>
        <w:rPr>
          <w:rFonts w:ascii="Calibri" w:cs="Calibri" w:eastAsia="Calibri" w:hAnsi="Calibri"/>
          <w:color w:val="1A1A1A"/>
          <w:sz w:val="20"/>
          <w:szCs w:val="20"/>
        </w:rPr>
        <w:t xml:space="preserve"> — Depuis la rentrée 2019 (</w:t>
      </w:r>
      <w:r>
        <w:rPr>
          <w:rFonts w:ascii="Calibri" w:cs="Calibri" w:eastAsia="Calibri" w:hAnsi="Calibri"/>
          <w:color w:val="1E88E5"/>
          <w:sz w:val="20"/>
          <w:szCs w:val="20"/>
        </w:rPr>
        <w:t xml:space="preserve">loi du 26 juillet 2019</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Q. Quelle loi a établi la gratuité de l’école primaire publique ?</w:t>
      </w:r>
      <w:r>
        <w:rPr>
          <w:rFonts w:ascii="Calibri" w:cs="Calibri" w:eastAsia="Calibri" w:hAnsi="Calibri"/>
          <w:color w:val="1A1A1A"/>
          <w:sz w:val="20"/>
          <w:szCs w:val="20"/>
        </w:rPr>
        <w:t xml:space="preserve"> — La </w:t>
      </w:r>
      <w:r>
        <w:rPr>
          <w:rFonts w:ascii="Calibri" w:cs="Calibri" w:eastAsia="Calibri" w:hAnsi="Calibri"/>
          <w:color w:val="1E88E5"/>
          <w:sz w:val="20"/>
          <w:szCs w:val="20"/>
        </w:rPr>
        <w:t xml:space="preserve">loi du 16 juin 1881</w:t>
      </w:r>
      <w:r>
        <w:rPr>
          <w:rFonts w:ascii="Calibri" w:cs="Calibri" w:eastAsia="Calibri" w:hAnsi="Calibri"/>
          <w:color w:val="1A1A1A"/>
          <w:sz w:val="20"/>
          <w:szCs w:val="20"/>
        </w:rPr>
        <w:t xml:space="preserve"> (Jules Ferry).</w:t>
      </w:r>
    </w:p>
    <w:p>
      <w:pPr>
        <w:pStyle w:val="ListParagraph"/>
        <w:numPr>
          <w:ilvl w:val="0"/>
          <w:numId w:val="2"/>
        </w:numPr>
        <w:spacing w:after="70" w:line="264"/>
        <w:jc w:val="both"/>
      </w:pPr>
      <w:r>
        <w:rPr>
          <w:rFonts w:ascii="Calibri" w:cs="Calibri" w:eastAsia="Calibri" w:hAnsi="Calibri"/>
          <w:b/>
          <w:bCs/>
          <w:color w:val="1A1A1A"/>
          <w:sz w:val="20"/>
          <w:szCs w:val="20"/>
        </w:rPr>
        <w:t xml:space="preserve">Q. L’article 2 du Protocole n° 1 s’applique-t-il à l’enseignement supérieur ?</w:t>
      </w:r>
      <w:r>
        <w:rPr>
          <w:rFonts w:ascii="Calibri" w:cs="Calibri" w:eastAsia="Calibri" w:hAnsi="Calibri"/>
          <w:color w:val="1A1A1A"/>
          <w:sz w:val="20"/>
          <w:szCs w:val="20"/>
        </w:rPr>
        <w:t xml:space="preserve"> — Oui (</w:t>
      </w:r>
      <w:r>
        <w:rPr>
          <w:rFonts w:ascii="Calibri" w:cs="Calibri" w:eastAsia="Calibri" w:hAnsi="Calibri"/>
          <w:color w:val="E91E63"/>
          <w:sz w:val="20"/>
          <w:szCs w:val="20"/>
        </w:rPr>
        <w:t xml:space="preserve">Leyla Şahin</w:t>
      </w:r>
      <w:r>
        <w:rPr>
          <w:rFonts w:ascii="Calibri" w:cs="Calibri" w:eastAsia="Calibri" w:hAnsi="Calibri"/>
          <w:color w:val="1A1A1A"/>
          <w:sz w:val="20"/>
          <w:szCs w:val="20"/>
        </w:rPr>
        <w:t xml:space="preserve">, 2005).</w:t>
      </w:r>
    </w:p>
    <w:p>
      <w:pPr>
        <w:pStyle w:val="ListParagraph"/>
        <w:numPr>
          <w:ilvl w:val="0"/>
          <w:numId w:val="2"/>
        </w:numPr>
        <w:spacing w:after="70" w:line="264"/>
        <w:jc w:val="both"/>
      </w:pPr>
      <w:r>
        <w:rPr>
          <w:rFonts w:ascii="Calibri" w:cs="Calibri" w:eastAsia="Calibri" w:hAnsi="Calibri"/>
          <w:b/>
          <w:bCs/>
          <w:color w:val="1A1A1A"/>
          <w:sz w:val="20"/>
          <w:szCs w:val="20"/>
        </w:rPr>
        <w:t xml:space="preserve">Q. Le Comité européen des droits sociaux rend-il des décisions obligatoires ?</w:t>
      </w:r>
      <w:r>
        <w:rPr>
          <w:rFonts w:ascii="Calibri" w:cs="Calibri" w:eastAsia="Calibri" w:hAnsi="Calibri"/>
          <w:color w:val="1A1A1A"/>
          <w:sz w:val="20"/>
          <w:szCs w:val="20"/>
        </w:rPr>
        <w:t xml:space="preserve"> — Ses décisions sur réclamations collectives ne sont pas des arrêts exécutoires ; elles sont suivies par le Comité des ministres, qui adopte des résolutions.</w:t>
      </w:r>
    </w:p>
    <w:p>
      <w:r>
        <w:br w:type="page"/>
      </w:r>
    </w:p>
    <w:p>
      <w:pPr>
        <w:pStyle w:val="Heading1"/>
        <w:pBdr>
          <w:bottom w:val="single" w:color="8C1C2B" w:sz="12" w:space="6"/>
        </w:pBdr>
        <w:spacing w:after="200" w:before="240"/>
      </w:pPr>
      <w:r>
        <w:rPr>
          <w:rFonts w:ascii="Calibri" w:cs="Calibri" w:eastAsia="Calibri" w:hAnsi="Calibri"/>
          <w:b/>
          <w:bCs/>
          <w:color w:val="8C1C2B"/>
          <w:sz w:val="30"/>
          <w:szCs w:val="30"/>
        </w:rPr>
        <w:t xml:space="preserve">FICHE N° 48 — LE DROIT À LA SANTÉ ET À LA PROTECTION SOCIALE</w:t>
      </w:r>
    </w:p>
    <w:p>
      <w:pPr>
        <w:pStyle w:val="Heading2"/>
        <w:spacing w:after="120" w:before="280"/>
      </w:pPr>
      <w:r>
        <w:rPr>
          <w:rFonts w:ascii="Calibri" w:cs="Calibri" w:eastAsia="Calibri" w:hAnsi="Calibri"/>
          <w:b/>
          <w:bCs/>
          <w:color w:val="1A1A1A"/>
          <w:sz w:val="24"/>
          <w:szCs w:val="24"/>
        </w:rPr>
        <w:t xml:space="preserve">◆ FICHE-MÉMOIRE — à réviser en trois minutes</w:t>
      </w:r>
    </w:p>
    <w:p>
      <w:pPr>
        <w:pStyle w:val="Heading3"/>
        <w:spacing w:after="90" w:before="200"/>
      </w:pPr>
      <w:r>
        <w:rPr>
          <w:rFonts w:ascii="Calibri" w:cs="Calibri" w:eastAsia="Calibri" w:hAnsi="Calibri"/>
          <w:b/>
          <w:bCs/>
          <w:i/>
          <w:iCs/>
          <w:color w:val="5A5A5A"/>
          <w:sz w:val="21"/>
          <w:szCs w:val="21"/>
        </w:rPr>
        <w:t xml:space="preserve">Accroche</w:t>
      </w:r>
    </w:p>
    <w:p>
      <w:pPr>
        <w:pStyle w:val="ListParagraph"/>
        <w:numPr>
          <w:ilvl w:val="0"/>
          <w:numId w:val="2"/>
        </w:numPr>
        <w:spacing w:after="70" w:line="264"/>
        <w:jc w:val="both"/>
      </w:pPr>
      <w:r>
        <w:rPr>
          <w:rFonts w:ascii="Calibri" w:cs="Calibri" w:eastAsia="Calibri" w:hAnsi="Calibri"/>
          <w:color w:val="1A1A1A"/>
          <w:sz w:val="20"/>
          <w:szCs w:val="20"/>
        </w:rPr>
        <w:t xml:space="preserve">Le 15 mars 1944, le Conseil national de la Résistance adopte </w:t>
      </w:r>
      <w:r>
        <w:rPr>
          <w:rFonts w:ascii="Calibri" w:cs="Calibri" w:eastAsia="Calibri" w:hAnsi="Calibri"/>
          <w:color w:val="2E7D32"/>
          <w:sz w:val="20"/>
          <w:szCs w:val="20"/>
        </w:rPr>
        <w:t xml:space="preserve">« Les Jours heureux »</w:t>
      </w:r>
      <w:r>
        <w:rPr>
          <w:rFonts w:ascii="Calibri" w:cs="Calibri" w:eastAsia="Calibri" w:hAnsi="Calibri"/>
          <w:color w:val="1A1A1A"/>
          <w:sz w:val="20"/>
          <w:szCs w:val="20"/>
        </w:rPr>
        <w:t xml:space="preserve"> : « un plan complet de sécurité sociale, visant à assurer à tous les citoyens des moyens d’existence ». L’</w:t>
      </w:r>
      <w:r>
        <w:rPr>
          <w:rFonts w:ascii="Calibri" w:cs="Calibri" w:eastAsia="Calibri" w:hAnsi="Calibri"/>
          <w:color w:val="1E88E5"/>
          <w:sz w:val="20"/>
          <w:szCs w:val="20"/>
        </w:rPr>
        <w:t xml:space="preserve">alinéa 11 du Préambule de 1946</w:t>
      </w:r>
      <w:r>
        <w:rPr>
          <w:rFonts w:ascii="Calibri" w:cs="Calibri" w:eastAsia="Calibri" w:hAnsi="Calibri"/>
          <w:color w:val="1A1A1A"/>
          <w:sz w:val="20"/>
          <w:szCs w:val="20"/>
        </w:rPr>
        <w:t xml:space="preserve"> en fait une norme constitutionnelle. Quatre-vingts ans plus tard, le Conseil d’État refuse d’ordonner à l’État une politique contre les déserts médicaux (</w:t>
      </w:r>
      <w:r>
        <w:rPr>
          <w:rFonts w:ascii="Calibri" w:cs="Calibri" w:eastAsia="Calibri" w:hAnsi="Calibri"/>
          <w:color w:val="E91E63"/>
          <w:sz w:val="20"/>
          <w:szCs w:val="20"/>
        </w:rPr>
        <w:t xml:space="preserve">CE, 1er octobre 2025, UFC-Que Choisir</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le droit à la santé est un droit fondamental dont le juge ne peut pas écrire la politique</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color w:val="1A1A1A"/>
          <w:sz w:val="20"/>
          <w:szCs w:val="20"/>
        </w:rPr>
        <w:t xml:space="preserve">Accroche alternative : la Déclaration de 1793 proclame déjà que « les secours publics sont une </w:t>
      </w:r>
      <w:r>
        <w:rPr>
          <w:rFonts w:ascii="Calibri" w:cs="Calibri" w:eastAsia="Calibri" w:hAnsi="Calibri"/>
          <w:b/>
          <w:bCs/>
          <w:color w:val="1A1A1A"/>
          <w:sz w:val="20"/>
          <w:szCs w:val="20"/>
        </w:rPr>
        <w:t xml:space="preserve">dette sacrée</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21</w:t>
      </w:r>
      <w:r>
        <w:rPr>
          <w:rFonts w:ascii="Calibri" w:cs="Calibri" w:eastAsia="Calibri" w:hAnsi="Calibri"/>
          <w:color w:val="1A1A1A"/>
          <w:sz w:val="20"/>
          <w:szCs w:val="20"/>
        </w:rPr>
        <w:t xml:space="preserve">). La sécurité sociale a transformé cette dette morale en </w:t>
      </w:r>
      <w:r>
        <w:rPr>
          <w:rFonts w:ascii="Calibri" w:cs="Calibri" w:eastAsia="Calibri" w:hAnsi="Calibri"/>
          <w:b/>
          <w:bCs/>
          <w:color w:val="1A1A1A"/>
          <w:sz w:val="20"/>
          <w:szCs w:val="20"/>
        </w:rPr>
        <w:t xml:space="preserve">créance juridique</w:t>
      </w:r>
      <w:r>
        <w:rPr>
          <w:rFonts w:ascii="Calibri" w:cs="Calibri" w:eastAsia="Calibri" w:hAnsi="Calibri"/>
          <w:color w:val="1A1A1A"/>
          <w:sz w:val="20"/>
          <w:szCs w:val="20"/>
        </w:rPr>
        <w:t xml:space="preserve"> — mais une créance dont le législateur fixe librement le montant (</w:t>
      </w:r>
      <w:r>
        <w:rPr>
          <w:rFonts w:ascii="Calibri" w:cs="Calibri" w:eastAsia="Calibri" w:hAnsi="Calibri"/>
          <w:color w:val="E91E63"/>
          <w:sz w:val="20"/>
          <w:szCs w:val="20"/>
        </w:rPr>
        <w:t xml:space="preserve">2023-849 DC</w:t>
      </w:r>
      <w:r>
        <w:rPr>
          <w:rFonts w:ascii="Calibri" w:cs="Calibri" w:eastAsia="Calibri" w:hAnsi="Calibri"/>
          <w:color w:val="1A1A1A"/>
          <w:sz w:val="20"/>
          <w:szCs w:val="20"/>
        </w:rPr>
        <w:t xml:space="preserve">, réforme des retraites).</w:t>
      </w:r>
    </w:p>
    <w:p>
      <w:pPr>
        <w:pStyle w:val="Heading3"/>
        <w:spacing w:after="90" w:before="200"/>
      </w:pPr>
      <w:r>
        <w:rPr>
          <w:rFonts w:ascii="Calibri" w:cs="Calibri" w:eastAsia="Calibri" w:hAnsi="Calibri"/>
          <w:b/>
          <w:bCs/>
          <w:i/>
          <w:iCs/>
          <w:color w:val="5A5A5A"/>
          <w:sz w:val="21"/>
          <w:szCs w:val="21"/>
        </w:rPr>
        <w:t xml:space="preserve">Définition en trois lignes</w:t>
      </w:r>
    </w:p>
    <w:p>
      <w:pPr>
        <w:pStyle w:val="ListParagraph"/>
        <w:numPr>
          <w:ilvl w:val="0"/>
          <w:numId w:val="2"/>
        </w:numPr>
        <w:spacing w:after="70" w:line="264"/>
        <w:jc w:val="both"/>
      </w:pPr>
      <w:r>
        <w:rPr>
          <w:rFonts w:ascii="Calibri" w:cs="Calibri" w:eastAsia="Calibri" w:hAnsi="Calibri"/>
          <w:color w:val="1A1A1A"/>
          <w:sz w:val="20"/>
          <w:szCs w:val="20"/>
        </w:rPr>
        <w:t xml:space="preserve">Le droit à la protection de la santé est le droit de chacun de bénéficier des mesures de prévention et des soins appropriés à son état ; le droit à la protection sociale est le droit d’être couvert contre les risques sociaux (maladie, vieillesse, famille, accidents du travail, chômage) et d’obtenir, en cas d’incapacité de travailler, des </w:t>
      </w:r>
      <w:r>
        <w:rPr>
          <w:rFonts w:ascii="Calibri" w:cs="Calibri" w:eastAsia="Calibri" w:hAnsi="Calibri"/>
          <w:b/>
          <w:bCs/>
          <w:color w:val="1A1A1A"/>
          <w:sz w:val="20"/>
          <w:szCs w:val="20"/>
        </w:rPr>
        <w:t xml:space="preserve">moyens convenables d’existence</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color w:val="1A1A1A"/>
          <w:sz w:val="20"/>
          <w:szCs w:val="20"/>
        </w:rPr>
        <w:t xml:space="preserve">Ce sont des </w:t>
      </w:r>
      <w:r>
        <w:rPr>
          <w:rFonts w:ascii="Calibri" w:cs="Calibri" w:eastAsia="Calibri" w:hAnsi="Calibri"/>
          <w:b/>
          <w:bCs/>
          <w:color w:val="1A1A1A"/>
          <w:sz w:val="20"/>
          <w:szCs w:val="20"/>
        </w:rPr>
        <w:t xml:space="preserve">droits-créances</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al. 10 et 11 Préambule 1946</w:t>
      </w:r>
      <w:r>
        <w:rPr>
          <w:rFonts w:ascii="Calibri" w:cs="Calibri" w:eastAsia="Calibri" w:hAnsi="Calibri"/>
          <w:color w:val="1A1A1A"/>
          <w:sz w:val="20"/>
          <w:szCs w:val="20"/>
        </w:rPr>
        <w:t xml:space="preserve">) : ils exigent l’intervention de l’État, qui dispose d’une large marge pour les mettre en œuvre ; le juge contrôle l’absence de privation de </w:t>
      </w:r>
      <w:r>
        <w:rPr>
          <w:rFonts w:ascii="Calibri" w:cs="Calibri" w:eastAsia="Calibri" w:hAnsi="Calibri"/>
          <w:b/>
          <w:bCs/>
          <w:color w:val="1A1A1A"/>
          <w:sz w:val="20"/>
          <w:szCs w:val="20"/>
        </w:rPr>
        <w:t xml:space="preserve">garanties légales</w:t>
      </w:r>
      <w:r>
        <w:rPr>
          <w:rFonts w:ascii="Calibri" w:cs="Calibri" w:eastAsia="Calibri" w:hAnsi="Calibri"/>
          <w:color w:val="1A1A1A"/>
          <w:sz w:val="20"/>
          <w:szCs w:val="20"/>
        </w:rPr>
        <w:t xml:space="preserve"> et l’</w:t>
      </w:r>
      <w:r>
        <w:rPr>
          <w:rFonts w:ascii="Calibri" w:cs="Calibri" w:eastAsia="Calibri" w:hAnsi="Calibri"/>
          <w:b/>
          <w:bCs/>
          <w:color w:val="1A1A1A"/>
          <w:sz w:val="20"/>
          <w:szCs w:val="20"/>
        </w:rPr>
        <w:t xml:space="preserve">égalité</w:t>
      </w:r>
      <w:r>
        <w:rPr>
          <w:rFonts w:ascii="Calibri" w:cs="Calibri" w:eastAsia="Calibri" w:hAnsi="Calibri"/>
          <w:color w:val="1A1A1A"/>
          <w:sz w:val="20"/>
          <w:szCs w:val="20"/>
        </w:rPr>
        <w:t xml:space="preserve"> d’accès, non l’opportunité.</w:t>
      </w:r>
    </w:p>
    <w:p>
      <w:pPr>
        <w:pStyle w:val="Heading3"/>
        <w:spacing w:after="90" w:before="200"/>
      </w:pPr>
      <w:r>
        <w:rPr>
          <w:rFonts w:ascii="Calibri" w:cs="Calibri" w:eastAsia="Calibri" w:hAnsi="Calibri"/>
          <w:b/>
          <w:bCs/>
          <w:i/>
          <w:iCs/>
          <w:color w:val="5A5A5A"/>
          <w:sz w:val="21"/>
          <w:szCs w:val="21"/>
        </w:rPr>
        <w:t xml:space="preserve">Les cinq références incontournables</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Al. 10 et 11 Préambule 1946</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22 et 25 DUDH</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9 et 12 PIDESC</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11, 12 et 13 Charte sociale européenne</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34 et 35 CDFUE</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L. 1110-1 et L. 1110-3 CSP</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Cons. const., déc. n° 89-269 DC, 22 janvier 1990</w:t>
      </w:r>
      <w:r>
        <w:rPr>
          <w:rFonts w:ascii="Calibri" w:cs="Calibri" w:eastAsia="Calibri" w:hAnsi="Calibri"/>
          <w:color w:val="1A1A1A"/>
          <w:sz w:val="20"/>
          <w:szCs w:val="20"/>
        </w:rPr>
        <w:t xml:space="preserve"> : exclusion des étrangers en situation régulière d’une allocation de solidarité contraire à l’</w:t>
      </w:r>
      <w:r>
        <w:rPr>
          <w:rFonts w:ascii="Calibri" w:cs="Calibri" w:eastAsia="Calibri" w:hAnsi="Calibri"/>
          <w:b/>
          <w:bCs/>
          <w:color w:val="1A1A1A"/>
          <w:sz w:val="20"/>
          <w:szCs w:val="20"/>
        </w:rPr>
        <w:t xml:space="preserve">égalité</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Cons. const., déc. n° 2003-483 DC, 14 août 2003, Réforme des retraites</w:t>
      </w:r>
      <w:r>
        <w:rPr>
          <w:rFonts w:ascii="Calibri" w:cs="Calibri" w:eastAsia="Calibri" w:hAnsi="Calibri"/>
          <w:color w:val="1A1A1A"/>
          <w:sz w:val="20"/>
          <w:szCs w:val="20"/>
        </w:rPr>
        <w:t xml:space="preserve"> : l’</w:t>
      </w:r>
      <w:r>
        <w:rPr>
          <w:rFonts w:ascii="Calibri" w:cs="Calibri" w:eastAsia="Calibri" w:hAnsi="Calibri"/>
          <w:color w:val="1E88E5"/>
          <w:sz w:val="20"/>
          <w:szCs w:val="20"/>
        </w:rPr>
        <w:t xml:space="preserve">al. 11</w:t>
      </w:r>
      <w:r>
        <w:rPr>
          <w:rFonts w:ascii="Calibri" w:cs="Calibri" w:eastAsia="Calibri" w:hAnsi="Calibri"/>
          <w:color w:val="1A1A1A"/>
          <w:sz w:val="20"/>
          <w:szCs w:val="20"/>
        </w:rPr>
        <w:t xml:space="preserve"> implique une </w:t>
      </w:r>
      <w:r>
        <w:rPr>
          <w:rFonts w:ascii="Calibri" w:cs="Calibri" w:eastAsia="Calibri" w:hAnsi="Calibri"/>
          <w:b/>
          <w:bCs/>
          <w:color w:val="1A1A1A"/>
          <w:sz w:val="20"/>
          <w:szCs w:val="20"/>
        </w:rPr>
        <w:t xml:space="preserve">politique de solidarité nationale</w:t>
      </w:r>
      <w:r>
        <w:rPr>
          <w:rFonts w:ascii="Calibri" w:cs="Calibri" w:eastAsia="Calibri" w:hAnsi="Calibri"/>
          <w:color w:val="1A1A1A"/>
          <w:sz w:val="20"/>
          <w:szCs w:val="20"/>
        </w:rPr>
        <w:t xml:space="preserve"> en faveur des retraités, dont le législateur choisit les modalités (repris par </w:t>
      </w:r>
      <w:r>
        <w:rPr>
          <w:rFonts w:ascii="Calibri" w:cs="Calibri" w:eastAsia="Calibri" w:hAnsi="Calibri"/>
          <w:color w:val="E91E63"/>
          <w:sz w:val="20"/>
          <w:szCs w:val="20"/>
        </w:rPr>
        <w:t xml:space="preserve">2023-849 DC, 14 avril 2023</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CEDH, 16 septembre 1996, Gaygusuz c. Autriche, n° 17371/90</w:t>
      </w:r>
      <w:r>
        <w:rPr>
          <w:rFonts w:ascii="Calibri" w:cs="Calibri" w:eastAsia="Calibri" w:hAnsi="Calibri"/>
          <w:color w:val="1A1A1A"/>
          <w:sz w:val="20"/>
          <w:szCs w:val="20"/>
        </w:rPr>
        <w:t xml:space="preserve"> : une prestation contributive est un </w:t>
      </w:r>
      <w:r>
        <w:rPr>
          <w:rFonts w:ascii="Calibri" w:cs="Calibri" w:eastAsia="Calibri" w:hAnsi="Calibri"/>
          <w:b/>
          <w:bCs/>
          <w:color w:val="1A1A1A"/>
          <w:sz w:val="20"/>
          <w:szCs w:val="20"/>
        </w:rPr>
        <w:t xml:space="preserve">bien</w:t>
      </w:r>
      <w:r>
        <w:rPr>
          <w:rFonts w:ascii="Calibri" w:cs="Calibri" w:eastAsia="Calibri" w:hAnsi="Calibri"/>
          <w:color w:val="1A1A1A"/>
          <w:sz w:val="20"/>
          <w:szCs w:val="20"/>
        </w:rPr>
        <w:t xml:space="preserve"> ; son refus fondé sur la nationalité viole l’</w:t>
      </w:r>
      <w:r>
        <w:rPr>
          <w:rFonts w:ascii="Calibri" w:cs="Calibri" w:eastAsia="Calibri" w:hAnsi="Calibri"/>
          <w:color w:val="1E88E5"/>
          <w:sz w:val="20"/>
          <w:szCs w:val="20"/>
        </w:rPr>
        <w:t xml:space="preserve">art. 14</w:t>
      </w:r>
      <w:r>
        <w:rPr>
          <w:rFonts w:ascii="Calibri" w:cs="Calibri" w:eastAsia="Calibri" w:hAnsi="Calibri"/>
          <w:color w:val="1A1A1A"/>
          <w:sz w:val="20"/>
          <w:szCs w:val="20"/>
        </w:rPr>
        <w:t xml:space="preserve"> combiné avec l’</w:t>
      </w:r>
      <w:r>
        <w:rPr>
          <w:rFonts w:ascii="Calibri" w:cs="Calibri" w:eastAsia="Calibri" w:hAnsi="Calibri"/>
          <w:color w:val="1E88E5"/>
          <w:sz w:val="20"/>
          <w:szCs w:val="20"/>
        </w:rPr>
        <w:t xml:space="preserve">art. 1er Prot. 1</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Koua Poirrez c. France</w:t>
      </w:r>
      <w:r>
        <w:rPr>
          <w:rFonts w:ascii="Calibri" w:cs="Calibri" w:eastAsia="Calibri" w:hAnsi="Calibri"/>
          <w:color w:val="1A1A1A"/>
          <w:sz w:val="20"/>
          <w:szCs w:val="20"/>
        </w:rPr>
        <w:t xml:space="preserve">, 2003, pour une prestation non contributive).</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 ord., 8 septembre 2005, Garde des Sceaux c. B., n° 284803</w:t>
      </w:r>
      <w:r>
        <w:rPr>
          <w:rFonts w:ascii="Calibri" w:cs="Calibri" w:eastAsia="Calibri" w:hAnsi="Calibri"/>
          <w:color w:val="1A1A1A"/>
          <w:sz w:val="20"/>
          <w:szCs w:val="20"/>
        </w:rPr>
        <w:t xml:space="preserve"> : le droit à la santé n’est pas en lui-même une liberté fondamentale au sens du référé-liberté — la protection passe par le </w:t>
      </w:r>
      <w:r>
        <w:rPr>
          <w:rFonts w:ascii="Calibri" w:cs="Calibri" w:eastAsia="Calibri" w:hAnsi="Calibri"/>
          <w:b/>
          <w:bCs/>
          <w:color w:val="1A1A1A"/>
          <w:sz w:val="20"/>
          <w:szCs w:val="20"/>
        </w:rPr>
        <w:t xml:space="preserve">droit à la vie</w:t>
      </w:r>
      <w:r>
        <w:rPr>
          <w:rFonts w:ascii="Calibri" w:cs="Calibri" w:eastAsia="Calibri" w:hAnsi="Calibri"/>
          <w:color w:val="1A1A1A"/>
          <w:sz w:val="20"/>
          <w:szCs w:val="20"/>
        </w:rPr>
        <w:t xml:space="preserve"> et la </w:t>
      </w:r>
      <w:r>
        <w:rPr>
          <w:rFonts w:ascii="Calibri" w:cs="Calibri" w:eastAsia="Calibri" w:hAnsi="Calibri"/>
          <w:b/>
          <w:bCs/>
          <w:color w:val="1A1A1A"/>
          <w:sz w:val="20"/>
          <w:szCs w:val="20"/>
        </w:rPr>
        <w:t xml:space="preserve">dignité</w:t>
      </w:r>
      <w:r>
        <w:rPr>
          <w:rFonts w:ascii="Calibri" w:cs="Calibri" w:eastAsia="Calibri" w:hAnsi="Calibri"/>
          <w:color w:val="1A1A1A"/>
          <w:sz w:val="20"/>
          <w:szCs w:val="20"/>
        </w:rPr>
        <w:t xml:space="preserve">.</w:t>
      </w:r>
    </w:p>
    <w:p>
      <w:pPr>
        <w:pStyle w:val="Heading3"/>
        <w:spacing w:after="90" w:before="200"/>
      </w:pPr>
      <w:r>
        <w:rPr>
          <w:rFonts w:ascii="Calibri" w:cs="Calibri" w:eastAsia="Calibri" w:hAnsi="Calibri"/>
          <w:b/>
          <w:bCs/>
          <w:i/>
          <w:iCs/>
          <w:color w:val="5A5A5A"/>
          <w:sz w:val="21"/>
          <w:szCs w:val="21"/>
        </w:rPr>
        <w:t xml:space="preserve">Deux matrices de plan</w:t>
      </w:r>
    </w:p>
    <w:p>
      <w:pPr>
        <w:pStyle w:val="ListParagraph"/>
        <w:numPr>
          <w:ilvl w:val="0"/>
          <w:numId w:val="2"/>
        </w:numPr>
        <w:spacing w:after="70" w:line="264"/>
        <w:jc w:val="both"/>
      </w:pPr>
      <w:r>
        <w:rPr>
          <w:rFonts w:ascii="Calibri" w:cs="Calibri" w:eastAsia="Calibri" w:hAnsi="Calibri"/>
          <w:b/>
          <w:bCs/>
          <w:color w:val="1A1A1A"/>
          <w:sz w:val="20"/>
          <w:szCs w:val="20"/>
        </w:rPr>
        <w:t xml:space="preserve">Sujet « Le droit à la protection de la santé, droit fondamental ? »</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I. Un droit proclamé</w:t>
      </w:r>
      <w:r>
        <w:rPr>
          <w:rFonts w:ascii="Calibri" w:cs="Calibri" w:eastAsia="Calibri" w:hAnsi="Calibri"/>
          <w:color w:val="1A1A1A"/>
          <w:sz w:val="20"/>
          <w:szCs w:val="20"/>
        </w:rPr>
        <w:t xml:space="preserve"> (A. Des sources multiples sans effet direct : </w:t>
      </w:r>
      <w:r>
        <w:rPr>
          <w:rFonts w:ascii="Calibri" w:cs="Calibri" w:eastAsia="Calibri" w:hAnsi="Calibri"/>
          <w:color w:val="1E88E5"/>
          <w:sz w:val="20"/>
          <w:szCs w:val="20"/>
        </w:rPr>
        <w:t xml:space="preserve">art. 12 PIDESC</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 7 juin 2006, Aides</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al. 11</w:t>
      </w:r>
      <w:r>
        <w:rPr>
          <w:rFonts w:ascii="Calibri" w:cs="Calibri" w:eastAsia="Calibri" w:hAnsi="Calibri"/>
          <w:color w:val="1A1A1A"/>
          <w:sz w:val="20"/>
          <w:szCs w:val="20"/>
        </w:rPr>
        <w:t xml:space="preserve"> ; B. Une protection par ricochet : </w:t>
      </w:r>
      <w:r>
        <w:rPr>
          <w:rFonts w:ascii="Calibri" w:cs="Calibri" w:eastAsia="Calibri" w:hAnsi="Calibri"/>
          <w:color w:val="1E88E5"/>
          <w:sz w:val="20"/>
          <w:szCs w:val="20"/>
        </w:rPr>
        <w:t xml:space="preserve">art. 2, 3 et 8 CEDH</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Kudła</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Lopes de Sousa Fernandes</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II. Un droit justiciable par l’égalité et la vie</w:t>
      </w:r>
      <w:r>
        <w:rPr>
          <w:rFonts w:ascii="Calibri" w:cs="Calibri" w:eastAsia="Calibri" w:hAnsi="Calibri"/>
          <w:color w:val="1A1A1A"/>
          <w:sz w:val="20"/>
          <w:szCs w:val="20"/>
        </w:rPr>
        <w:t xml:space="preserve"> (A. L’égalité d’accès aux soins : </w:t>
      </w:r>
      <w:r>
        <w:rPr>
          <w:rFonts w:ascii="Calibri" w:cs="Calibri" w:eastAsia="Calibri" w:hAnsi="Calibri"/>
          <w:color w:val="1E88E5"/>
          <w:sz w:val="20"/>
          <w:szCs w:val="20"/>
        </w:rPr>
        <w:t xml:space="preserve">L. 1110-3</w:t>
      </w:r>
      <w:r>
        <w:rPr>
          <w:rFonts w:ascii="Calibri" w:cs="Calibri" w:eastAsia="Calibri" w:hAnsi="Calibri"/>
          <w:color w:val="1A1A1A"/>
          <w:sz w:val="20"/>
          <w:szCs w:val="20"/>
        </w:rPr>
        <w:t xml:space="preserve">, AME, </w:t>
      </w:r>
      <w:r>
        <w:rPr>
          <w:rFonts w:ascii="Calibri" w:cs="Calibri" w:eastAsia="Calibri" w:hAnsi="Calibri"/>
          <w:color w:val="E91E63"/>
          <w:sz w:val="20"/>
          <w:szCs w:val="20"/>
        </w:rPr>
        <w:t xml:space="preserve">CE, 27 février 2026</w:t>
      </w:r>
      <w:r>
        <w:rPr>
          <w:rFonts w:ascii="Calibri" w:cs="Calibri" w:eastAsia="Calibri" w:hAnsi="Calibri"/>
          <w:color w:val="1A1A1A"/>
          <w:sz w:val="20"/>
          <w:szCs w:val="20"/>
        </w:rPr>
        <w:t xml:space="preserve"> ; B. Les limites de l’office du juge : </w:t>
      </w:r>
      <w:r>
        <w:rPr>
          <w:rFonts w:ascii="Calibri" w:cs="Calibri" w:eastAsia="Calibri" w:hAnsi="Calibri"/>
          <w:color w:val="E91E63"/>
          <w:sz w:val="20"/>
          <w:szCs w:val="20"/>
        </w:rPr>
        <w:t xml:space="preserve">CE, ord., 8 septembre 2005</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 1er octobre 2025</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Sujet « La protection sociale, droit-créance ? »</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I. Une créance constitutionnelle</w:t>
      </w:r>
      <w:r>
        <w:rPr>
          <w:rFonts w:ascii="Calibri" w:cs="Calibri" w:eastAsia="Calibri" w:hAnsi="Calibri"/>
          <w:color w:val="1A1A1A"/>
          <w:sz w:val="20"/>
          <w:szCs w:val="20"/>
        </w:rPr>
        <w:t xml:space="preserve"> (A. Solidarité nationale : </w:t>
      </w:r>
      <w:r>
        <w:rPr>
          <w:rFonts w:ascii="Calibri" w:cs="Calibri" w:eastAsia="Calibri" w:hAnsi="Calibri"/>
          <w:color w:val="1E88E5"/>
          <w:sz w:val="20"/>
          <w:szCs w:val="20"/>
        </w:rPr>
        <w:t xml:space="preserve">al. 11</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2003-483 DC</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97-393 DC</w:t>
      </w:r>
      <w:r>
        <w:rPr>
          <w:rFonts w:ascii="Calibri" w:cs="Calibri" w:eastAsia="Calibri" w:hAnsi="Calibri"/>
          <w:color w:val="1A1A1A"/>
          <w:sz w:val="20"/>
          <w:szCs w:val="20"/>
        </w:rPr>
        <w:t xml:space="preserve"> (familles) ; B. Égalité : </w:t>
      </w:r>
      <w:r>
        <w:rPr>
          <w:rFonts w:ascii="Calibri" w:cs="Calibri" w:eastAsia="Calibri" w:hAnsi="Calibri"/>
          <w:color w:val="E91E63"/>
          <w:sz w:val="20"/>
          <w:szCs w:val="20"/>
        </w:rPr>
        <w:t xml:space="preserve">89-269 DC</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Gaygusuz</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II. Une créance modulable</w:t>
      </w:r>
      <w:r>
        <w:rPr>
          <w:rFonts w:ascii="Calibri" w:cs="Calibri" w:eastAsia="Calibri" w:hAnsi="Calibri"/>
          <w:color w:val="1A1A1A"/>
          <w:sz w:val="20"/>
          <w:szCs w:val="20"/>
        </w:rPr>
        <w:t xml:space="preserve"> (A. La marge du législateur : âge de la retraite (</w:t>
      </w:r>
      <w:r>
        <w:rPr>
          <w:rFonts w:ascii="Calibri" w:cs="Calibri" w:eastAsia="Calibri" w:hAnsi="Calibri"/>
          <w:color w:val="E91E63"/>
          <w:sz w:val="20"/>
          <w:szCs w:val="20"/>
        </w:rPr>
        <w:t xml:space="preserve">2023-849 DC</w:t>
      </w:r>
      <w:r>
        <w:rPr>
          <w:rFonts w:ascii="Calibri" w:cs="Calibri" w:eastAsia="Calibri" w:hAnsi="Calibri"/>
          <w:color w:val="1A1A1A"/>
          <w:sz w:val="20"/>
          <w:szCs w:val="20"/>
        </w:rPr>
        <w:t xml:space="preserve">), suspension par la </w:t>
      </w:r>
      <w:r>
        <w:rPr>
          <w:rFonts w:ascii="Calibri" w:cs="Calibri" w:eastAsia="Calibri" w:hAnsi="Calibri"/>
          <w:color w:val="1E88E5"/>
          <w:sz w:val="20"/>
          <w:szCs w:val="20"/>
        </w:rPr>
        <w:t xml:space="preserve">LFSS 2026</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2025-899 DC</w:t>
      </w:r>
      <w:r>
        <w:rPr>
          <w:rFonts w:ascii="Calibri" w:cs="Calibri" w:eastAsia="Calibri" w:hAnsi="Calibri"/>
          <w:color w:val="1A1A1A"/>
          <w:sz w:val="20"/>
          <w:szCs w:val="20"/>
        </w:rPr>
        <w:t xml:space="preserve">) ; B. La conditionnalité croissante : RSA et quinze heures d’activité (</w:t>
      </w:r>
      <w:r>
        <w:rPr>
          <w:rFonts w:ascii="Calibri" w:cs="Calibri" w:eastAsia="Calibri" w:hAnsi="Calibri"/>
          <w:color w:val="1E88E5"/>
          <w:sz w:val="20"/>
          <w:szCs w:val="20"/>
        </w:rPr>
        <w:t xml:space="preserve">loi du 18 décembre 2023</w:t>
      </w:r>
      <w:r>
        <w:rPr>
          <w:rFonts w:ascii="Calibri" w:cs="Calibri" w:eastAsia="Calibri" w:hAnsi="Calibri"/>
          <w:color w:val="1A1A1A"/>
          <w:sz w:val="20"/>
          <w:szCs w:val="20"/>
        </w:rPr>
        <w:t xml:space="preserve">), assurance chômage).</w:t>
      </w:r>
    </w:p>
    <w:p>
      <w:pPr>
        <w:pStyle w:val="Heading3"/>
        <w:spacing w:after="90" w:before="200"/>
      </w:pPr>
      <w:r>
        <w:rPr>
          <w:rFonts w:ascii="Calibri" w:cs="Calibri" w:eastAsia="Calibri" w:hAnsi="Calibri"/>
          <w:b/>
          <w:bCs/>
          <w:i/>
          <w:iCs/>
          <w:color w:val="5A5A5A"/>
          <w:sz w:val="21"/>
          <w:szCs w:val="21"/>
        </w:rPr>
        <w:t xml:space="preserve">Trois pièges</w:t>
      </w:r>
    </w:p>
    <w:p>
      <w:pPr>
        <w:pStyle w:val="ListParagraph"/>
        <w:numPr>
          <w:ilvl w:val="0"/>
          <w:numId w:val="2"/>
        </w:numPr>
        <w:spacing w:after="70" w:line="264"/>
        <w:jc w:val="both"/>
      </w:pPr>
      <w:r>
        <w:rPr>
          <w:rFonts w:ascii="Calibri" w:cs="Calibri" w:eastAsia="Calibri" w:hAnsi="Calibri"/>
          <w:b/>
          <w:bCs/>
          <w:color w:val="1A1A1A"/>
          <w:sz w:val="20"/>
          <w:szCs w:val="20"/>
        </w:rPr>
        <w:t xml:space="preserve">Santé publique ≠ droit à la santé</w:t>
      </w:r>
      <w:r>
        <w:rPr>
          <w:rFonts w:ascii="Calibri" w:cs="Calibri" w:eastAsia="Calibri" w:hAnsi="Calibri"/>
          <w:color w:val="1A1A1A"/>
          <w:sz w:val="20"/>
          <w:szCs w:val="20"/>
        </w:rPr>
        <w:t xml:space="preserve"> : la protection de la santé publique est un </w:t>
      </w:r>
      <w:r>
        <w:rPr>
          <w:rFonts w:ascii="Calibri" w:cs="Calibri" w:eastAsia="Calibri" w:hAnsi="Calibri"/>
          <w:b/>
          <w:bCs/>
          <w:color w:val="1A1A1A"/>
          <w:sz w:val="20"/>
          <w:szCs w:val="20"/>
        </w:rPr>
        <w:t xml:space="preserve">objectif de valeur constitutionnelle</w:t>
      </w:r>
      <w:r>
        <w:rPr>
          <w:rFonts w:ascii="Calibri" w:cs="Calibri" w:eastAsia="Calibri" w:hAnsi="Calibri"/>
          <w:color w:val="1A1A1A"/>
          <w:sz w:val="20"/>
          <w:szCs w:val="20"/>
        </w:rPr>
        <w:t xml:space="preserve"> invoqué pour justifier des restrictions (loi Évin, vaccinations, passe sanitaire) ; le droit individuel à la protection de la santé, lui, n’est pas une liberté fondamentale du référé (</w:t>
      </w:r>
      <w:r>
        <w:rPr>
          <w:rFonts w:ascii="Calibri" w:cs="Calibri" w:eastAsia="Calibri" w:hAnsi="Calibri"/>
          <w:color w:val="E91E63"/>
          <w:sz w:val="20"/>
          <w:szCs w:val="20"/>
        </w:rPr>
        <w:t xml:space="preserve">CE, 8 septembre 2005</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Effet direct</w:t>
      </w:r>
      <w:r>
        <w:rPr>
          <w:rFonts w:ascii="Calibri" w:cs="Calibri" w:eastAsia="Calibri" w:hAnsi="Calibri"/>
          <w:color w:val="1A1A1A"/>
          <w:sz w:val="20"/>
          <w:szCs w:val="20"/>
        </w:rPr>
        <w:t xml:space="preserve"> : les </w:t>
      </w:r>
      <w:r>
        <w:rPr>
          <w:rFonts w:ascii="Calibri" w:cs="Calibri" w:eastAsia="Calibri" w:hAnsi="Calibri"/>
          <w:color w:val="1E88E5"/>
          <w:sz w:val="20"/>
          <w:szCs w:val="20"/>
        </w:rPr>
        <w:t xml:space="preserve">art. 9, 11 et 12 PIDESC</w:t>
      </w:r>
      <w:r>
        <w:rPr>
          <w:rFonts w:ascii="Calibri" w:cs="Calibri" w:eastAsia="Calibri" w:hAnsi="Calibri"/>
          <w:color w:val="1A1A1A"/>
          <w:sz w:val="20"/>
          <w:szCs w:val="20"/>
        </w:rPr>
        <w:t xml:space="preserve"> et l’</w:t>
      </w:r>
      <w:r>
        <w:rPr>
          <w:rFonts w:ascii="Calibri" w:cs="Calibri" w:eastAsia="Calibri" w:hAnsi="Calibri"/>
          <w:color w:val="1E88E5"/>
          <w:sz w:val="20"/>
          <w:szCs w:val="20"/>
        </w:rPr>
        <w:t xml:space="preserve">art. 12 Charte sociale</w:t>
      </w:r>
      <w:r>
        <w:rPr>
          <w:rFonts w:ascii="Calibri" w:cs="Calibri" w:eastAsia="Calibri" w:hAnsi="Calibri"/>
          <w:color w:val="1A1A1A"/>
          <w:sz w:val="20"/>
          <w:szCs w:val="20"/>
        </w:rPr>
        <w:t xml:space="preserve"> sont dépourvus d’effet direct selon le Conseil d’État ; en revanche l’</w:t>
      </w:r>
      <w:r>
        <w:rPr>
          <w:rFonts w:ascii="Calibri" w:cs="Calibri" w:eastAsia="Calibri" w:hAnsi="Calibri"/>
          <w:color w:val="1E88E5"/>
          <w:sz w:val="20"/>
          <w:szCs w:val="20"/>
        </w:rPr>
        <w:t xml:space="preserve">art. 3-1 CIDE</w:t>
      </w:r>
      <w:r>
        <w:rPr>
          <w:rFonts w:ascii="Calibri" w:cs="Calibri" w:eastAsia="Calibri" w:hAnsi="Calibri"/>
          <w:color w:val="1A1A1A"/>
          <w:sz w:val="20"/>
          <w:szCs w:val="20"/>
        </w:rPr>
        <w:t xml:space="preserve"> (intérêt supérieur de l’enfant) est directement invocable (</w:t>
      </w:r>
      <w:r>
        <w:rPr>
          <w:rFonts w:ascii="Calibri" w:cs="Calibri" w:eastAsia="Calibri" w:hAnsi="Calibri"/>
          <w:color w:val="E91E63"/>
          <w:sz w:val="20"/>
          <w:szCs w:val="20"/>
        </w:rPr>
        <w:t xml:space="preserve">CE, 7 juin 2006, Aides</w:t>
      </w:r>
      <w:r>
        <w:rPr>
          <w:rFonts w:ascii="Calibri" w:cs="Calibri" w:eastAsia="Calibri" w:hAnsi="Calibri"/>
          <w:color w:val="1A1A1A"/>
          <w:sz w:val="20"/>
          <w:szCs w:val="20"/>
        </w:rPr>
        <w:t xml:space="preserve">, à propos de l’AME).</w:t>
      </w:r>
    </w:p>
    <w:p>
      <w:pPr>
        <w:pStyle w:val="ListParagraph"/>
        <w:numPr>
          <w:ilvl w:val="0"/>
          <w:numId w:val="2"/>
        </w:numPr>
        <w:spacing w:after="70" w:line="264"/>
        <w:jc w:val="both"/>
      </w:pPr>
      <w:r>
        <w:rPr>
          <w:rFonts w:ascii="Calibri" w:cs="Calibri" w:eastAsia="Calibri" w:hAnsi="Calibri"/>
          <w:b/>
          <w:bCs/>
          <w:color w:val="1A1A1A"/>
          <w:sz w:val="20"/>
          <w:szCs w:val="20"/>
        </w:rPr>
        <w:t xml:space="preserve">Prestation sociale : bien conventionnel, non propriété constitutionnelle</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Gaygusuz</w:t>
      </w:r>
      <w:r>
        <w:rPr>
          <w:rFonts w:ascii="Calibri" w:cs="Calibri" w:eastAsia="Calibri" w:hAnsi="Calibri"/>
          <w:color w:val="1A1A1A"/>
          <w:sz w:val="20"/>
          <w:szCs w:val="20"/>
        </w:rPr>
        <w:t xml:space="preserve"> vs </w:t>
      </w:r>
      <w:r>
        <w:rPr>
          <w:rFonts w:ascii="Calibri" w:cs="Calibri" w:eastAsia="Calibri" w:hAnsi="Calibri"/>
          <w:color w:val="E91E63"/>
          <w:sz w:val="20"/>
          <w:szCs w:val="20"/>
        </w:rPr>
        <w:t xml:space="preserve">85-200 DC</w:t>
      </w:r>
      <w:r>
        <w:rPr>
          <w:rFonts w:ascii="Calibri" w:cs="Calibri" w:eastAsia="Calibri" w:hAnsi="Calibri"/>
          <w:color w:val="1A1A1A"/>
          <w:sz w:val="20"/>
          <w:szCs w:val="20"/>
        </w:rPr>
        <w:t xml:space="preserve">) ; et ne pas confondre la </w:t>
      </w:r>
      <w:r>
        <w:rPr>
          <w:rFonts w:ascii="Calibri" w:cs="Calibri" w:eastAsia="Calibri" w:hAnsi="Calibri"/>
          <w:color w:val="1E88E5"/>
          <w:sz w:val="20"/>
          <w:szCs w:val="20"/>
        </w:rPr>
        <w:t xml:space="preserve">loi du 26 mai 2026</w:t>
      </w:r>
      <w:r>
        <w:rPr>
          <w:rFonts w:ascii="Calibri" w:cs="Calibri" w:eastAsia="Calibri" w:hAnsi="Calibri"/>
          <w:color w:val="1A1A1A"/>
          <w:sz w:val="20"/>
          <w:szCs w:val="20"/>
        </w:rPr>
        <w:t xml:space="preserve"> (soins palliatifs, sans droit opposable) avec la </w:t>
      </w:r>
      <w:r>
        <w:rPr>
          <w:rFonts w:ascii="Calibri" w:cs="Calibri" w:eastAsia="Calibri" w:hAnsi="Calibri"/>
          <w:color w:val="1E88E5"/>
          <w:sz w:val="20"/>
          <w:szCs w:val="20"/>
        </w:rPr>
        <w:t xml:space="preserve">loi du 18 août 2026</w:t>
      </w:r>
      <w:r>
        <w:rPr>
          <w:rFonts w:ascii="Calibri" w:cs="Calibri" w:eastAsia="Calibri" w:hAnsi="Calibri"/>
          <w:color w:val="1A1A1A"/>
          <w:sz w:val="20"/>
          <w:szCs w:val="20"/>
        </w:rPr>
        <w:t xml:space="preserve"> (aide à mourir).</w:t>
      </w:r>
    </w:p>
    <w:p>
      <w:r>
        <w:br w:type="page"/>
      </w:r>
    </w:p>
    <w:p>
      <w:pPr>
        <w:pStyle w:val="Heading2"/>
        <w:spacing w:after="120" w:before="280"/>
      </w:pPr>
      <w:r>
        <w:rPr>
          <w:rFonts w:ascii="Calibri" w:cs="Calibri" w:eastAsia="Calibri" w:hAnsi="Calibri"/>
          <w:b/>
          <w:bCs/>
          <w:color w:val="1A1A1A"/>
          <w:sz w:val="24"/>
          <w:szCs w:val="24"/>
        </w:rPr>
        <w:t xml:space="preserve">1. Architecture textuelle</w:t>
      </w:r>
    </w:p>
    <w:p>
      <w:pPr>
        <w:pStyle w:val="ListParagraph"/>
        <w:numPr>
          <w:ilvl w:val="0"/>
          <w:numId w:val="2"/>
        </w:numPr>
        <w:spacing w:after="70" w:line="264"/>
        <w:jc w:val="both"/>
      </w:pPr>
      <w:r>
        <w:rPr>
          <w:rFonts w:ascii="Calibri" w:cs="Calibri" w:eastAsia="Calibri" w:hAnsi="Calibri"/>
          <w:b/>
          <w:bCs/>
          <w:color w:val="1A1A1A"/>
          <w:sz w:val="20"/>
          <w:szCs w:val="20"/>
        </w:rPr>
        <w:t xml:space="preserve">Droit international</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22</w:t>
      </w:r>
      <w:r>
        <w:rPr>
          <w:rFonts w:ascii="Calibri" w:cs="Calibri" w:eastAsia="Calibri" w:hAnsi="Calibri"/>
          <w:color w:val="1A1A1A"/>
          <w:sz w:val="20"/>
          <w:szCs w:val="20"/>
        </w:rPr>
        <w:t xml:space="preserve"> (sécurité sociale) et </w:t>
      </w:r>
      <w:r>
        <w:rPr>
          <w:rFonts w:ascii="Calibri" w:cs="Calibri" w:eastAsia="Calibri" w:hAnsi="Calibri"/>
          <w:color w:val="1E88E5"/>
          <w:sz w:val="20"/>
          <w:szCs w:val="20"/>
        </w:rPr>
        <w:t xml:space="preserve">art. 25 DUDH</w:t>
      </w:r>
      <w:r>
        <w:rPr>
          <w:rFonts w:ascii="Calibri" w:cs="Calibri" w:eastAsia="Calibri" w:hAnsi="Calibri"/>
          <w:color w:val="1A1A1A"/>
          <w:sz w:val="20"/>
          <w:szCs w:val="20"/>
        </w:rPr>
        <w:t xml:space="preserve"> (niveau de vie suffisant, soins médicaux) ; </w:t>
      </w:r>
      <w:r>
        <w:rPr>
          <w:rFonts w:ascii="Calibri" w:cs="Calibri" w:eastAsia="Calibri" w:hAnsi="Calibri"/>
          <w:color w:val="1E88E5"/>
          <w:sz w:val="20"/>
          <w:szCs w:val="20"/>
        </w:rPr>
        <w:t xml:space="preserve">art. 9</w:t>
      </w:r>
      <w:r>
        <w:rPr>
          <w:rFonts w:ascii="Calibri" w:cs="Calibri" w:eastAsia="Calibri" w:hAnsi="Calibri"/>
          <w:color w:val="1A1A1A"/>
          <w:sz w:val="20"/>
          <w:szCs w:val="20"/>
        </w:rPr>
        <w:t xml:space="preserve"> (sécurité sociale), </w:t>
      </w:r>
      <w:r>
        <w:rPr>
          <w:rFonts w:ascii="Calibri" w:cs="Calibri" w:eastAsia="Calibri" w:hAnsi="Calibri"/>
          <w:color w:val="1E88E5"/>
          <w:sz w:val="20"/>
          <w:szCs w:val="20"/>
        </w:rPr>
        <w:t xml:space="preserve">art. 11</w:t>
      </w:r>
      <w:r>
        <w:rPr>
          <w:rFonts w:ascii="Calibri" w:cs="Calibri" w:eastAsia="Calibri" w:hAnsi="Calibri"/>
          <w:color w:val="1A1A1A"/>
          <w:sz w:val="20"/>
          <w:szCs w:val="20"/>
        </w:rPr>
        <w:t xml:space="preserve"> (niveau de vie suffisant) et </w:t>
      </w:r>
      <w:r>
        <w:rPr>
          <w:rFonts w:ascii="Calibri" w:cs="Calibri" w:eastAsia="Calibri" w:hAnsi="Calibri"/>
          <w:color w:val="1E88E5"/>
          <w:sz w:val="20"/>
          <w:szCs w:val="20"/>
        </w:rPr>
        <w:t xml:space="preserve">art. 12 PIDESC</w:t>
      </w:r>
      <w:r>
        <w:rPr>
          <w:rFonts w:ascii="Calibri" w:cs="Calibri" w:eastAsia="Calibri" w:hAnsi="Calibri"/>
          <w:color w:val="1A1A1A"/>
          <w:sz w:val="20"/>
          <w:szCs w:val="20"/>
        </w:rPr>
        <w:t xml:space="preserve"> (meilleur état de santé physique et mentale susceptible d’être atteint) ; </w:t>
      </w:r>
      <w:r>
        <w:rPr>
          <w:rFonts w:ascii="Calibri" w:cs="Calibri" w:eastAsia="Calibri" w:hAnsi="Calibri"/>
          <w:color w:val="1E88E5"/>
          <w:sz w:val="20"/>
          <w:szCs w:val="20"/>
        </w:rPr>
        <w:t xml:space="preserve">Observation générale n° 14 (2000)</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convention n° 102 de l’OIT (1952)</w:t>
      </w:r>
      <w:r>
        <w:rPr>
          <w:rFonts w:ascii="Calibri" w:cs="Calibri" w:eastAsia="Calibri" w:hAnsi="Calibri"/>
          <w:color w:val="1A1A1A"/>
          <w:sz w:val="20"/>
          <w:szCs w:val="20"/>
        </w:rPr>
        <w:t xml:space="preserve"> (norme minimum de sécurité sociale) ; </w:t>
      </w:r>
      <w:r>
        <w:rPr>
          <w:rFonts w:ascii="Calibri" w:cs="Calibri" w:eastAsia="Calibri" w:hAnsi="Calibri"/>
          <w:color w:val="1E88E5"/>
          <w:sz w:val="20"/>
          <w:szCs w:val="20"/>
        </w:rPr>
        <w:t xml:space="preserve">Constitution de l’OMS (1946)</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Droit européen</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Charte sociale européenne</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11</w:t>
      </w:r>
      <w:r>
        <w:rPr>
          <w:rFonts w:ascii="Calibri" w:cs="Calibri" w:eastAsia="Calibri" w:hAnsi="Calibri"/>
          <w:color w:val="1A1A1A"/>
          <w:sz w:val="20"/>
          <w:szCs w:val="20"/>
        </w:rPr>
        <w:t xml:space="preserve"> (protection de la santé), </w:t>
      </w:r>
      <w:r>
        <w:rPr>
          <w:rFonts w:ascii="Calibri" w:cs="Calibri" w:eastAsia="Calibri" w:hAnsi="Calibri"/>
          <w:color w:val="1E88E5"/>
          <w:sz w:val="20"/>
          <w:szCs w:val="20"/>
        </w:rPr>
        <w:t xml:space="preserve">art. 12</w:t>
      </w:r>
      <w:r>
        <w:rPr>
          <w:rFonts w:ascii="Calibri" w:cs="Calibri" w:eastAsia="Calibri" w:hAnsi="Calibri"/>
          <w:color w:val="1A1A1A"/>
          <w:sz w:val="20"/>
          <w:szCs w:val="20"/>
        </w:rPr>
        <w:t xml:space="preserve"> (sécurité sociale), </w:t>
      </w:r>
      <w:r>
        <w:rPr>
          <w:rFonts w:ascii="Calibri" w:cs="Calibri" w:eastAsia="Calibri" w:hAnsi="Calibri"/>
          <w:color w:val="1E88E5"/>
          <w:sz w:val="20"/>
          <w:szCs w:val="20"/>
        </w:rPr>
        <w:t xml:space="preserve">art. 13</w:t>
      </w:r>
      <w:r>
        <w:rPr>
          <w:rFonts w:ascii="Calibri" w:cs="Calibri" w:eastAsia="Calibri" w:hAnsi="Calibri"/>
          <w:color w:val="1A1A1A"/>
          <w:sz w:val="20"/>
          <w:szCs w:val="20"/>
        </w:rPr>
        <w:t xml:space="preserve"> (assistance sociale et médicale), </w:t>
      </w:r>
      <w:r>
        <w:rPr>
          <w:rFonts w:ascii="Calibri" w:cs="Calibri" w:eastAsia="Calibri" w:hAnsi="Calibri"/>
          <w:color w:val="1E88E5"/>
          <w:sz w:val="20"/>
          <w:szCs w:val="20"/>
        </w:rPr>
        <w:t xml:space="preserve">art. 30</w:t>
      </w:r>
      <w:r>
        <w:rPr>
          <w:rFonts w:ascii="Calibri" w:cs="Calibri" w:eastAsia="Calibri" w:hAnsi="Calibri"/>
          <w:color w:val="1A1A1A"/>
          <w:sz w:val="20"/>
          <w:szCs w:val="20"/>
        </w:rPr>
        <w:t xml:space="preserve"> (protection contre la pauvreté et l’exclusion) ; </w:t>
      </w:r>
      <w:r>
        <w:rPr>
          <w:rFonts w:ascii="Calibri" w:cs="Calibri" w:eastAsia="Calibri" w:hAnsi="Calibri"/>
          <w:color w:val="1E88E5"/>
          <w:sz w:val="20"/>
          <w:szCs w:val="20"/>
        </w:rPr>
        <w:t xml:space="preserve">art. 34</w:t>
      </w:r>
      <w:r>
        <w:rPr>
          <w:rFonts w:ascii="Calibri" w:cs="Calibri" w:eastAsia="Calibri" w:hAnsi="Calibri"/>
          <w:color w:val="1A1A1A"/>
          <w:sz w:val="20"/>
          <w:szCs w:val="20"/>
        </w:rPr>
        <w:t xml:space="preserve"> (sécurité sociale et aide sociale) et </w:t>
      </w:r>
      <w:r>
        <w:rPr>
          <w:rFonts w:ascii="Calibri" w:cs="Calibri" w:eastAsia="Calibri" w:hAnsi="Calibri"/>
          <w:color w:val="1E88E5"/>
          <w:sz w:val="20"/>
          <w:szCs w:val="20"/>
        </w:rPr>
        <w:t xml:space="preserve">art. 35 CDFUE</w:t>
      </w:r>
      <w:r>
        <w:rPr>
          <w:rFonts w:ascii="Calibri" w:cs="Calibri" w:eastAsia="Calibri" w:hAnsi="Calibri"/>
          <w:color w:val="1A1A1A"/>
          <w:sz w:val="20"/>
          <w:szCs w:val="20"/>
        </w:rPr>
        <w:t xml:space="preserve"> (protection de la santé) ; la </w:t>
      </w:r>
      <w:r>
        <w:rPr>
          <w:rFonts w:ascii="Calibri" w:cs="Calibri" w:eastAsia="Calibri" w:hAnsi="Calibri"/>
          <w:color w:val="1E88E5"/>
          <w:sz w:val="20"/>
          <w:szCs w:val="20"/>
        </w:rPr>
        <w:t xml:space="preserve">CEDH</w:t>
      </w:r>
      <w:r>
        <w:rPr>
          <w:rFonts w:ascii="Calibri" w:cs="Calibri" w:eastAsia="Calibri" w:hAnsi="Calibri"/>
          <w:color w:val="1A1A1A"/>
          <w:sz w:val="20"/>
          <w:szCs w:val="20"/>
        </w:rPr>
        <w:t xml:space="preserve"> ne consacre aucun de ces droits, mais les protège par ricochet (</w:t>
      </w:r>
      <w:r>
        <w:rPr>
          <w:rFonts w:ascii="Calibri" w:cs="Calibri" w:eastAsia="Calibri" w:hAnsi="Calibri"/>
          <w:color w:val="1E88E5"/>
          <w:sz w:val="20"/>
          <w:szCs w:val="20"/>
        </w:rPr>
        <w:t xml:space="preserve">art. 2, 3, 8, 14</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art. 1er Prot. 1</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Droit constitutionnel</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al. 10</w:t>
      </w:r>
      <w:r>
        <w:rPr>
          <w:rFonts w:ascii="Calibri" w:cs="Calibri" w:eastAsia="Calibri" w:hAnsi="Calibri"/>
          <w:color w:val="1A1A1A"/>
          <w:sz w:val="20"/>
          <w:szCs w:val="20"/>
        </w:rPr>
        <w:t xml:space="preserve"> (conditions nécessaires au développement de l’individu et de la famille), </w:t>
      </w:r>
      <w:r>
        <w:rPr>
          <w:rFonts w:ascii="Calibri" w:cs="Calibri" w:eastAsia="Calibri" w:hAnsi="Calibri"/>
          <w:color w:val="1E88E5"/>
          <w:sz w:val="20"/>
          <w:szCs w:val="20"/>
        </w:rPr>
        <w:t xml:space="preserve">al. 11</w:t>
      </w:r>
      <w:r>
        <w:rPr>
          <w:rFonts w:ascii="Calibri" w:cs="Calibri" w:eastAsia="Calibri" w:hAnsi="Calibri"/>
          <w:color w:val="1A1A1A"/>
          <w:sz w:val="20"/>
          <w:szCs w:val="20"/>
        </w:rPr>
        <w:t xml:space="preserve"> (protection de la santé, sécurité matérielle, repos, loisirs ; moyens convenables d’existence), </w:t>
      </w:r>
      <w:r>
        <w:rPr>
          <w:rFonts w:ascii="Calibri" w:cs="Calibri" w:eastAsia="Calibri" w:hAnsi="Calibri"/>
          <w:color w:val="1E88E5"/>
          <w:sz w:val="20"/>
          <w:szCs w:val="20"/>
        </w:rPr>
        <w:t xml:space="preserve">al. 12</w:t>
      </w:r>
      <w:r>
        <w:rPr>
          <w:rFonts w:ascii="Calibri" w:cs="Calibri" w:eastAsia="Calibri" w:hAnsi="Calibri"/>
          <w:color w:val="1A1A1A"/>
          <w:sz w:val="20"/>
          <w:szCs w:val="20"/>
        </w:rPr>
        <w:t xml:space="preserve"> (solidarité devant les charges des calamités nationales) ; </w:t>
      </w:r>
      <w:r>
        <w:rPr>
          <w:rFonts w:ascii="Calibri" w:cs="Calibri" w:eastAsia="Calibri" w:hAnsi="Calibri"/>
          <w:color w:val="1E88E5"/>
          <w:sz w:val="20"/>
          <w:szCs w:val="20"/>
        </w:rPr>
        <w:t xml:space="preserve">art. 34</w:t>
      </w:r>
      <w:r>
        <w:rPr>
          <w:rFonts w:ascii="Calibri" w:cs="Calibri" w:eastAsia="Calibri" w:hAnsi="Calibri"/>
          <w:color w:val="1A1A1A"/>
          <w:sz w:val="20"/>
          <w:szCs w:val="20"/>
        </w:rPr>
        <w:t xml:space="preserve"> (principes fondamentaux de la sécurité sociale) ; </w:t>
      </w:r>
      <w:r>
        <w:rPr>
          <w:rFonts w:ascii="Calibri" w:cs="Calibri" w:eastAsia="Calibri" w:hAnsi="Calibri"/>
          <w:color w:val="1E88E5"/>
          <w:sz w:val="20"/>
          <w:szCs w:val="20"/>
        </w:rPr>
        <w:t xml:space="preserve">art. 47-1</w:t>
      </w:r>
      <w:r>
        <w:rPr>
          <w:rFonts w:ascii="Calibri" w:cs="Calibri" w:eastAsia="Calibri" w:hAnsi="Calibri"/>
          <w:color w:val="1A1A1A"/>
          <w:sz w:val="20"/>
          <w:szCs w:val="20"/>
        </w:rPr>
        <w:t xml:space="preserve"> (lois de financement de la sécurité sociale).</w:t>
      </w:r>
    </w:p>
    <w:p>
      <w:pPr>
        <w:pStyle w:val="ListParagraph"/>
        <w:numPr>
          <w:ilvl w:val="0"/>
          <w:numId w:val="2"/>
        </w:numPr>
        <w:spacing w:after="70" w:line="264"/>
        <w:jc w:val="both"/>
      </w:pPr>
      <w:r>
        <w:rPr>
          <w:rFonts w:ascii="Calibri" w:cs="Calibri" w:eastAsia="Calibri" w:hAnsi="Calibri"/>
          <w:b/>
          <w:bCs/>
          <w:color w:val="1A1A1A"/>
          <w:sz w:val="20"/>
          <w:szCs w:val="20"/>
        </w:rPr>
        <w:t xml:space="preserve">Droit législatif</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ordonnances des 4 et 19 octobre 1945</w:t>
      </w:r>
      <w:r>
        <w:rPr>
          <w:rFonts w:ascii="Calibri" w:cs="Calibri" w:eastAsia="Calibri" w:hAnsi="Calibri"/>
          <w:color w:val="1A1A1A"/>
          <w:sz w:val="20"/>
          <w:szCs w:val="20"/>
        </w:rPr>
        <w:t xml:space="preserve"> (sécurité sociale) ; </w:t>
      </w:r>
      <w:r>
        <w:rPr>
          <w:rFonts w:ascii="Calibri" w:cs="Calibri" w:eastAsia="Calibri" w:hAnsi="Calibri"/>
          <w:color w:val="1E88E5"/>
          <w:sz w:val="20"/>
          <w:szCs w:val="20"/>
        </w:rPr>
        <w:t xml:space="preserve">loi du 27 juillet 1999</w:t>
      </w:r>
      <w:r>
        <w:rPr>
          <w:rFonts w:ascii="Calibri" w:cs="Calibri" w:eastAsia="Calibri" w:hAnsi="Calibri"/>
          <w:color w:val="1A1A1A"/>
          <w:sz w:val="20"/>
          <w:szCs w:val="20"/>
        </w:rPr>
        <w:t xml:space="preserve"> (CMU) ; </w:t>
      </w:r>
      <w:r>
        <w:rPr>
          <w:rFonts w:ascii="Calibri" w:cs="Calibri" w:eastAsia="Calibri" w:hAnsi="Calibri"/>
          <w:color w:val="1E88E5"/>
          <w:sz w:val="20"/>
          <w:szCs w:val="20"/>
        </w:rPr>
        <w:t xml:space="preserve">loi du 4 mars 2002</w:t>
      </w:r>
      <w:r>
        <w:rPr>
          <w:rFonts w:ascii="Calibri" w:cs="Calibri" w:eastAsia="Calibri" w:hAnsi="Calibri"/>
          <w:color w:val="1A1A1A"/>
          <w:sz w:val="20"/>
          <w:szCs w:val="20"/>
        </w:rPr>
        <w:t xml:space="preserve"> (droits des malades) ; </w:t>
      </w:r>
      <w:r>
        <w:rPr>
          <w:rFonts w:ascii="Calibri" w:cs="Calibri" w:eastAsia="Calibri" w:hAnsi="Calibri"/>
          <w:color w:val="1E88E5"/>
          <w:sz w:val="20"/>
          <w:szCs w:val="20"/>
        </w:rPr>
        <w:t xml:space="preserve">art. L. 1110-1 CSP</w:t>
      </w:r>
      <w:r>
        <w:rPr>
          <w:rFonts w:ascii="Calibri" w:cs="Calibri" w:eastAsia="Calibri" w:hAnsi="Calibri"/>
          <w:color w:val="1A1A1A"/>
          <w:sz w:val="20"/>
          <w:szCs w:val="20"/>
        </w:rPr>
        <w:t xml:space="preserve"> (droit fondamental à la protection de la santé), </w:t>
      </w:r>
      <w:r>
        <w:rPr>
          <w:rFonts w:ascii="Calibri" w:cs="Calibri" w:eastAsia="Calibri" w:hAnsi="Calibri"/>
          <w:color w:val="1E88E5"/>
          <w:sz w:val="20"/>
          <w:szCs w:val="20"/>
        </w:rPr>
        <w:t xml:space="preserve">L. 1110-3</w:t>
      </w:r>
      <w:r>
        <w:rPr>
          <w:rFonts w:ascii="Calibri" w:cs="Calibri" w:eastAsia="Calibri" w:hAnsi="Calibri"/>
          <w:color w:val="1A1A1A"/>
          <w:sz w:val="20"/>
          <w:szCs w:val="20"/>
        </w:rPr>
        <w:t xml:space="preserve"> (non-discrimination dans l’accès aux soins), </w:t>
      </w:r>
      <w:r>
        <w:rPr>
          <w:rFonts w:ascii="Calibri" w:cs="Calibri" w:eastAsia="Calibri" w:hAnsi="Calibri"/>
          <w:color w:val="1E88E5"/>
          <w:sz w:val="20"/>
          <w:szCs w:val="20"/>
        </w:rPr>
        <w:t xml:space="preserve">L. 1110-5</w:t>
      </w:r>
      <w:r>
        <w:rPr>
          <w:rFonts w:ascii="Calibri" w:cs="Calibri" w:eastAsia="Calibri" w:hAnsi="Calibri"/>
          <w:color w:val="1A1A1A"/>
          <w:sz w:val="20"/>
          <w:szCs w:val="20"/>
        </w:rPr>
        <w:t xml:space="preserve"> (soins adaptés) ; </w:t>
      </w:r>
      <w:r>
        <w:rPr>
          <w:rFonts w:ascii="Calibri" w:cs="Calibri" w:eastAsia="Calibri" w:hAnsi="Calibri"/>
          <w:color w:val="1E88E5"/>
          <w:sz w:val="20"/>
          <w:szCs w:val="20"/>
        </w:rPr>
        <w:t xml:space="preserve">loi n° 2026-404 du 26 mai 2026</w:t>
      </w:r>
      <w:r>
        <w:rPr>
          <w:rFonts w:ascii="Calibri" w:cs="Calibri" w:eastAsia="Calibri" w:hAnsi="Calibri"/>
          <w:color w:val="1A1A1A"/>
          <w:sz w:val="20"/>
          <w:szCs w:val="20"/>
        </w:rPr>
        <w:t xml:space="preserve"> (soins palliatifs).</w:t>
      </w:r>
    </w:p>
    <w:p>
      <w:pPr>
        <w:pStyle w:val="ListParagraph"/>
        <w:numPr>
          <w:ilvl w:val="0"/>
          <w:numId w:val="2"/>
        </w:numPr>
        <w:spacing w:after="70" w:line="264"/>
        <w:jc w:val="both"/>
      </w:pPr>
      <w:r>
        <w:rPr>
          <w:rFonts w:ascii="Calibri" w:cs="Calibri" w:eastAsia="Calibri" w:hAnsi="Calibri"/>
          <w:b/>
          <w:bCs/>
          <w:color w:val="1A1A1A"/>
          <w:sz w:val="20"/>
          <w:szCs w:val="20"/>
        </w:rPr>
        <w:t xml:space="preserve">Lecture à retenir</w:t>
      </w:r>
      <w:r>
        <w:rPr>
          <w:rFonts w:ascii="Calibri" w:cs="Calibri" w:eastAsia="Calibri" w:hAnsi="Calibri"/>
          <w:color w:val="1A1A1A"/>
          <w:sz w:val="20"/>
          <w:szCs w:val="20"/>
        </w:rPr>
        <w:t xml:space="preserve"> : un droit-créance se protège moins par l’injonction que par trois techniques — l’</w:t>
      </w:r>
      <w:r>
        <w:rPr>
          <w:rFonts w:ascii="Calibri" w:cs="Calibri" w:eastAsia="Calibri" w:hAnsi="Calibri"/>
          <w:b/>
          <w:bCs/>
          <w:color w:val="1A1A1A"/>
          <w:sz w:val="20"/>
          <w:szCs w:val="20"/>
        </w:rPr>
        <w:t xml:space="preserve">égalité</w:t>
      </w:r>
      <w:r>
        <w:rPr>
          <w:rFonts w:ascii="Calibri" w:cs="Calibri" w:eastAsia="Calibri" w:hAnsi="Calibri"/>
          <w:color w:val="1A1A1A"/>
          <w:sz w:val="20"/>
          <w:szCs w:val="20"/>
        </w:rPr>
        <w:t xml:space="preserve"> (pas de discrimination dans l’attribution), l’</w:t>
      </w:r>
      <w:r>
        <w:rPr>
          <w:rFonts w:ascii="Calibri" w:cs="Calibri" w:eastAsia="Calibri" w:hAnsi="Calibri"/>
          <w:b/>
          <w:bCs/>
          <w:color w:val="1A1A1A"/>
          <w:sz w:val="20"/>
          <w:szCs w:val="20"/>
        </w:rPr>
        <w:t xml:space="preserve">effet cliquet relatif</w:t>
      </w:r>
      <w:r>
        <w:rPr>
          <w:rFonts w:ascii="Calibri" w:cs="Calibri" w:eastAsia="Calibri" w:hAnsi="Calibri"/>
          <w:color w:val="1A1A1A"/>
          <w:sz w:val="20"/>
          <w:szCs w:val="20"/>
        </w:rPr>
        <w:t xml:space="preserve"> (pas de privation de garanties légales) et la </w:t>
      </w:r>
      <w:r>
        <w:rPr>
          <w:rFonts w:ascii="Calibri" w:cs="Calibri" w:eastAsia="Calibri" w:hAnsi="Calibri"/>
          <w:b/>
          <w:bCs/>
          <w:color w:val="1A1A1A"/>
          <w:sz w:val="20"/>
          <w:szCs w:val="20"/>
        </w:rPr>
        <w:t xml:space="preserve">protection par ricochet</w:t>
      </w:r>
      <w:r>
        <w:rPr>
          <w:rFonts w:ascii="Calibri" w:cs="Calibri" w:eastAsia="Calibri" w:hAnsi="Calibri"/>
          <w:color w:val="1A1A1A"/>
          <w:sz w:val="20"/>
          <w:szCs w:val="20"/>
        </w:rPr>
        <w:t xml:space="preserve"> des droits civils (vie, dignité, biens).</w:t>
      </w:r>
    </w:p>
    <w:p>
      <w:pPr>
        <w:pStyle w:val="Heading2"/>
        <w:spacing w:after="120" w:before="280"/>
      </w:pPr>
      <w:r>
        <w:rPr>
          <w:rFonts w:ascii="Calibri" w:cs="Calibri" w:eastAsia="Calibri" w:hAnsi="Calibri"/>
          <w:b/>
          <w:bCs/>
          <w:color w:val="1A1A1A"/>
          <w:sz w:val="24"/>
          <w:szCs w:val="24"/>
        </w:rPr>
        <w:t xml:space="preserve">2. Le droit à la protection de la santé</w:t>
      </w:r>
    </w:p>
    <w:p>
      <w:pPr>
        <w:pStyle w:val="Heading3"/>
        <w:spacing w:after="90" w:before="200"/>
      </w:pPr>
      <w:r>
        <w:rPr>
          <w:rFonts w:ascii="Calibri" w:cs="Calibri" w:eastAsia="Calibri" w:hAnsi="Calibri"/>
          <w:b/>
          <w:bCs/>
          <w:i/>
          <w:iCs/>
          <w:color w:val="5A5A5A"/>
          <w:sz w:val="21"/>
          <w:szCs w:val="21"/>
        </w:rPr>
        <w:t xml:space="preserve">2.1. Un droit sans effet direct mais aux déclinaisons multiples</w:t>
      </w:r>
    </w:p>
    <w:p>
      <w:pPr>
        <w:pStyle w:val="ListParagraph"/>
        <w:numPr>
          <w:ilvl w:val="0"/>
          <w:numId w:val="2"/>
        </w:numPr>
        <w:spacing w:after="70" w:line="264"/>
        <w:jc w:val="both"/>
      </w:pPr>
      <w:r>
        <w:rPr>
          <w:rFonts w:ascii="Calibri" w:cs="Calibri" w:eastAsia="Calibri" w:hAnsi="Calibri"/>
          <w:b/>
          <w:bCs/>
          <w:color w:val="1A1A1A"/>
          <w:sz w:val="20"/>
          <w:szCs w:val="20"/>
        </w:rPr>
        <w:t xml:space="preserve">Absence d’effet direct</w:t>
      </w:r>
      <w:r>
        <w:rPr>
          <w:rFonts w:ascii="Calibri" w:cs="Calibri" w:eastAsia="Calibri" w:hAnsi="Calibri"/>
          <w:color w:val="1A1A1A"/>
          <w:sz w:val="20"/>
          <w:szCs w:val="20"/>
        </w:rPr>
        <w:t xml:space="preserve"> des stipulations du PIDESC et de la Charte sociale (</w:t>
      </w:r>
      <w:r>
        <w:rPr>
          <w:rFonts w:ascii="Calibri" w:cs="Calibri" w:eastAsia="Calibri" w:hAnsi="Calibri"/>
          <w:color w:val="E91E63"/>
          <w:sz w:val="20"/>
          <w:szCs w:val="20"/>
        </w:rPr>
        <w:t xml:space="preserve">CE, 7 juin 2006, Aides</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 5 mai 2000, Pinault</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 15 mai 1995, Rault</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Strasbourg</w:t>
      </w:r>
      <w:r>
        <w:rPr>
          <w:rFonts w:ascii="Calibri" w:cs="Calibri" w:eastAsia="Calibri" w:hAnsi="Calibri"/>
          <w:color w:val="1A1A1A"/>
          <w:sz w:val="20"/>
          <w:szCs w:val="20"/>
        </w:rPr>
        <w:t xml:space="preserve"> : obligation de mettre en place un cadre réglementaire imposant aux hôpitaux des mesures propres à protéger la vie des patients ; la négligence médicale n’engage la responsabilité de l’État au titre de l’</w:t>
      </w:r>
      <w:r>
        <w:rPr>
          <w:rFonts w:ascii="Calibri" w:cs="Calibri" w:eastAsia="Calibri" w:hAnsi="Calibri"/>
          <w:color w:val="1E88E5"/>
          <w:sz w:val="20"/>
          <w:szCs w:val="20"/>
        </w:rPr>
        <w:t xml:space="preserve">art. 2</w:t>
      </w:r>
      <w:r>
        <w:rPr>
          <w:rFonts w:ascii="Calibri" w:cs="Calibri" w:eastAsia="Calibri" w:hAnsi="Calibri"/>
          <w:color w:val="1A1A1A"/>
          <w:sz w:val="20"/>
          <w:szCs w:val="20"/>
        </w:rPr>
        <w:t xml:space="preserve"> que dans des circonstances exceptionnelles (refus de soins d’urgence, défaillance systémique) (</w:t>
      </w:r>
      <w:r>
        <w:rPr>
          <w:rFonts w:ascii="Calibri" w:cs="Calibri" w:eastAsia="Calibri" w:hAnsi="Calibri"/>
          <w:color w:val="E91E63"/>
          <w:sz w:val="20"/>
          <w:szCs w:val="20"/>
        </w:rPr>
        <w:t xml:space="preserve">CEDH [GC], 19 décembre 2017, Lopes de Sousa Fernandes c. Portugal</w:t>
      </w:r>
      <w:r>
        <w:rPr>
          <w:rFonts w:ascii="Calibri" w:cs="Calibri" w:eastAsia="Calibri" w:hAnsi="Calibri"/>
          <w:color w:val="1A1A1A"/>
          <w:sz w:val="20"/>
          <w:szCs w:val="20"/>
        </w:rPr>
        <w:t xml:space="preserve">) ; soins aux détenus (</w:t>
      </w:r>
      <w:r>
        <w:rPr>
          <w:rFonts w:ascii="Calibri" w:cs="Calibri" w:eastAsia="Calibri" w:hAnsi="Calibri"/>
          <w:color w:val="E91E63"/>
          <w:sz w:val="20"/>
          <w:szCs w:val="20"/>
        </w:rPr>
        <w:t xml:space="preserve">CEDH [GC], 26 octobre 2000, Kudła c. Pologne</w:t>
      </w:r>
      <w:r>
        <w:rPr>
          <w:rFonts w:ascii="Calibri" w:cs="Calibri" w:eastAsia="Calibri" w:hAnsi="Calibri"/>
          <w:color w:val="1A1A1A"/>
          <w:sz w:val="20"/>
          <w:szCs w:val="20"/>
        </w:rPr>
        <w:t xml:space="preserve">) ; vaccination obligatoire des enfants compatible avec l’</w:t>
      </w:r>
      <w:r>
        <w:rPr>
          <w:rFonts w:ascii="Calibri" w:cs="Calibri" w:eastAsia="Calibri" w:hAnsi="Calibri"/>
          <w:color w:val="1E88E5"/>
          <w:sz w:val="20"/>
          <w:szCs w:val="20"/>
        </w:rPr>
        <w:t xml:space="preserve">art. 8</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CEDH [GC], 8 avril 2021, Vavřička c. République tchèque</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Conseil constitutionnel</w:t>
      </w:r>
      <w:r>
        <w:rPr>
          <w:rFonts w:ascii="Calibri" w:cs="Calibri" w:eastAsia="Calibri" w:hAnsi="Calibri"/>
          <w:color w:val="1A1A1A"/>
          <w:sz w:val="20"/>
          <w:szCs w:val="20"/>
        </w:rPr>
        <w:t xml:space="preserve"> : la protection de la santé publique justifie des atteintes à d’autres libertés — loi Évin (</w:t>
      </w:r>
      <w:r>
        <w:rPr>
          <w:rFonts w:ascii="Calibri" w:cs="Calibri" w:eastAsia="Calibri" w:hAnsi="Calibri"/>
          <w:color w:val="E91E63"/>
          <w:sz w:val="20"/>
          <w:szCs w:val="20"/>
        </w:rPr>
        <w:t xml:space="preserve">90-283 DC</w:t>
      </w:r>
      <w:r>
        <w:rPr>
          <w:rFonts w:ascii="Calibri" w:cs="Calibri" w:eastAsia="Calibri" w:hAnsi="Calibri"/>
          <w:color w:val="1A1A1A"/>
          <w:sz w:val="20"/>
          <w:szCs w:val="20"/>
        </w:rPr>
        <w:t xml:space="preserve">), vaccinations obligatoires (</w:t>
      </w:r>
      <w:r>
        <w:rPr>
          <w:rFonts w:ascii="Calibri" w:cs="Calibri" w:eastAsia="Calibri" w:hAnsi="Calibri"/>
          <w:color w:val="E91E63"/>
          <w:sz w:val="20"/>
          <w:szCs w:val="20"/>
        </w:rPr>
        <w:t xml:space="preserve">2015-458 QPC, 20 mars 2015</w:t>
      </w:r>
      <w:r>
        <w:rPr>
          <w:rFonts w:ascii="Calibri" w:cs="Calibri" w:eastAsia="Calibri" w:hAnsi="Calibri"/>
          <w:color w:val="1A1A1A"/>
          <w:sz w:val="20"/>
          <w:szCs w:val="20"/>
        </w:rPr>
        <w:t xml:space="preserve">), passe sanitaire (</w:t>
      </w:r>
      <w:r>
        <w:rPr>
          <w:rFonts w:ascii="Calibri" w:cs="Calibri" w:eastAsia="Calibri" w:hAnsi="Calibri"/>
          <w:color w:val="E91E63"/>
          <w:sz w:val="20"/>
          <w:szCs w:val="20"/>
        </w:rPr>
        <w:t xml:space="preserve">2021-824 DC</w:t>
      </w:r>
      <w:r>
        <w:rPr>
          <w:rFonts w:ascii="Calibri" w:cs="Calibri" w:eastAsia="Calibri" w:hAnsi="Calibri"/>
          <w:color w:val="1A1A1A"/>
          <w:sz w:val="20"/>
          <w:szCs w:val="20"/>
        </w:rPr>
        <w:t xml:space="preserve">).</w:t>
      </w:r>
    </w:p>
    <w:p>
      <w:pPr>
        <w:pStyle w:val="Heading3"/>
        <w:spacing w:after="90" w:before="200"/>
      </w:pPr>
      <w:r>
        <w:rPr>
          <w:rFonts w:ascii="Calibri" w:cs="Calibri" w:eastAsia="Calibri" w:hAnsi="Calibri"/>
          <w:b/>
          <w:bCs/>
          <w:i/>
          <w:iCs/>
          <w:color w:val="5A5A5A"/>
          <w:sz w:val="21"/>
          <w:szCs w:val="21"/>
        </w:rPr>
        <w:t xml:space="preserve">2.2. Le juge administratif</w:t>
      </w:r>
    </w:p>
    <w:p>
      <w:pPr>
        <w:pStyle w:val="ListParagraph"/>
        <w:numPr>
          <w:ilvl w:val="0"/>
          <w:numId w:val="2"/>
        </w:numPr>
        <w:spacing w:after="70" w:line="264"/>
        <w:jc w:val="both"/>
      </w:pPr>
      <w:r>
        <w:rPr>
          <w:rFonts w:ascii="Calibri" w:cs="Calibri" w:eastAsia="Calibri" w:hAnsi="Calibri"/>
          <w:b/>
          <w:bCs/>
          <w:color w:val="1A1A1A"/>
          <w:sz w:val="20"/>
          <w:szCs w:val="20"/>
        </w:rPr>
        <w:t xml:space="preserve">Référé-liberté</w:t>
      </w:r>
      <w:r>
        <w:rPr>
          <w:rFonts w:ascii="Calibri" w:cs="Calibri" w:eastAsia="Calibri" w:hAnsi="Calibri"/>
          <w:color w:val="1A1A1A"/>
          <w:sz w:val="20"/>
          <w:szCs w:val="20"/>
        </w:rPr>
        <w:t xml:space="preserve"> : le droit à la santé n’est pas en tant que tel une liberté fondamentale (</w:t>
      </w:r>
      <w:r>
        <w:rPr>
          <w:rFonts w:ascii="Calibri" w:cs="Calibri" w:eastAsia="Calibri" w:hAnsi="Calibri"/>
          <w:color w:val="E91E63"/>
          <w:sz w:val="20"/>
          <w:szCs w:val="20"/>
        </w:rPr>
        <w:t xml:space="preserve">CE, ord., 8 septembre 2005</w:t>
      </w:r>
      <w:r>
        <w:rPr>
          <w:rFonts w:ascii="Calibri" w:cs="Calibri" w:eastAsia="Calibri" w:hAnsi="Calibri"/>
          <w:color w:val="1A1A1A"/>
          <w:sz w:val="20"/>
          <w:szCs w:val="20"/>
        </w:rPr>
        <w:t xml:space="preserve">, tabagisme passif d’un détenu — sujet « Pour s’entraîner ») ; mais le </w:t>
      </w:r>
      <w:r>
        <w:rPr>
          <w:rFonts w:ascii="Calibri" w:cs="Calibri" w:eastAsia="Calibri" w:hAnsi="Calibri"/>
          <w:b/>
          <w:bCs/>
          <w:color w:val="1A1A1A"/>
          <w:sz w:val="20"/>
          <w:szCs w:val="20"/>
        </w:rPr>
        <w:t xml:space="preserve">droit au respect de la vie</w:t>
      </w:r>
      <w:r>
        <w:rPr>
          <w:rFonts w:ascii="Calibri" w:cs="Calibri" w:eastAsia="Calibri" w:hAnsi="Calibri"/>
          <w:color w:val="1A1A1A"/>
          <w:sz w:val="20"/>
          <w:szCs w:val="20"/>
        </w:rPr>
        <w:t xml:space="preserve"> et le droit de ne pas subir de traitements inhumains le sont, ce qui permet d’enjoindre des mesures dans les prisons ou en période d’épidémie (</w:t>
      </w:r>
      <w:r>
        <w:rPr>
          <w:rFonts w:ascii="Calibri" w:cs="Calibri" w:eastAsia="Calibri" w:hAnsi="Calibri"/>
          <w:color w:val="E91E63"/>
          <w:sz w:val="20"/>
          <w:szCs w:val="20"/>
        </w:rPr>
        <w:t xml:space="preserve">CE, ord., 22 mars 2020, Syndicat Jeunes Médecins</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Office du juge</w:t>
      </w:r>
      <w:r>
        <w:rPr>
          <w:rFonts w:ascii="Calibri" w:cs="Calibri" w:eastAsia="Calibri" w:hAnsi="Calibri"/>
          <w:color w:val="1A1A1A"/>
          <w:sz w:val="20"/>
          <w:szCs w:val="20"/>
        </w:rPr>
        <w:t xml:space="preserve"> : il peut enjoindre l’exécution d’une obligation légale déterminée, non définir une politique de santé — déserts médicaux (</w:t>
      </w:r>
      <w:r>
        <w:rPr>
          <w:rFonts w:ascii="Calibri" w:cs="Calibri" w:eastAsia="Calibri" w:hAnsi="Calibri"/>
          <w:color w:val="E91E63"/>
          <w:sz w:val="20"/>
          <w:szCs w:val="20"/>
        </w:rPr>
        <w:t xml:space="preserve">CE, 1er octobre 2025, UFC-Que Choisir, n° 489511</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Égalité d’accès aux soins</w:t>
      </w:r>
      <w:r>
        <w:rPr>
          <w:rFonts w:ascii="Calibri" w:cs="Calibri" w:eastAsia="Calibri" w:hAnsi="Calibri"/>
          <w:color w:val="1A1A1A"/>
          <w:sz w:val="20"/>
          <w:szCs w:val="20"/>
        </w:rPr>
        <w:t xml:space="preserve"> : refus de soigner une enfant bénéficiaire de l’AME, sanction confirmée — ni l’absence de documents, ni les difficultés de remboursement, ni l’orientation vers un confrère ne justifient le refus (</w:t>
      </w:r>
      <w:r>
        <w:rPr>
          <w:rFonts w:ascii="Calibri" w:cs="Calibri" w:eastAsia="Calibri" w:hAnsi="Calibri"/>
          <w:color w:val="E91E63"/>
          <w:sz w:val="20"/>
          <w:szCs w:val="20"/>
        </w:rPr>
        <w:t xml:space="preserve">CE, 27 février 2026, CDOM de Seine-Saint-Denis, n° 501956</w:t>
      </w:r>
      <w:r>
        <w:rPr>
          <w:rFonts w:ascii="Calibri" w:cs="Calibri" w:eastAsia="Calibri" w:hAnsi="Calibri"/>
          <w:color w:val="1A1A1A"/>
          <w:sz w:val="20"/>
          <w:szCs w:val="20"/>
        </w:rPr>
        <w:t xml:space="preserve">). </w:t>
      </w:r>
      <w:r>
        <w:rPr>
          <w:rFonts w:ascii="Calibri" w:cs="Calibri" w:eastAsia="Calibri" w:hAnsi="Calibri"/>
          <w:b/>
          <w:bCs/>
          <w:color w:val="1A1A1A"/>
          <w:sz w:val="20"/>
          <w:szCs w:val="20"/>
        </w:rPr>
        <w:t xml:space="preserve">AME</w:t>
      </w:r>
      <w:r>
        <w:rPr>
          <w:rFonts w:ascii="Calibri" w:cs="Calibri" w:eastAsia="Calibri" w:hAnsi="Calibri"/>
          <w:color w:val="1A1A1A"/>
          <w:sz w:val="20"/>
          <w:szCs w:val="20"/>
        </w:rPr>
        <w:t xml:space="preserve"> : dispositif de soins pour les étrangers en situation irrégulière (conditions de résidence et de ressources), régulièrement contesté dans le débat politique.</w:t>
      </w:r>
    </w:p>
    <w:p>
      <w:pPr>
        <w:pStyle w:val="Heading3"/>
        <w:spacing w:after="90" w:before="200"/>
      </w:pPr>
      <w:r>
        <w:rPr>
          <w:rFonts w:ascii="Calibri" w:cs="Calibri" w:eastAsia="Calibri" w:hAnsi="Calibri"/>
          <w:b/>
          <w:bCs/>
          <w:i/>
          <w:iCs/>
          <w:color w:val="5A5A5A"/>
          <w:sz w:val="21"/>
          <w:szCs w:val="21"/>
        </w:rPr>
        <w:t xml:space="preserve">2.3. Fin de vie et soins palliatifs</w:t>
      </w:r>
    </w:p>
    <w:p>
      <w:pPr>
        <w:pStyle w:val="ListParagraph"/>
        <w:numPr>
          <w:ilvl w:val="0"/>
          <w:numId w:val="2"/>
        </w:numPr>
        <w:spacing w:after="70" w:line="264"/>
        <w:jc w:val="both"/>
      </w:pPr>
      <w:r>
        <w:rPr>
          <w:rFonts w:ascii="Calibri" w:cs="Calibri" w:eastAsia="Calibri" w:hAnsi="Calibri"/>
          <w:b/>
          <w:bCs/>
          <w:color w:val="1A1A1A"/>
          <w:sz w:val="20"/>
          <w:szCs w:val="20"/>
        </w:rPr>
        <w:t xml:space="preserve">Loi du 26 mai 2026</w:t>
      </w:r>
      <w:r>
        <w:rPr>
          <w:rFonts w:ascii="Calibri" w:cs="Calibri" w:eastAsia="Calibri" w:hAnsi="Calibri"/>
          <w:color w:val="1A1A1A"/>
          <w:sz w:val="20"/>
          <w:szCs w:val="20"/>
        </w:rPr>
        <w:t xml:space="preserve"> : accès équitable et territorial aux soins palliatifs, maisons d’accompagnement, stratégie nationale pluriannuelle ; le </w:t>
      </w:r>
      <w:r>
        <w:rPr>
          <w:rFonts w:ascii="Calibri" w:cs="Calibri" w:eastAsia="Calibri" w:hAnsi="Calibri"/>
          <w:b/>
          <w:bCs/>
          <w:color w:val="1A1A1A"/>
          <w:sz w:val="20"/>
          <w:szCs w:val="20"/>
        </w:rPr>
        <w:t xml:space="preserve">droit opposable</w:t>
      </w:r>
      <w:r>
        <w:rPr>
          <w:rFonts w:ascii="Calibri" w:cs="Calibri" w:eastAsia="Calibri" w:hAnsi="Calibri"/>
          <w:color w:val="1A1A1A"/>
          <w:sz w:val="20"/>
          <w:szCs w:val="20"/>
        </w:rPr>
        <w:t xml:space="preserve"> voté par l’Assemblée a été supprimé par le Sénat. </w:t>
      </w:r>
      <w:r>
        <w:rPr>
          <w:rFonts w:ascii="Calibri" w:cs="Calibri" w:eastAsia="Calibri" w:hAnsi="Calibri"/>
          <w:b/>
          <w:bCs/>
          <w:color w:val="1A1A1A"/>
          <w:sz w:val="20"/>
          <w:szCs w:val="20"/>
        </w:rPr>
        <w:t xml:space="preserve">Loi du 18 août 2026</w:t>
      </w:r>
      <w:r>
        <w:rPr>
          <w:rFonts w:ascii="Calibri" w:cs="Calibri" w:eastAsia="Calibri" w:hAnsi="Calibri"/>
          <w:color w:val="1A1A1A"/>
          <w:sz w:val="20"/>
          <w:szCs w:val="20"/>
        </w:rPr>
        <w:t xml:space="preserve"> : droit à l’aide à mourir (</w:t>
      </w:r>
      <w:r>
        <w:rPr>
          <w:rFonts w:ascii="Calibri" w:cs="Calibri" w:eastAsia="Calibri" w:hAnsi="Calibri"/>
          <w:color w:val="E91E63"/>
          <w:sz w:val="20"/>
          <w:szCs w:val="20"/>
        </w:rPr>
        <w:t xml:space="preserve">2026-910 DC</w:t>
      </w:r>
      <w:r>
        <w:rPr>
          <w:rFonts w:ascii="Calibri" w:cs="Calibri" w:eastAsia="Calibri" w:hAnsi="Calibri"/>
          <w:color w:val="1A1A1A"/>
          <w:sz w:val="20"/>
          <w:szCs w:val="20"/>
        </w:rPr>
        <w:t xml:space="preserve">, fiche 26).</w:t>
      </w:r>
    </w:p>
    <w:p>
      <w:pPr>
        <w:pStyle w:val="Heading2"/>
        <w:spacing w:after="120" w:before="280"/>
      </w:pPr>
      <w:r>
        <w:rPr>
          <w:rFonts w:ascii="Calibri" w:cs="Calibri" w:eastAsia="Calibri" w:hAnsi="Calibri"/>
          <w:b/>
          <w:bCs/>
          <w:color w:val="1A1A1A"/>
          <w:sz w:val="24"/>
          <w:szCs w:val="24"/>
        </w:rPr>
        <w:t xml:space="preserve">3. Le droit à la protection sociale</w:t>
      </w:r>
    </w:p>
    <w:p>
      <w:pPr>
        <w:pStyle w:val="Heading3"/>
        <w:spacing w:after="90" w:before="200"/>
      </w:pPr>
      <w:r>
        <w:rPr>
          <w:rFonts w:ascii="Calibri" w:cs="Calibri" w:eastAsia="Calibri" w:hAnsi="Calibri"/>
          <w:b/>
          <w:bCs/>
          <w:i/>
          <w:iCs/>
          <w:color w:val="5A5A5A"/>
          <w:sz w:val="21"/>
          <w:szCs w:val="21"/>
        </w:rPr>
        <w:t xml:space="preserve">3.1. Histoire et notions</w:t>
      </w:r>
    </w:p>
    <w:p>
      <w:pPr>
        <w:pStyle w:val="ListParagraph"/>
        <w:numPr>
          <w:ilvl w:val="0"/>
          <w:numId w:val="2"/>
        </w:numPr>
        <w:spacing w:after="70" w:line="264"/>
        <w:jc w:val="both"/>
      </w:pPr>
      <w:r>
        <w:rPr>
          <w:rFonts w:ascii="Calibri" w:cs="Calibri" w:eastAsia="Calibri" w:hAnsi="Calibri"/>
          <w:b/>
          <w:bCs/>
          <w:color w:val="1A1A1A"/>
          <w:sz w:val="20"/>
          <w:szCs w:val="20"/>
        </w:rPr>
        <w:t xml:space="preserve">Histoire</w:t>
      </w:r>
      <w:r>
        <w:rPr>
          <w:rFonts w:ascii="Calibri" w:cs="Calibri" w:eastAsia="Calibri" w:hAnsi="Calibri"/>
          <w:color w:val="1A1A1A"/>
          <w:sz w:val="20"/>
          <w:szCs w:val="20"/>
        </w:rPr>
        <w:t xml:space="preserve"> : charité religieuse ; « dette sacrée » (</w:t>
      </w:r>
      <w:r>
        <w:rPr>
          <w:rFonts w:ascii="Calibri" w:cs="Calibri" w:eastAsia="Calibri" w:hAnsi="Calibri"/>
          <w:color w:val="1E88E5"/>
          <w:sz w:val="20"/>
          <w:szCs w:val="20"/>
        </w:rPr>
        <w:t xml:space="preserve">art. 21 Déclaration de 1793</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loi du 9 avril 1898</w:t>
      </w:r>
      <w:r>
        <w:rPr>
          <w:rFonts w:ascii="Calibri" w:cs="Calibri" w:eastAsia="Calibri" w:hAnsi="Calibri"/>
          <w:color w:val="1A1A1A"/>
          <w:sz w:val="20"/>
          <w:szCs w:val="20"/>
        </w:rPr>
        <w:t xml:space="preserve"> (accidents du travail) ; </w:t>
      </w:r>
      <w:r>
        <w:rPr>
          <w:rFonts w:ascii="Calibri" w:cs="Calibri" w:eastAsia="Calibri" w:hAnsi="Calibri"/>
          <w:color w:val="1E88E5"/>
          <w:sz w:val="20"/>
          <w:szCs w:val="20"/>
        </w:rPr>
        <w:t xml:space="preserve">loi du 15 juillet 1893</w:t>
      </w:r>
      <w:r>
        <w:rPr>
          <w:rFonts w:ascii="Calibri" w:cs="Calibri" w:eastAsia="Calibri" w:hAnsi="Calibri"/>
          <w:color w:val="1A1A1A"/>
          <w:sz w:val="20"/>
          <w:szCs w:val="20"/>
        </w:rPr>
        <w:t xml:space="preserve"> (assistance médicale gratuite) ; </w:t>
      </w:r>
      <w:r>
        <w:rPr>
          <w:rFonts w:ascii="Calibri" w:cs="Calibri" w:eastAsia="Calibri" w:hAnsi="Calibri"/>
          <w:color w:val="1E88E5"/>
          <w:sz w:val="20"/>
          <w:szCs w:val="20"/>
        </w:rPr>
        <w:t xml:space="preserve">loi du 5 avril 1910</w:t>
      </w:r>
      <w:r>
        <w:rPr>
          <w:rFonts w:ascii="Calibri" w:cs="Calibri" w:eastAsia="Calibri" w:hAnsi="Calibri"/>
          <w:color w:val="1A1A1A"/>
          <w:sz w:val="20"/>
          <w:szCs w:val="20"/>
        </w:rPr>
        <w:t xml:space="preserve"> (retraites ouvrières et paysannes) ; programme du CNR (1944) ; ordonnances de 1945 (</w:t>
      </w:r>
      <w:r>
        <w:rPr>
          <w:rFonts w:ascii="Calibri" w:cs="Calibri" w:eastAsia="Calibri" w:hAnsi="Calibri"/>
          <w:color w:val="2E7D32"/>
          <w:sz w:val="20"/>
          <w:szCs w:val="20"/>
        </w:rPr>
        <w:t xml:space="preserve">Pierre Laroque</w:t>
      </w:r>
      <w:r>
        <w:rPr>
          <w:rFonts w:ascii="Calibri" w:cs="Calibri" w:eastAsia="Calibri" w:hAnsi="Calibri"/>
          <w:color w:val="1A1A1A"/>
          <w:sz w:val="20"/>
          <w:szCs w:val="20"/>
        </w:rPr>
        <w:t xml:space="preserve">). </w:t>
      </w:r>
      <w:r>
        <w:rPr>
          <w:rFonts w:ascii="Calibri" w:cs="Calibri" w:eastAsia="Calibri" w:hAnsi="Calibri"/>
          <w:b/>
          <w:bCs/>
          <w:color w:val="1A1A1A"/>
          <w:sz w:val="20"/>
          <w:szCs w:val="20"/>
        </w:rPr>
        <w:t xml:space="preserve">Notions</w:t>
      </w:r>
      <w:r>
        <w:rPr>
          <w:rFonts w:ascii="Calibri" w:cs="Calibri" w:eastAsia="Calibri" w:hAnsi="Calibri"/>
          <w:color w:val="1A1A1A"/>
          <w:sz w:val="20"/>
          <w:szCs w:val="20"/>
        </w:rPr>
        <w:t xml:space="preserve"> : sécurité sociale (logique contributive, assurances sociales) et aide et action sociales (logique d’assistance non contributive) ; trilogie des obligations de respecter, protéger, mettre en œuvre.</w:t>
      </w:r>
    </w:p>
    <w:p>
      <w:pPr>
        <w:pStyle w:val="Heading3"/>
        <w:spacing w:after="90" w:before="200"/>
      </w:pPr>
      <w:r>
        <w:rPr>
          <w:rFonts w:ascii="Calibri" w:cs="Calibri" w:eastAsia="Calibri" w:hAnsi="Calibri"/>
          <w:b/>
          <w:bCs/>
          <w:i/>
          <w:iCs/>
          <w:color w:val="5A5A5A"/>
          <w:sz w:val="21"/>
          <w:szCs w:val="21"/>
        </w:rPr>
        <w:t xml:space="preserve">3.2. Le contrôle constitutionnel</w:t>
      </w:r>
    </w:p>
    <w:p>
      <w:pPr>
        <w:pStyle w:val="ListParagraph"/>
        <w:numPr>
          <w:ilvl w:val="0"/>
          <w:numId w:val="2"/>
        </w:numPr>
        <w:spacing w:after="70" w:line="264"/>
        <w:jc w:val="both"/>
      </w:pPr>
      <w:r>
        <w:rPr>
          <w:rFonts w:ascii="Calibri" w:cs="Calibri" w:eastAsia="Calibri" w:hAnsi="Calibri"/>
          <w:b/>
          <w:bCs/>
          <w:color w:val="1A1A1A"/>
          <w:sz w:val="20"/>
          <w:szCs w:val="20"/>
        </w:rPr>
        <w:t xml:space="preserve">Solidarité nationale</w:t>
      </w:r>
      <w:r>
        <w:rPr>
          <w:rFonts w:ascii="Calibri" w:cs="Calibri" w:eastAsia="Calibri" w:hAnsi="Calibri"/>
          <w:color w:val="1A1A1A"/>
          <w:sz w:val="20"/>
          <w:szCs w:val="20"/>
        </w:rPr>
        <w:t xml:space="preserve"> : familles (</w:t>
      </w:r>
      <w:r>
        <w:rPr>
          <w:rFonts w:ascii="Calibri" w:cs="Calibri" w:eastAsia="Calibri" w:hAnsi="Calibri"/>
          <w:color w:val="E91E63"/>
          <w:sz w:val="20"/>
          <w:szCs w:val="20"/>
        </w:rPr>
        <w:t xml:space="preserve">97-393 DC, 18 décembre 1997</w:t>
      </w:r>
      <w:r>
        <w:rPr>
          <w:rFonts w:ascii="Calibri" w:cs="Calibri" w:eastAsia="Calibri" w:hAnsi="Calibri"/>
          <w:color w:val="1A1A1A"/>
          <w:sz w:val="20"/>
          <w:szCs w:val="20"/>
        </w:rPr>
        <w:t xml:space="preserve">) ; personnes âgées (</w:t>
      </w:r>
      <w:r>
        <w:rPr>
          <w:rFonts w:ascii="Calibri" w:cs="Calibri" w:eastAsia="Calibri" w:hAnsi="Calibri"/>
          <w:color w:val="E91E63"/>
          <w:sz w:val="20"/>
          <w:szCs w:val="20"/>
        </w:rPr>
        <w:t xml:space="preserve">96-387 DC, 21 janvier 1997</w:t>
      </w:r>
      <w:r>
        <w:rPr>
          <w:rFonts w:ascii="Calibri" w:cs="Calibri" w:eastAsia="Calibri" w:hAnsi="Calibri"/>
          <w:color w:val="1A1A1A"/>
          <w:sz w:val="20"/>
          <w:szCs w:val="20"/>
        </w:rPr>
        <w:t xml:space="preserve">, prestation dépendance confiée aux départements) ; retraités (</w:t>
      </w:r>
      <w:r>
        <w:rPr>
          <w:rFonts w:ascii="Calibri" w:cs="Calibri" w:eastAsia="Calibri" w:hAnsi="Calibri"/>
          <w:color w:val="E91E63"/>
          <w:sz w:val="20"/>
          <w:szCs w:val="20"/>
        </w:rPr>
        <w:t xml:space="preserve">2003-483 DC</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2023-849 DC</w:t>
      </w:r>
      <w:r>
        <w:rPr>
          <w:rFonts w:ascii="Calibri" w:cs="Calibri" w:eastAsia="Calibri" w:hAnsi="Calibri"/>
          <w:color w:val="1A1A1A"/>
          <w:sz w:val="20"/>
          <w:szCs w:val="20"/>
        </w:rPr>
        <w:t xml:space="preserve"> — report de l’âge légal à 64 ans conforme, plusieurs cavaliers censurés) ; référendums d’initiative partagée sur la réforme jugés irrecevables (</w:t>
      </w:r>
      <w:r>
        <w:rPr>
          <w:rFonts w:ascii="Calibri" w:cs="Calibri" w:eastAsia="Calibri" w:hAnsi="Calibri"/>
          <w:color w:val="E91E63"/>
          <w:sz w:val="20"/>
          <w:szCs w:val="20"/>
        </w:rPr>
        <w:t xml:space="preserve">2023-4 RIP, 14 avril 2023</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2023-5 RIP, 3 mai 2023</w:t>
      </w:r>
      <w:r>
        <w:rPr>
          <w:rFonts w:ascii="Calibri" w:cs="Calibri" w:eastAsia="Calibri" w:hAnsi="Calibri"/>
          <w:color w:val="1A1A1A"/>
          <w:sz w:val="20"/>
          <w:szCs w:val="20"/>
        </w:rPr>
        <w:t xml:space="preserve">). </w:t>
      </w:r>
      <w:r>
        <w:rPr>
          <w:rFonts w:ascii="Calibri" w:cs="Calibri" w:eastAsia="Calibri" w:hAnsi="Calibri"/>
          <w:b/>
          <w:bCs/>
          <w:color w:val="1A1A1A"/>
          <w:sz w:val="20"/>
          <w:szCs w:val="20"/>
        </w:rPr>
        <w:t xml:space="preserve">Actualité</w:t>
      </w:r>
      <w:r>
        <w:rPr>
          <w:rFonts w:ascii="Calibri" w:cs="Calibri" w:eastAsia="Calibri" w:hAnsi="Calibri"/>
          <w:color w:val="1A1A1A"/>
          <w:sz w:val="20"/>
          <w:szCs w:val="20"/>
        </w:rPr>
        <w:t xml:space="preserve"> : suspension du calendrier de relèvement de l’âge légal et de la durée d’assurance par l’</w:t>
      </w:r>
      <w:r>
        <w:rPr>
          <w:rFonts w:ascii="Calibri" w:cs="Calibri" w:eastAsia="Calibri" w:hAnsi="Calibri"/>
          <w:color w:val="1E88E5"/>
          <w:sz w:val="20"/>
          <w:szCs w:val="20"/>
        </w:rPr>
        <w:t xml:space="preserve">art. 105 de la LFSS pour 2026</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loi n° 2025-1403 du 30 décembre 2025</w:t>
      </w:r>
      <w:r>
        <w:rPr>
          <w:rFonts w:ascii="Calibri" w:cs="Calibri" w:eastAsia="Calibri" w:hAnsi="Calibri"/>
          <w:color w:val="1A1A1A"/>
          <w:sz w:val="20"/>
          <w:szCs w:val="20"/>
        </w:rPr>
        <w:t xml:space="preserve">), contrôlée par la décision </w:t>
      </w:r>
      <w:r>
        <w:rPr>
          <w:rFonts w:ascii="Calibri" w:cs="Calibri" w:eastAsia="Calibri" w:hAnsi="Calibri"/>
          <w:color w:val="E91E63"/>
          <w:sz w:val="20"/>
          <w:szCs w:val="20"/>
        </w:rPr>
        <w:t xml:space="preserve">2025-899 DC du 30 décembre 2025</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Marge du législateur</w:t>
      </w:r>
      <w:r>
        <w:rPr>
          <w:rFonts w:ascii="Calibri" w:cs="Calibri" w:eastAsia="Calibri" w:hAnsi="Calibri"/>
          <w:color w:val="1A1A1A"/>
          <w:sz w:val="20"/>
          <w:szCs w:val="20"/>
        </w:rPr>
        <w:t xml:space="preserve"> : il peut durcir les conditions (durée de cotisation, ticket modérateur, franchises) sans priver de garanties légales l’exigence constitutionnelle. </w:t>
      </w:r>
      <w:r>
        <w:rPr>
          <w:rFonts w:ascii="Calibri" w:cs="Calibri" w:eastAsia="Calibri" w:hAnsi="Calibri"/>
          <w:b/>
          <w:bCs/>
          <w:color w:val="1A1A1A"/>
          <w:sz w:val="20"/>
          <w:szCs w:val="20"/>
        </w:rPr>
        <w:t xml:space="preserve">Conditionnalité</w:t>
      </w:r>
      <w:r>
        <w:rPr>
          <w:rFonts w:ascii="Calibri" w:cs="Calibri" w:eastAsia="Calibri" w:hAnsi="Calibri"/>
          <w:color w:val="1A1A1A"/>
          <w:sz w:val="20"/>
          <w:szCs w:val="20"/>
        </w:rPr>
        <w:t xml:space="preserve"> : RSA subordonné à quinze heures d’activité hebdomadaire (</w:t>
      </w:r>
      <w:r>
        <w:rPr>
          <w:rFonts w:ascii="Calibri" w:cs="Calibri" w:eastAsia="Calibri" w:hAnsi="Calibri"/>
          <w:color w:val="1E88E5"/>
          <w:sz w:val="20"/>
          <w:szCs w:val="20"/>
        </w:rPr>
        <w:t xml:space="preserve">loi n° 2023-1196 du 18 décembre 2023 pour le plein emploi</w:t>
      </w:r>
      <w:r>
        <w:rPr>
          <w:rFonts w:ascii="Calibri" w:cs="Calibri" w:eastAsia="Calibri" w:hAnsi="Calibri"/>
          <w:color w:val="1A1A1A"/>
          <w:sz w:val="20"/>
          <w:szCs w:val="20"/>
        </w:rPr>
        <w:t xml:space="preserve">).</w:t>
      </w:r>
    </w:p>
    <w:p>
      <w:pPr>
        <w:pStyle w:val="Heading3"/>
        <w:spacing w:after="90" w:before="200"/>
      </w:pPr>
      <w:r>
        <w:rPr>
          <w:rFonts w:ascii="Calibri" w:cs="Calibri" w:eastAsia="Calibri" w:hAnsi="Calibri"/>
          <w:b/>
          <w:bCs/>
          <w:i/>
          <w:iCs/>
          <w:color w:val="5A5A5A"/>
          <w:sz w:val="21"/>
          <w:szCs w:val="21"/>
        </w:rPr>
        <w:t xml:space="preserve">3.3. L’égalité</w:t>
      </w:r>
    </w:p>
    <w:p>
      <w:pPr>
        <w:pStyle w:val="ListParagraph"/>
        <w:numPr>
          <w:ilvl w:val="0"/>
          <w:numId w:val="2"/>
        </w:numPr>
        <w:spacing w:after="70" w:line="264"/>
        <w:jc w:val="both"/>
      </w:pPr>
      <w:r>
        <w:rPr>
          <w:rFonts w:ascii="Calibri" w:cs="Calibri" w:eastAsia="Calibri" w:hAnsi="Calibri"/>
          <w:b/>
          <w:bCs/>
          <w:color w:val="1A1A1A"/>
          <w:sz w:val="20"/>
          <w:szCs w:val="20"/>
        </w:rPr>
        <w:t xml:space="preserve">Étrangers</w:t>
      </w:r>
      <w:r>
        <w:rPr>
          <w:rFonts w:ascii="Calibri" w:cs="Calibri" w:eastAsia="Calibri" w:hAnsi="Calibri"/>
          <w:color w:val="1A1A1A"/>
          <w:sz w:val="20"/>
          <w:szCs w:val="20"/>
        </w:rPr>
        <w:t xml:space="preserve"> : allocation du Fonds national de solidarité (</w:t>
      </w:r>
      <w:r>
        <w:rPr>
          <w:rFonts w:ascii="Calibri" w:cs="Calibri" w:eastAsia="Calibri" w:hAnsi="Calibri"/>
          <w:color w:val="E91E63"/>
          <w:sz w:val="20"/>
          <w:szCs w:val="20"/>
        </w:rPr>
        <w:t xml:space="preserve">89-269 DC</w:t>
      </w:r>
      <w:r>
        <w:rPr>
          <w:rFonts w:ascii="Calibri" w:cs="Calibri" w:eastAsia="Calibri" w:hAnsi="Calibri"/>
          <w:color w:val="1A1A1A"/>
          <w:sz w:val="20"/>
          <w:szCs w:val="20"/>
        </w:rPr>
        <w:t xml:space="preserve">) ; prestations réservées aux étrangers en situation régulière admises (</w:t>
      </w:r>
      <w:r>
        <w:rPr>
          <w:rFonts w:ascii="Calibri" w:cs="Calibri" w:eastAsia="Calibri" w:hAnsi="Calibri"/>
          <w:color w:val="E91E63"/>
          <w:sz w:val="20"/>
          <w:szCs w:val="20"/>
        </w:rPr>
        <w:t xml:space="preserve">93-325 DC</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Gaygusuz</w:t>
      </w:r>
      <w:r>
        <w:rPr>
          <w:rFonts w:ascii="Calibri" w:cs="Calibri" w:eastAsia="Calibri" w:hAnsi="Calibri"/>
          <w:color w:val="1A1A1A"/>
          <w:sz w:val="20"/>
          <w:szCs w:val="20"/>
        </w:rPr>
        <w:t xml:space="preserve"> (1996) ; allocation aux adultes handicapés refusée faute de convention de réciprocité (</w:t>
      </w:r>
      <w:r>
        <w:rPr>
          <w:rFonts w:ascii="Calibri" w:cs="Calibri" w:eastAsia="Calibri" w:hAnsi="Calibri"/>
          <w:color w:val="E91E63"/>
          <w:sz w:val="20"/>
          <w:szCs w:val="20"/>
        </w:rPr>
        <w:t xml:space="preserve">CEDH, 30 septembre 2003, Koua Poirrez c. France</w:t>
      </w:r>
      <w:r>
        <w:rPr>
          <w:rFonts w:ascii="Calibri" w:cs="Calibri" w:eastAsia="Calibri" w:hAnsi="Calibri"/>
          <w:color w:val="1A1A1A"/>
          <w:sz w:val="20"/>
          <w:szCs w:val="20"/>
        </w:rPr>
        <w:t xml:space="preserve">, violation). </w:t>
      </w:r>
      <w:r>
        <w:rPr>
          <w:rFonts w:ascii="Calibri" w:cs="Calibri" w:eastAsia="Calibri" w:hAnsi="Calibri"/>
          <w:b/>
          <w:bCs/>
          <w:color w:val="1A1A1A"/>
          <w:sz w:val="20"/>
          <w:szCs w:val="20"/>
        </w:rPr>
        <w:t xml:space="preserve">Prestations comme biens</w:t>
      </w:r>
      <w:r>
        <w:rPr>
          <w:rFonts w:ascii="Calibri" w:cs="Calibri" w:eastAsia="Calibri" w:hAnsi="Calibri"/>
          <w:color w:val="1A1A1A"/>
          <w:sz w:val="20"/>
          <w:szCs w:val="20"/>
        </w:rPr>
        <w:t xml:space="preserve"> : réduction massive d’une pension d’invalidité pour une minorité de bénéficiaires (</w:t>
      </w:r>
      <w:r>
        <w:rPr>
          <w:rFonts w:ascii="Calibri" w:cs="Calibri" w:eastAsia="Calibri" w:hAnsi="Calibri"/>
          <w:color w:val="E91E63"/>
          <w:sz w:val="20"/>
          <w:szCs w:val="20"/>
        </w:rPr>
        <w:t xml:space="preserve">CEDH, 12 octobre 2004, Kjartan Ásmundsson c. Islande</w:t>
      </w:r>
      <w:r>
        <w:rPr>
          <w:rFonts w:ascii="Calibri" w:cs="Calibri" w:eastAsia="Calibri" w:hAnsi="Calibri"/>
          <w:color w:val="1A1A1A"/>
          <w:sz w:val="20"/>
          <w:szCs w:val="20"/>
        </w:rPr>
        <w:t xml:space="preserve">, violation).</w:t>
      </w:r>
    </w:p>
    <w:p>
      <w:pPr>
        <w:pStyle w:val="Heading2"/>
        <w:spacing w:after="120" w:before="280"/>
      </w:pPr>
      <w:r>
        <w:rPr>
          <w:rFonts w:ascii="Calibri" w:cs="Calibri" w:eastAsia="Calibri" w:hAnsi="Calibri"/>
          <w:b/>
          <w:bCs/>
          <w:color w:val="1A1A1A"/>
          <w:sz w:val="24"/>
          <w:szCs w:val="24"/>
        </w:rPr>
        <w:t xml:space="preserve">4. Débats doctrinaux et critiques</w:t>
      </w:r>
    </w:p>
    <w:p>
      <w:pPr>
        <w:pStyle w:val="ListParagraph"/>
        <w:numPr>
          <w:ilvl w:val="0"/>
          <w:numId w:val="2"/>
        </w:numPr>
        <w:spacing w:after="70" w:line="264"/>
        <w:jc w:val="both"/>
      </w:pPr>
      <w:r>
        <w:rPr>
          <w:rFonts w:ascii="Calibri" w:cs="Calibri" w:eastAsia="Calibri" w:hAnsi="Calibri"/>
          <w:b/>
          <w:bCs/>
          <w:color w:val="1A1A1A"/>
          <w:sz w:val="20"/>
          <w:szCs w:val="20"/>
        </w:rPr>
        <w:t xml:space="preserve">Droits-créances, droits de seconde zone ?</w:t>
      </w:r>
      <w:r>
        <w:rPr>
          <w:rFonts w:ascii="Calibri" w:cs="Calibri" w:eastAsia="Calibri" w:hAnsi="Calibri"/>
          <w:color w:val="1A1A1A"/>
          <w:sz w:val="20"/>
          <w:szCs w:val="20"/>
        </w:rPr>
        <w:t xml:space="preserve"> — la distinction de </w:t>
      </w:r>
      <w:r>
        <w:rPr>
          <w:rFonts w:ascii="Calibri" w:cs="Calibri" w:eastAsia="Calibri" w:hAnsi="Calibri"/>
          <w:color w:val="2E7D32"/>
          <w:sz w:val="20"/>
          <w:szCs w:val="20"/>
        </w:rPr>
        <w:t xml:space="preserve">Karel Vasak</w:t>
      </w:r>
      <w:r>
        <w:rPr>
          <w:rFonts w:ascii="Calibri" w:cs="Calibri" w:eastAsia="Calibri" w:hAnsi="Calibri"/>
          <w:color w:val="1A1A1A"/>
          <w:sz w:val="20"/>
          <w:szCs w:val="20"/>
        </w:rPr>
        <w:t xml:space="preserve"> (trois « générations » de droits) et l’opposition droits-libertés / droits-créances ont longtemps justifié une moindre justiciabilité ; la doctrine contemporaine insiste sur l’</w:t>
      </w:r>
      <w:r>
        <w:rPr>
          <w:rFonts w:ascii="Calibri" w:cs="Calibri" w:eastAsia="Calibri" w:hAnsi="Calibri"/>
          <w:b/>
          <w:bCs/>
          <w:color w:val="1A1A1A"/>
          <w:sz w:val="20"/>
          <w:szCs w:val="20"/>
        </w:rPr>
        <w:t xml:space="preserve">indivisibilité</w:t>
      </w:r>
      <w:r>
        <w:rPr>
          <w:rFonts w:ascii="Calibri" w:cs="Calibri" w:eastAsia="Calibri" w:hAnsi="Calibri"/>
          <w:color w:val="1A1A1A"/>
          <w:sz w:val="20"/>
          <w:szCs w:val="20"/>
        </w:rPr>
        <w:t xml:space="preserve"> des droits (</w:t>
      </w:r>
      <w:r>
        <w:rPr>
          <w:rFonts w:ascii="Calibri" w:cs="Calibri" w:eastAsia="Calibri" w:hAnsi="Calibri"/>
          <w:color w:val="2E7D32"/>
          <w:sz w:val="20"/>
          <w:szCs w:val="20"/>
        </w:rPr>
        <w:t xml:space="preserve">Déclaration de Vienne, 1993</w:t>
      </w:r>
      <w:r>
        <w:rPr>
          <w:rFonts w:ascii="Calibri" w:cs="Calibri" w:eastAsia="Calibri" w:hAnsi="Calibri"/>
          <w:color w:val="1A1A1A"/>
          <w:sz w:val="20"/>
          <w:szCs w:val="20"/>
        </w:rPr>
        <w:t xml:space="preserve">) et sur les techniques indirectes de protection.</w:t>
      </w:r>
    </w:p>
    <w:p>
      <w:pPr>
        <w:pStyle w:val="ListParagraph"/>
        <w:numPr>
          <w:ilvl w:val="0"/>
          <w:numId w:val="2"/>
        </w:numPr>
        <w:spacing w:after="70" w:line="264"/>
        <w:jc w:val="both"/>
      </w:pPr>
      <w:r>
        <w:rPr>
          <w:rFonts w:ascii="Calibri" w:cs="Calibri" w:eastAsia="Calibri" w:hAnsi="Calibri"/>
          <w:b/>
          <w:bCs/>
          <w:color w:val="1A1A1A"/>
          <w:sz w:val="20"/>
          <w:szCs w:val="20"/>
        </w:rPr>
        <w:t xml:space="preserve">Effet cliquet</w:t>
      </w:r>
      <w:r>
        <w:rPr>
          <w:rFonts w:ascii="Calibri" w:cs="Calibri" w:eastAsia="Calibri" w:hAnsi="Calibri"/>
          <w:color w:val="1A1A1A"/>
          <w:sz w:val="20"/>
          <w:szCs w:val="20"/>
        </w:rPr>
        <w:t xml:space="preserve"> — le Conseil constitutionnel a abandonné l’« effet cliquet » des années 1980 (interdiction de régression des garanties) pour une simple exigence de ne pas priver de garanties légales ; le droit international (PIDESC, </w:t>
      </w:r>
      <w:r>
        <w:rPr>
          <w:rFonts w:ascii="Calibri" w:cs="Calibri" w:eastAsia="Calibri" w:hAnsi="Calibri"/>
          <w:color w:val="2E7D32"/>
          <w:sz w:val="20"/>
          <w:szCs w:val="20"/>
        </w:rPr>
        <w:t xml:space="preserve">Observation générale n° 3</w:t>
      </w:r>
      <w:r>
        <w:rPr>
          <w:rFonts w:ascii="Calibri" w:cs="Calibri" w:eastAsia="Calibri" w:hAnsi="Calibri"/>
          <w:color w:val="1A1A1A"/>
          <w:sz w:val="20"/>
          <w:szCs w:val="20"/>
        </w:rPr>
        <w:t xml:space="preserve">) connaît pourtant un principe de </w:t>
      </w:r>
      <w:r>
        <w:rPr>
          <w:rFonts w:ascii="Calibri" w:cs="Calibri" w:eastAsia="Calibri" w:hAnsi="Calibri"/>
          <w:b/>
          <w:bCs/>
          <w:color w:val="1A1A1A"/>
          <w:sz w:val="20"/>
          <w:szCs w:val="20"/>
        </w:rPr>
        <w:t xml:space="preserve">non-régression</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Universalisme ou conditionnalité ?</w:t>
      </w:r>
      <w:r>
        <w:rPr>
          <w:rFonts w:ascii="Calibri" w:cs="Calibri" w:eastAsia="Calibri" w:hAnsi="Calibri"/>
          <w:color w:val="1A1A1A"/>
          <w:sz w:val="20"/>
          <w:szCs w:val="20"/>
        </w:rPr>
        <w:t xml:space="preserve"> — l’État social oscille entre le modèle bismarckien (assurance liée au travail) et beveridgien (universalité financée par l’impôt) ; la conditionnalité du RSA et le débat sur l’AME révèlent une tension entre solidarité et contrepartie.</w:t>
      </w:r>
    </w:p>
    <w:p>
      <w:pPr>
        <w:pStyle w:val="Heading2"/>
        <w:spacing w:after="120" w:before="280"/>
      </w:pPr>
      <w:r>
        <w:rPr>
          <w:rFonts w:ascii="Calibri" w:cs="Calibri" w:eastAsia="Calibri" w:hAnsi="Calibri"/>
          <w:b/>
          <w:bCs/>
          <w:color w:val="1A1A1A"/>
          <w:sz w:val="24"/>
          <w:szCs w:val="24"/>
        </w:rPr>
        <w:t xml:space="preserve">5. Dispositif « Grand Oral »</w:t>
      </w:r>
    </w:p>
    <w:p>
      <w:pPr>
        <w:pStyle w:val="Heading3"/>
        <w:spacing w:after="90" w:before="200"/>
      </w:pPr>
      <w:r>
        <w:rPr>
          <w:rFonts w:ascii="Calibri" w:cs="Calibri" w:eastAsia="Calibri" w:hAnsi="Calibri"/>
          <w:b/>
          <w:bCs/>
          <w:i/>
          <w:iCs/>
          <w:color w:val="5A5A5A"/>
          <w:sz w:val="21"/>
          <w:szCs w:val="21"/>
        </w:rPr>
        <w:t xml:space="preserve">5.1. Trois relances / questions pièges</w:t>
      </w:r>
    </w:p>
    <w:p>
      <w:pPr>
        <w:pStyle w:val="ListParagraph"/>
        <w:numPr>
          <w:ilvl w:val="0"/>
          <w:numId w:val="2"/>
        </w:numPr>
        <w:spacing w:after="70" w:line="264"/>
        <w:jc w:val="both"/>
      </w:pPr>
      <w:r>
        <w:rPr>
          <w:rFonts w:ascii="Calibri" w:cs="Calibri" w:eastAsia="Calibri" w:hAnsi="Calibri"/>
          <w:b/>
          <w:bCs/>
          <w:color w:val="1A1A1A"/>
          <w:sz w:val="20"/>
          <w:szCs w:val="20"/>
        </w:rPr>
        <w:t xml:space="preserve">« Le droit à la santé est-il une liberté fondamentale ? »</w:t>
      </w:r>
      <w:r>
        <w:rPr>
          <w:rFonts w:ascii="Calibri" w:cs="Calibri" w:eastAsia="Calibri" w:hAnsi="Calibri"/>
          <w:color w:val="1A1A1A"/>
          <w:sz w:val="20"/>
          <w:szCs w:val="20"/>
        </w:rPr>
        <w:t xml:space="preserve"> — Pas en lui-même au sens de l’</w:t>
      </w:r>
      <w:r>
        <w:rPr>
          <w:rFonts w:ascii="Calibri" w:cs="Calibri" w:eastAsia="Calibri" w:hAnsi="Calibri"/>
          <w:color w:val="1E88E5"/>
          <w:sz w:val="20"/>
          <w:szCs w:val="20"/>
        </w:rPr>
        <w:t xml:space="preserve">art. L. 521-2 CJA</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 8 septembre 2005</w:t>
      </w:r>
      <w:r>
        <w:rPr>
          <w:rFonts w:ascii="Calibri" w:cs="Calibri" w:eastAsia="Calibri" w:hAnsi="Calibri"/>
          <w:color w:val="1A1A1A"/>
          <w:sz w:val="20"/>
          <w:szCs w:val="20"/>
        </w:rPr>
        <w:t xml:space="preserve">) ; mais le droit au respect de la vie, le droit de ne pas subir de traitements inhumains et le droit au consentement aux soins le sont.</w:t>
      </w:r>
    </w:p>
    <w:p>
      <w:pPr>
        <w:pStyle w:val="ListParagraph"/>
        <w:numPr>
          <w:ilvl w:val="0"/>
          <w:numId w:val="2"/>
        </w:numPr>
        <w:spacing w:after="70" w:line="264"/>
        <w:jc w:val="both"/>
      </w:pPr>
      <w:r>
        <w:rPr>
          <w:rFonts w:ascii="Calibri" w:cs="Calibri" w:eastAsia="Calibri" w:hAnsi="Calibri"/>
          <w:b/>
          <w:bCs/>
          <w:color w:val="1A1A1A"/>
          <w:sz w:val="20"/>
          <w:szCs w:val="20"/>
        </w:rPr>
        <w:t xml:space="preserve">« Le législateur peut-il supprimer l’AME ? »</w:t>
      </w:r>
      <w:r>
        <w:rPr>
          <w:rFonts w:ascii="Calibri" w:cs="Calibri" w:eastAsia="Calibri" w:hAnsi="Calibri"/>
          <w:color w:val="1A1A1A"/>
          <w:sz w:val="20"/>
          <w:szCs w:val="20"/>
        </w:rPr>
        <w:t xml:space="preserve"> — Il dispose d’une large marge pour en modifier les conditions ; mais une suppression totale devrait être confrontée à l’</w:t>
      </w:r>
      <w:r>
        <w:rPr>
          <w:rFonts w:ascii="Calibri" w:cs="Calibri" w:eastAsia="Calibri" w:hAnsi="Calibri"/>
          <w:color w:val="1E88E5"/>
          <w:sz w:val="20"/>
          <w:szCs w:val="20"/>
        </w:rPr>
        <w:t xml:space="preserve">al. 11</w:t>
      </w:r>
      <w:r>
        <w:rPr>
          <w:rFonts w:ascii="Calibri" w:cs="Calibri" w:eastAsia="Calibri" w:hAnsi="Calibri"/>
          <w:color w:val="1A1A1A"/>
          <w:sz w:val="20"/>
          <w:szCs w:val="20"/>
        </w:rPr>
        <w:t xml:space="preserve"> (protection de la santé « à tous »), à l’intérêt supérieur de l’enfant et à l’</w:t>
      </w:r>
      <w:r>
        <w:rPr>
          <w:rFonts w:ascii="Calibri" w:cs="Calibri" w:eastAsia="Calibri" w:hAnsi="Calibri"/>
          <w:color w:val="1E88E5"/>
          <w:sz w:val="20"/>
          <w:szCs w:val="20"/>
        </w:rPr>
        <w:t xml:space="preserve">art. 3 CEDH</w:t>
      </w:r>
      <w:r>
        <w:rPr>
          <w:rFonts w:ascii="Calibri" w:cs="Calibri" w:eastAsia="Calibri" w:hAnsi="Calibri"/>
          <w:color w:val="1A1A1A"/>
          <w:sz w:val="20"/>
          <w:szCs w:val="20"/>
        </w:rPr>
        <w:t xml:space="preserve"> pour les soins vitaux et urgents.</w:t>
      </w:r>
    </w:p>
    <w:p>
      <w:pPr>
        <w:pStyle w:val="ListParagraph"/>
        <w:numPr>
          <w:ilvl w:val="0"/>
          <w:numId w:val="2"/>
        </w:numPr>
        <w:spacing w:after="70" w:line="264"/>
        <w:jc w:val="both"/>
      </w:pPr>
      <w:r>
        <w:rPr>
          <w:rFonts w:ascii="Calibri" w:cs="Calibri" w:eastAsia="Calibri" w:hAnsi="Calibri"/>
          <w:b/>
          <w:bCs/>
          <w:color w:val="1A1A1A"/>
          <w:sz w:val="20"/>
          <w:szCs w:val="20"/>
        </w:rPr>
        <w:t xml:space="preserve">« Reculer l’âge de la retraite viole-t-il l’alinéa 11 ? »</w:t>
      </w:r>
      <w:r>
        <w:rPr>
          <w:rFonts w:ascii="Calibri" w:cs="Calibri" w:eastAsia="Calibri" w:hAnsi="Calibri"/>
          <w:color w:val="1A1A1A"/>
          <w:sz w:val="20"/>
          <w:szCs w:val="20"/>
        </w:rPr>
        <w:t xml:space="preserve"> — Non : le législateur choisit les modalités de la solidarité nationale ; l’exigence est seulement de ne pas la priver de garanties légales (</w:t>
      </w:r>
      <w:r>
        <w:rPr>
          <w:rFonts w:ascii="Calibri" w:cs="Calibri" w:eastAsia="Calibri" w:hAnsi="Calibri"/>
          <w:color w:val="E91E63"/>
          <w:sz w:val="20"/>
          <w:szCs w:val="20"/>
        </w:rPr>
        <w:t xml:space="preserve">2003-483 DC</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2023-849 DC</w:t>
      </w:r>
      <w:r>
        <w:rPr>
          <w:rFonts w:ascii="Calibri" w:cs="Calibri" w:eastAsia="Calibri" w:hAnsi="Calibri"/>
          <w:color w:val="1A1A1A"/>
          <w:sz w:val="20"/>
          <w:szCs w:val="20"/>
        </w:rPr>
        <w:t xml:space="preserve">).</w:t>
      </w:r>
    </w:p>
    <w:p>
      <w:pPr>
        <w:pStyle w:val="Heading3"/>
        <w:spacing w:after="90" w:before="200"/>
      </w:pPr>
      <w:r>
        <w:rPr>
          <w:rFonts w:ascii="Calibri" w:cs="Calibri" w:eastAsia="Calibri" w:hAnsi="Calibri"/>
          <w:b/>
          <w:bCs/>
          <w:i/>
          <w:iCs/>
          <w:color w:val="5A5A5A"/>
          <w:sz w:val="21"/>
          <w:szCs w:val="21"/>
        </w:rPr>
        <w:t xml:space="preserve">5.2. Sujets d’exposé rattachables</w:t>
      </w:r>
    </w:p>
    <w:p>
      <w:pPr>
        <w:pStyle w:val="ListParagraph"/>
        <w:numPr>
          <w:ilvl w:val="0"/>
          <w:numId w:val="2"/>
        </w:numPr>
        <w:spacing w:after="70" w:line="264"/>
        <w:jc w:val="both"/>
      </w:pPr>
      <w:r>
        <w:rPr>
          <w:rFonts w:ascii="Calibri" w:cs="Calibri" w:eastAsia="Calibri" w:hAnsi="Calibri"/>
          <w:color w:val="1A1A1A"/>
          <w:sz w:val="20"/>
          <w:szCs w:val="20"/>
        </w:rPr>
        <w:t xml:space="preserve">Le droit à la protection de la santé — La protection sociale, droit-créance ? — L’égalité d’accès aux soins — Les étrangers et la protection sociale — Le juge et les droits sociaux — Les droits-créances sont-ils justiciables ? — Commentaire : </w:t>
      </w:r>
      <w:r>
        <w:rPr>
          <w:rFonts w:ascii="Calibri" w:cs="Calibri" w:eastAsia="Calibri" w:hAnsi="Calibri"/>
          <w:color w:val="E91E63"/>
          <w:sz w:val="20"/>
          <w:szCs w:val="20"/>
        </w:rPr>
        <w:t xml:space="preserve">CE, ord., 8 septembre 2005</w:t>
      </w:r>
      <w:r>
        <w:rPr>
          <w:rFonts w:ascii="Calibri" w:cs="Calibri" w:eastAsia="Calibri" w:hAnsi="Calibri"/>
          <w:color w:val="1A1A1A"/>
          <w:sz w:val="20"/>
          <w:szCs w:val="20"/>
        </w:rPr>
        <w:t xml:space="preserve"> (sujet « Pour s’entraîner » du fascicule) — Commentaire : </w:t>
      </w:r>
      <w:r>
        <w:rPr>
          <w:rFonts w:ascii="Calibri" w:cs="Calibri" w:eastAsia="Calibri" w:hAnsi="Calibri"/>
          <w:color w:val="E91E63"/>
          <w:sz w:val="20"/>
          <w:szCs w:val="20"/>
        </w:rPr>
        <w:t xml:space="preserve">CE, 1er octobre 2025</w:t>
      </w:r>
      <w:r>
        <w:rPr>
          <w:rFonts w:ascii="Calibri" w:cs="Calibri" w:eastAsia="Calibri" w:hAnsi="Calibri"/>
          <w:color w:val="1A1A1A"/>
          <w:sz w:val="20"/>
          <w:szCs w:val="20"/>
        </w:rPr>
        <w:t xml:space="preserve">.</w:t>
      </w:r>
    </w:p>
    <w:p>
      <w:pPr>
        <w:pStyle w:val="Heading3"/>
        <w:spacing w:after="90" w:before="200"/>
      </w:pPr>
      <w:r>
        <w:rPr>
          <w:rFonts w:ascii="Calibri" w:cs="Calibri" w:eastAsia="Calibri" w:hAnsi="Calibri"/>
          <w:b/>
          <w:bCs/>
          <w:i/>
          <w:iCs/>
          <w:color w:val="5A5A5A"/>
          <w:sz w:val="21"/>
          <w:szCs w:val="21"/>
        </w:rPr>
        <w:t xml:space="preserve">5.3. Angles morts — en question / réponse</w:t>
      </w:r>
    </w:p>
    <w:p>
      <w:pPr>
        <w:pStyle w:val="ListParagraph"/>
        <w:numPr>
          <w:ilvl w:val="0"/>
          <w:numId w:val="2"/>
        </w:numPr>
        <w:spacing w:after="70" w:line="264"/>
        <w:jc w:val="both"/>
      </w:pPr>
      <w:r>
        <w:rPr>
          <w:rFonts w:ascii="Calibri" w:cs="Calibri" w:eastAsia="Calibri" w:hAnsi="Calibri"/>
          <w:b/>
          <w:bCs/>
          <w:color w:val="1A1A1A"/>
          <w:sz w:val="20"/>
          <w:szCs w:val="20"/>
        </w:rPr>
        <w:t xml:space="preserve">Q. Qui a conçu la sécurité sociale de 1945 ?</w:t>
      </w:r>
      <w:r>
        <w:rPr>
          <w:rFonts w:ascii="Calibri" w:cs="Calibri" w:eastAsia="Calibri" w:hAnsi="Calibri"/>
          <w:color w:val="1A1A1A"/>
          <w:sz w:val="20"/>
          <w:szCs w:val="20"/>
        </w:rPr>
        <w:t xml:space="preserve"> — </w:t>
      </w:r>
      <w:r>
        <w:rPr>
          <w:rFonts w:ascii="Calibri" w:cs="Calibri" w:eastAsia="Calibri" w:hAnsi="Calibri"/>
          <w:color w:val="2E7D32"/>
          <w:sz w:val="20"/>
          <w:szCs w:val="20"/>
        </w:rPr>
        <w:t xml:space="preserve">Pierre Laroque</w:t>
      </w:r>
      <w:r>
        <w:rPr>
          <w:rFonts w:ascii="Calibri" w:cs="Calibri" w:eastAsia="Calibri" w:hAnsi="Calibri"/>
          <w:color w:val="1A1A1A"/>
          <w:sz w:val="20"/>
          <w:szCs w:val="20"/>
        </w:rPr>
        <w:t xml:space="preserve">, sous l’autorité du ministre </w:t>
      </w:r>
      <w:r>
        <w:rPr>
          <w:rFonts w:ascii="Calibri" w:cs="Calibri" w:eastAsia="Calibri" w:hAnsi="Calibri"/>
          <w:color w:val="2E7D32"/>
          <w:sz w:val="20"/>
          <w:szCs w:val="20"/>
        </w:rPr>
        <w:t xml:space="preserve">Alexandre Parodi</w:t>
      </w:r>
      <w:r>
        <w:rPr>
          <w:rFonts w:ascii="Calibri" w:cs="Calibri" w:eastAsia="Calibri" w:hAnsi="Calibri"/>
          <w:color w:val="1A1A1A"/>
          <w:sz w:val="20"/>
          <w:szCs w:val="20"/>
        </w:rPr>
        <w:t xml:space="preserve"> puis d’</w:t>
      </w:r>
      <w:r>
        <w:rPr>
          <w:rFonts w:ascii="Calibri" w:cs="Calibri" w:eastAsia="Calibri" w:hAnsi="Calibri"/>
          <w:color w:val="2E7D32"/>
          <w:sz w:val="20"/>
          <w:szCs w:val="20"/>
        </w:rPr>
        <w:t xml:space="preserve">Ambroise Croizat</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Q. Depuis quand les lois de financement de la sécurité sociale existent-elles ?</w:t>
      </w:r>
      <w:r>
        <w:rPr>
          <w:rFonts w:ascii="Calibri" w:cs="Calibri" w:eastAsia="Calibri" w:hAnsi="Calibri"/>
          <w:color w:val="1A1A1A"/>
          <w:sz w:val="20"/>
          <w:szCs w:val="20"/>
        </w:rPr>
        <w:t xml:space="preserve"> — Depuis la révision constitutionnelle du </w:t>
      </w:r>
      <w:r>
        <w:rPr>
          <w:rFonts w:ascii="Calibri" w:cs="Calibri" w:eastAsia="Calibri" w:hAnsi="Calibri"/>
          <w:b/>
          <w:bCs/>
          <w:color w:val="1A1A1A"/>
          <w:sz w:val="20"/>
          <w:szCs w:val="20"/>
        </w:rPr>
        <w:t xml:space="preserve">22 février 1996</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art. 47-1 C.</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Q. Qu’est-ce que la protection universelle maladie (PUMa) ?</w:t>
      </w:r>
      <w:r>
        <w:rPr>
          <w:rFonts w:ascii="Calibri" w:cs="Calibri" w:eastAsia="Calibri" w:hAnsi="Calibri"/>
          <w:color w:val="1A1A1A"/>
          <w:sz w:val="20"/>
          <w:szCs w:val="20"/>
        </w:rPr>
        <w:t xml:space="preserve"> — Depuis 2016, la prise en charge des frais de santé de toute personne travaillant ou résidant de manière stable et régulière en France, qui a succédé à la CMU de base.</w:t>
      </w:r>
    </w:p>
    <w:p>
      <w:pPr>
        <w:pStyle w:val="ListParagraph"/>
        <w:numPr>
          <w:ilvl w:val="0"/>
          <w:numId w:val="2"/>
        </w:numPr>
        <w:spacing w:after="70" w:line="264"/>
        <w:jc w:val="both"/>
      </w:pPr>
      <w:r>
        <w:rPr>
          <w:rFonts w:ascii="Calibri" w:cs="Calibri" w:eastAsia="Calibri" w:hAnsi="Calibri"/>
          <w:b/>
          <w:bCs/>
          <w:color w:val="1A1A1A"/>
          <w:sz w:val="20"/>
          <w:szCs w:val="20"/>
        </w:rPr>
        <w:t xml:space="preserve">Q. Le droit à la santé figure-t-il dans la Charte des droits fondamentaux ?</w:t>
      </w:r>
      <w:r>
        <w:rPr>
          <w:rFonts w:ascii="Calibri" w:cs="Calibri" w:eastAsia="Calibri" w:hAnsi="Calibri"/>
          <w:color w:val="1A1A1A"/>
          <w:sz w:val="20"/>
          <w:szCs w:val="20"/>
        </w:rPr>
        <w:t xml:space="preserve"> — Oui, l’</w:t>
      </w:r>
      <w:r>
        <w:rPr>
          <w:rFonts w:ascii="Calibri" w:cs="Calibri" w:eastAsia="Calibri" w:hAnsi="Calibri"/>
          <w:color w:val="1E88E5"/>
          <w:sz w:val="20"/>
          <w:szCs w:val="20"/>
        </w:rPr>
        <w:t xml:space="preserve">art. 35</w:t>
      </w:r>
      <w:r>
        <w:rPr>
          <w:rFonts w:ascii="Calibri" w:cs="Calibri" w:eastAsia="Calibri" w:hAnsi="Calibri"/>
          <w:color w:val="1A1A1A"/>
          <w:sz w:val="20"/>
          <w:szCs w:val="20"/>
        </w:rPr>
        <w:t xml:space="preserve"> : accès à la prévention et aux soins dans les conditions établies par les législations nationales, et niveau élevé de protection dans les politiques de l’Union.</w:t>
      </w:r>
    </w:p>
    <w:p>
      <w:pPr>
        <w:pStyle w:val="ListParagraph"/>
        <w:numPr>
          <w:ilvl w:val="0"/>
          <w:numId w:val="2"/>
        </w:numPr>
        <w:spacing w:after="70" w:line="264"/>
        <w:jc w:val="both"/>
      </w:pPr>
      <w:r>
        <w:rPr>
          <w:rFonts w:ascii="Calibri" w:cs="Calibri" w:eastAsia="Calibri" w:hAnsi="Calibri"/>
          <w:b/>
          <w:bCs/>
          <w:color w:val="1A1A1A"/>
          <w:sz w:val="20"/>
          <w:szCs w:val="20"/>
        </w:rPr>
        <w:t xml:space="preserve">Q. Un patient peut-il refuser un traitement vital ?</w:t>
      </w:r>
      <w:r>
        <w:rPr>
          <w:rFonts w:ascii="Calibri" w:cs="Calibri" w:eastAsia="Calibri" w:hAnsi="Calibri"/>
          <w:color w:val="1A1A1A"/>
          <w:sz w:val="20"/>
          <w:szCs w:val="20"/>
        </w:rPr>
        <w:t xml:space="preserve"> — Oui, le consentement est requis (</w:t>
      </w:r>
      <w:r>
        <w:rPr>
          <w:rFonts w:ascii="Calibri" w:cs="Calibri" w:eastAsia="Calibri" w:hAnsi="Calibri"/>
          <w:color w:val="1E88E5"/>
          <w:sz w:val="20"/>
          <w:szCs w:val="20"/>
        </w:rPr>
        <w:t xml:space="preserve">art. L. 1111-4 CSP</w:t>
      </w:r>
      <w:r>
        <w:rPr>
          <w:rFonts w:ascii="Calibri" w:cs="Calibri" w:eastAsia="Calibri" w:hAnsi="Calibri"/>
          <w:color w:val="1A1A1A"/>
          <w:sz w:val="20"/>
          <w:szCs w:val="20"/>
        </w:rPr>
        <w:t xml:space="preserve">) ; le médecin doit l’informer des conséquences — le refus est une composante de la liberté personnelle.</w:t>
      </w:r>
    </w:p>
    <w:p>
      <w:r>
        <w:br w:type="page"/>
      </w:r>
    </w:p>
    <w:p>
      <w:pPr>
        <w:pStyle w:val="Heading1"/>
        <w:pBdr>
          <w:bottom w:val="single" w:color="8C1C2B" w:sz="12" w:space="6"/>
        </w:pBdr>
        <w:spacing w:after="200" w:before="240"/>
      </w:pPr>
      <w:r>
        <w:rPr>
          <w:rFonts w:ascii="Calibri" w:cs="Calibri" w:eastAsia="Calibri" w:hAnsi="Calibri"/>
          <w:b/>
          <w:bCs/>
          <w:color w:val="8C1C2B"/>
          <w:sz w:val="30"/>
          <w:szCs w:val="30"/>
        </w:rPr>
        <w:t xml:space="preserve">ANNEXE — COMPLÉMENTS À LA CHRONOLOGIE ET À L’INDEX (Partie VII-A)</w:t>
      </w:r>
    </w:p>
    <w:p>
      <w:pPr>
        <w:pStyle w:val="Heading2"/>
        <w:spacing w:after="120" w:before="280"/>
      </w:pPr>
      <w:r>
        <w:rPr>
          <w:rFonts w:ascii="Calibri" w:cs="Calibri" w:eastAsia="Calibri" w:hAnsi="Calibri"/>
          <w:b/>
          <w:bCs/>
          <w:color w:val="1A1A1A"/>
          <w:sz w:val="24"/>
          <w:szCs w:val="24"/>
        </w:rPr>
        <w:t xml:space="preserve">I. Ajouts à la chronologie transversale</w:t>
      </w:r>
    </w:p>
    <w:p>
      <w:pPr>
        <w:pStyle w:val="ListParagraph"/>
        <w:numPr>
          <w:ilvl w:val="0"/>
          <w:numId w:val="2"/>
        </w:numPr>
        <w:spacing w:after="70" w:line="264"/>
        <w:jc w:val="both"/>
      </w:pPr>
      <w:r>
        <w:rPr>
          <w:rFonts w:ascii="Calibri" w:cs="Calibri" w:eastAsia="Calibri" w:hAnsi="Calibri"/>
          <w:b/>
          <w:bCs/>
          <w:color w:val="1A1A1A"/>
          <w:sz w:val="20"/>
          <w:szCs w:val="20"/>
        </w:rPr>
        <w:t xml:space="preserve">1690</w:t>
      </w:r>
      <w:r>
        <w:rPr>
          <w:rFonts w:ascii="Calibri" w:cs="Calibri" w:eastAsia="Calibri" w:hAnsi="Calibri"/>
          <w:color w:val="1A1A1A"/>
          <w:sz w:val="20"/>
          <w:szCs w:val="20"/>
        </w:rPr>
        <w:t xml:space="preserve"> </w:t>
      </w:r>
      <w:r>
        <w:rPr>
          <w:rFonts w:ascii="Calibri" w:cs="Calibri" w:eastAsia="Calibri" w:hAnsi="Calibri"/>
          <w:color w:val="2E7D32"/>
          <w:sz w:val="20"/>
          <w:szCs w:val="20"/>
        </w:rPr>
        <w:t xml:space="preserve">Locke, Second traité du gouvernement civil</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1755</w:t>
      </w:r>
      <w:r>
        <w:rPr>
          <w:rFonts w:ascii="Calibri" w:cs="Calibri" w:eastAsia="Calibri" w:hAnsi="Calibri"/>
          <w:color w:val="1A1A1A"/>
          <w:sz w:val="20"/>
          <w:szCs w:val="20"/>
        </w:rPr>
        <w:t xml:space="preserve"> </w:t>
      </w:r>
      <w:r>
        <w:rPr>
          <w:rFonts w:ascii="Calibri" w:cs="Calibri" w:eastAsia="Calibri" w:hAnsi="Calibri"/>
          <w:color w:val="2E7D32"/>
          <w:sz w:val="20"/>
          <w:szCs w:val="20"/>
        </w:rPr>
        <w:t xml:space="preserve">Rousseau, Discours sur l’origine de l’inégalité</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1776</w:t>
      </w:r>
      <w:r>
        <w:rPr>
          <w:rFonts w:ascii="Calibri" w:cs="Calibri" w:eastAsia="Calibri" w:hAnsi="Calibri"/>
          <w:color w:val="1A1A1A"/>
          <w:sz w:val="20"/>
          <w:szCs w:val="20"/>
        </w:rPr>
        <w:t xml:space="preserve"> </w:t>
      </w:r>
      <w:r>
        <w:rPr>
          <w:rFonts w:ascii="Calibri" w:cs="Calibri" w:eastAsia="Calibri" w:hAnsi="Calibri"/>
          <w:color w:val="2E7D32"/>
          <w:sz w:val="20"/>
          <w:szCs w:val="20"/>
        </w:rPr>
        <w:t xml:space="preserve">édit de Turgot</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1789</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art. 2 et 17 DDHC</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1791</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décret d’Allarde</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loi Le Chapelier</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1793</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Déclaration, art. 21</w:t>
      </w:r>
      <w:r>
        <w:rPr>
          <w:rFonts w:ascii="Calibri" w:cs="Calibri" w:eastAsia="Calibri" w:hAnsi="Calibri"/>
          <w:color w:val="1A1A1A"/>
          <w:sz w:val="20"/>
          <w:szCs w:val="20"/>
        </w:rPr>
        <w:t xml:space="preserve"> (« dette sacrée ») — </w:t>
      </w:r>
      <w:r>
        <w:rPr>
          <w:rFonts w:ascii="Calibri" w:cs="Calibri" w:eastAsia="Calibri" w:hAnsi="Calibri"/>
          <w:b/>
          <w:bCs/>
          <w:color w:val="1A1A1A"/>
          <w:sz w:val="20"/>
          <w:szCs w:val="20"/>
        </w:rPr>
        <w:t xml:space="preserve">1804</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art. 544 C. civ.</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1840</w:t>
      </w:r>
      <w:r>
        <w:rPr>
          <w:rFonts w:ascii="Calibri" w:cs="Calibri" w:eastAsia="Calibri" w:hAnsi="Calibri"/>
          <w:color w:val="1A1A1A"/>
          <w:sz w:val="20"/>
          <w:szCs w:val="20"/>
        </w:rPr>
        <w:t xml:space="preserve"> </w:t>
      </w:r>
      <w:r>
        <w:rPr>
          <w:rFonts w:ascii="Calibri" w:cs="Calibri" w:eastAsia="Calibri" w:hAnsi="Calibri"/>
          <w:color w:val="2E7D32"/>
          <w:sz w:val="20"/>
          <w:szCs w:val="20"/>
        </w:rPr>
        <w:t xml:space="preserve">Proudhon, Qu’est-ce que la propriété ?</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1881</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loi du 16 juin</w:t>
      </w:r>
      <w:r>
        <w:rPr>
          <w:rFonts w:ascii="Calibri" w:cs="Calibri" w:eastAsia="Calibri" w:hAnsi="Calibri"/>
          <w:color w:val="1A1A1A"/>
          <w:sz w:val="20"/>
          <w:szCs w:val="20"/>
        </w:rPr>
        <w:t xml:space="preserve"> (gratuité) — </w:t>
      </w:r>
      <w:r>
        <w:rPr>
          <w:rFonts w:ascii="Calibri" w:cs="Calibri" w:eastAsia="Calibri" w:hAnsi="Calibri"/>
          <w:b/>
          <w:bCs/>
          <w:color w:val="1A1A1A"/>
          <w:sz w:val="20"/>
          <w:szCs w:val="20"/>
        </w:rPr>
        <w:t xml:space="preserve">1893</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loi du 15 juillet</w:t>
      </w:r>
      <w:r>
        <w:rPr>
          <w:rFonts w:ascii="Calibri" w:cs="Calibri" w:eastAsia="Calibri" w:hAnsi="Calibri"/>
          <w:color w:val="1A1A1A"/>
          <w:sz w:val="20"/>
          <w:szCs w:val="20"/>
        </w:rPr>
        <w:t xml:space="preserve"> (assistance médicale gratuite) — </w:t>
      </w:r>
      <w:r>
        <w:rPr>
          <w:rFonts w:ascii="Calibri" w:cs="Calibri" w:eastAsia="Calibri" w:hAnsi="Calibri"/>
          <w:b/>
          <w:bCs/>
          <w:color w:val="1A1A1A"/>
          <w:sz w:val="20"/>
          <w:szCs w:val="20"/>
        </w:rPr>
        <w:t xml:space="preserve">1898</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loi du 9 avril</w:t>
      </w:r>
      <w:r>
        <w:rPr>
          <w:rFonts w:ascii="Calibri" w:cs="Calibri" w:eastAsia="Calibri" w:hAnsi="Calibri"/>
          <w:color w:val="1A1A1A"/>
          <w:sz w:val="20"/>
          <w:szCs w:val="20"/>
        </w:rPr>
        <w:t xml:space="preserve"> (accidents du travail) — </w:t>
      </w:r>
      <w:r>
        <w:rPr>
          <w:rFonts w:ascii="Calibri" w:cs="Calibri" w:eastAsia="Calibri" w:hAnsi="Calibri"/>
          <w:b/>
          <w:bCs/>
          <w:color w:val="1A1A1A"/>
          <w:sz w:val="20"/>
          <w:szCs w:val="20"/>
        </w:rPr>
        <w:t xml:space="preserve">1910</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loi du 5 avril</w:t>
      </w:r>
      <w:r>
        <w:rPr>
          <w:rFonts w:ascii="Calibri" w:cs="Calibri" w:eastAsia="Calibri" w:hAnsi="Calibri"/>
          <w:color w:val="1A1A1A"/>
          <w:sz w:val="20"/>
          <w:szCs w:val="20"/>
        </w:rPr>
        <w:t xml:space="preserve"> (retraites ouvrières et paysannes) — </w:t>
      </w:r>
      <w:r>
        <w:rPr>
          <w:rFonts w:ascii="Calibri" w:cs="Calibri" w:eastAsia="Calibri" w:hAnsi="Calibri"/>
          <w:b/>
          <w:bCs/>
          <w:color w:val="1A1A1A"/>
          <w:sz w:val="20"/>
          <w:szCs w:val="20"/>
        </w:rPr>
        <w:t xml:space="preserve">1911</w:t>
      </w:r>
      <w:r>
        <w:rPr>
          <w:rFonts w:ascii="Calibri" w:cs="Calibri" w:eastAsia="Calibri" w:hAnsi="Calibri"/>
          <w:color w:val="1A1A1A"/>
          <w:sz w:val="20"/>
          <w:szCs w:val="20"/>
        </w:rPr>
        <w:t xml:space="preserve"> </w:t>
      </w:r>
      <w:r>
        <w:rPr>
          <w:rFonts w:ascii="Calibri" w:cs="Calibri" w:eastAsia="Calibri" w:hAnsi="Calibri"/>
          <w:color w:val="2E7D32"/>
          <w:sz w:val="20"/>
          <w:szCs w:val="20"/>
        </w:rPr>
        <w:t xml:space="preserve">Duguit, fonction sociale de la propriété</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1930</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 Chambre syndicale du commerce en détail de Nevers</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1944</w:t>
      </w:r>
      <w:r>
        <w:rPr>
          <w:rFonts w:ascii="Calibri" w:cs="Calibri" w:eastAsia="Calibri" w:hAnsi="Calibri"/>
          <w:color w:val="1A1A1A"/>
          <w:sz w:val="20"/>
          <w:szCs w:val="20"/>
        </w:rPr>
        <w:t xml:space="preserve"> programme du CNR — </w:t>
      </w:r>
      <w:r>
        <w:rPr>
          <w:rFonts w:ascii="Calibri" w:cs="Calibri" w:eastAsia="Calibri" w:hAnsi="Calibri"/>
          <w:b/>
          <w:bCs/>
          <w:color w:val="1A1A1A"/>
          <w:sz w:val="20"/>
          <w:szCs w:val="20"/>
        </w:rPr>
        <w:t xml:space="preserve">1945</w:t>
      </w:r>
      <w:r>
        <w:rPr>
          <w:rFonts w:ascii="Calibri" w:cs="Calibri" w:eastAsia="Calibri" w:hAnsi="Calibri"/>
          <w:color w:val="1A1A1A"/>
          <w:sz w:val="20"/>
          <w:szCs w:val="20"/>
        </w:rPr>
        <w:t xml:space="preserve"> ordonnances sur la sécurité sociale — </w:t>
      </w:r>
      <w:r>
        <w:rPr>
          <w:rFonts w:ascii="Calibri" w:cs="Calibri" w:eastAsia="Calibri" w:hAnsi="Calibri"/>
          <w:b/>
          <w:bCs/>
          <w:color w:val="1A1A1A"/>
          <w:sz w:val="20"/>
          <w:szCs w:val="20"/>
        </w:rPr>
        <w:t xml:space="preserve">1946</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al. 10, 11 et 13 Préambule</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1951</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 ass., Daudignac</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1952</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Protocole n° 1</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1954</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 ass., Barel</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1960</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Convention de l’UNESCO</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 de Laboulaye</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1964</w:t>
      </w:r>
      <w:r>
        <w:rPr>
          <w:rFonts w:ascii="Calibri" w:cs="Calibri" w:eastAsia="Calibri" w:hAnsi="Calibri"/>
          <w:color w:val="1A1A1A"/>
          <w:sz w:val="20"/>
          <w:szCs w:val="20"/>
        </w:rPr>
        <w:t xml:space="preserve"> </w:t>
      </w:r>
      <w:r>
        <w:rPr>
          <w:rFonts w:ascii="Calibri" w:cs="Calibri" w:eastAsia="Calibri" w:hAnsi="Calibri"/>
          <w:color w:val="2E7D32"/>
          <w:sz w:val="20"/>
          <w:szCs w:val="20"/>
        </w:rPr>
        <w:t xml:space="preserve">Bourdieu et Passeron, Les Héritiers</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1966</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PIDESC</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1968</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CEDH, Affaire linguistique belge</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1971</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 ass., Ville nouvelle Est</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1974</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CJCE, Nold</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1982</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Cons. const., 81-132 DC</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CEDH, Sporrong et Lönnroth</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1986</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CEDH, James</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CEDH, Van Marle</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Cons. const., 86-207 DC</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1989</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Cons. const., 89-256 DC</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1990</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Cons. const., 89-269 DC</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1991</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Cons. const., 90-283 DC</w:t>
      </w:r>
      <w:r>
        <w:rPr>
          <w:rFonts w:ascii="Calibri" w:cs="Calibri" w:eastAsia="Calibri" w:hAnsi="Calibri"/>
          <w:color w:val="1A1A1A"/>
          <w:sz w:val="20"/>
          <w:szCs w:val="20"/>
        </w:rPr>
        <w:t xml:space="preserve"> (loi Évin) — </w:t>
      </w:r>
      <w:r>
        <w:rPr>
          <w:rFonts w:ascii="Calibri" w:cs="Calibri" w:eastAsia="Calibri" w:hAnsi="Calibri"/>
          <w:b/>
          <w:bCs/>
          <w:color w:val="1A1A1A"/>
          <w:sz w:val="20"/>
          <w:szCs w:val="20"/>
        </w:rPr>
        <w:t xml:space="preserve">1996</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CEDH, Gaygusuz</w:t>
      </w:r>
      <w:r>
        <w:rPr>
          <w:rFonts w:ascii="Calibri" w:cs="Calibri" w:eastAsia="Calibri" w:hAnsi="Calibri"/>
          <w:color w:val="1A1A1A"/>
          <w:sz w:val="20"/>
          <w:szCs w:val="20"/>
        </w:rPr>
        <w:t xml:space="preserve"> ; révision du 22 février (LFSS) — </w:t>
      </w:r>
      <w:r>
        <w:rPr>
          <w:rFonts w:ascii="Calibri" w:cs="Calibri" w:eastAsia="Calibri" w:hAnsi="Calibri"/>
          <w:b/>
          <w:bCs/>
          <w:color w:val="1A1A1A"/>
          <w:sz w:val="20"/>
          <w:szCs w:val="20"/>
        </w:rPr>
        <w:t xml:space="preserve">1997</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Cons. const., 96-387 DC et 97-393 DC</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2000</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CEDH, Ex-roi de Grèce</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CEDH, Kudła</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2001</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Cons. const., 2000-439 DC</w:t>
      </w:r>
      <w:r>
        <w:rPr>
          <w:rFonts w:ascii="Calibri" w:cs="Calibri" w:eastAsia="Calibri" w:hAnsi="Calibri"/>
          <w:color w:val="1A1A1A"/>
          <w:sz w:val="20"/>
          <w:szCs w:val="20"/>
        </w:rPr>
        <w:t xml:space="preserve"> et </w:t>
      </w:r>
      <w:r>
        <w:rPr>
          <w:rFonts w:ascii="Calibri" w:cs="Calibri" w:eastAsia="Calibri" w:hAnsi="Calibri"/>
          <w:color w:val="E91E63"/>
          <w:sz w:val="20"/>
          <w:szCs w:val="20"/>
        </w:rPr>
        <w:t xml:space="preserve">2001-450 DC</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2002</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Cons. const., 2001-455 DC</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Cass. soc., 10 juillet</w:t>
      </w:r>
      <w:r>
        <w:rPr>
          <w:rFonts w:ascii="Calibri" w:cs="Calibri" w:eastAsia="Calibri" w:hAnsi="Calibri"/>
          <w:color w:val="1A1A1A"/>
          <w:sz w:val="20"/>
          <w:szCs w:val="20"/>
        </w:rPr>
        <w:t xml:space="preserve"> (non-concurrence) — </w:t>
      </w:r>
      <w:r>
        <w:rPr>
          <w:rFonts w:ascii="Calibri" w:cs="Calibri" w:eastAsia="Calibri" w:hAnsi="Calibri"/>
          <w:b/>
          <w:bCs/>
          <w:color w:val="1A1A1A"/>
          <w:sz w:val="20"/>
          <w:szCs w:val="20"/>
        </w:rPr>
        <w:t xml:space="preserve">2003</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Cons. const., 2003-483 DC</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CEDH, Koua Poirrez</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CEDS, Autisme-Europe c. France</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2004</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CEDH, Kopecký</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CEDH, Öneryıldız</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CEDH, Broniowski</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CEDH, Kjartan Ásmundsson</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2005</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CEDH, Draon et Maurice</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 ord., 8 septembre</w:t>
      </w:r>
      <w:r>
        <w:rPr>
          <w:rFonts w:ascii="Calibri" w:cs="Calibri" w:eastAsia="Calibri" w:hAnsi="Calibri"/>
          <w:color w:val="1A1A1A"/>
          <w:sz w:val="20"/>
          <w:szCs w:val="20"/>
        </w:rPr>
        <w:t xml:space="preserve"> (santé et référé) — </w:t>
      </w:r>
      <w:r>
        <w:rPr>
          <w:rFonts w:ascii="Calibri" w:cs="Calibri" w:eastAsia="Calibri" w:hAnsi="Calibri"/>
          <w:b/>
          <w:bCs/>
          <w:color w:val="1A1A1A"/>
          <w:sz w:val="20"/>
          <w:szCs w:val="20"/>
        </w:rPr>
        <w:t xml:space="preserve">2006</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 ass., Ordre des avocats au barreau de Paris</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 Aides</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CEDH, Hutten-Czapska</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Cons. const., 2006-540 DC</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2007</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CEDH, D.H. c. République tchèque</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2009</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 Laruelle</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2010</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CEDH, Oršuš</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2011</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CEDH, Ponomaryovi</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Cons. const., 2011-169 QPC</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2012</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CEDH, Catan</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CEDH, Chabauty</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Cons. const., 2012-662 DC</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2013</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CJUE, Sky Österreich</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Cons. const., 2013-346 QPC</w:t>
      </w:r>
      <w:r>
        <w:rPr>
          <w:rFonts w:ascii="Calibri" w:cs="Calibri" w:eastAsia="Calibri" w:hAnsi="Calibri"/>
          <w:color w:val="1A1A1A"/>
          <w:sz w:val="20"/>
          <w:szCs w:val="20"/>
        </w:rPr>
        <w:t xml:space="preserve"> et </w:t>
      </w:r>
      <w:r>
        <w:rPr>
          <w:rFonts w:ascii="Calibri" w:cs="Calibri" w:eastAsia="Calibri" w:hAnsi="Calibri"/>
          <w:color w:val="E91E63"/>
          <w:sz w:val="20"/>
          <w:szCs w:val="20"/>
        </w:rPr>
        <w:t xml:space="preserve">2013-672 DC</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T. confl., Bergoend</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2014</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CEDH, O’Keeffe</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loi du 5 mars</w:t>
      </w:r>
      <w:r>
        <w:rPr>
          <w:rFonts w:ascii="Calibri" w:cs="Calibri" w:eastAsia="Calibri" w:hAnsi="Calibri"/>
          <w:color w:val="1A1A1A"/>
          <w:sz w:val="20"/>
          <w:szCs w:val="20"/>
        </w:rPr>
        <w:t xml:space="preserve"> (CPF) — </w:t>
      </w:r>
      <w:r>
        <w:rPr>
          <w:rFonts w:ascii="Calibri" w:cs="Calibri" w:eastAsia="Calibri" w:hAnsi="Calibri"/>
          <w:b/>
          <w:bCs/>
          <w:color w:val="1A1A1A"/>
          <w:sz w:val="20"/>
          <w:szCs w:val="20"/>
        </w:rPr>
        <w:t xml:space="preserve">2015</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Cons. const., 2015-458 QPC</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2016</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CJUE, AGET Iraklis</w:t>
      </w:r>
      <w:r>
        <w:rPr>
          <w:rFonts w:ascii="Calibri" w:cs="Calibri" w:eastAsia="Calibri" w:hAnsi="Calibri"/>
          <w:color w:val="1A1A1A"/>
          <w:sz w:val="20"/>
          <w:szCs w:val="20"/>
        </w:rPr>
        <w:t xml:space="preserve"> ; PUMa — </w:t>
      </w:r>
      <w:r>
        <w:rPr>
          <w:rFonts w:ascii="Calibri" w:cs="Calibri" w:eastAsia="Calibri" w:hAnsi="Calibri"/>
          <w:b/>
          <w:bCs/>
          <w:color w:val="1A1A1A"/>
          <w:sz w:val="20"/>
          <w:szCs w:val="20"/>
        </w:rPr>
        <w:t xml:space="preserve">2017</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CEDH, Lopes de Sousa Fernandes</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Cass. 3e civ., 21 décembre</w:t>
      </w:r>
      <w:r>
        <w:rPr>
          <w:rFonts w:ascii="Calibri" w:cs="Calibri" w:eastAsia="Calibri" w:hAnsi="Calibri"/>
          <w:color w:val="1A1A1A"/>
          <w:sz w:val="20"/>
          <w:szCs w:val="20"/>
        </w:rPr>
        <w:t xml:space="preserve"> (empiètement) — </w:t>
      </w:r>
      <w:r>
        <w:rPr>
          <w:rFonts w:ascii="Calibri" w:cs="Calibri" w:eastAsia="Calibri" w:hAnsi="Calibri"/>
          <w:b/>
          <w:bCs/>
          <w:color w:val="1A1A1A"/>
          <w:sz w:val="20"/>
          <w:szCs w:val="20"/>
        </w:rPr>
        <w:t xml:space="preserve">2018</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loi du 5 septembre</w:t>
      </w:r>
      <w:r>
        <w:rPr>
          <w:rFonts w:ascii="Calibri" w:cs="Calibri" w:eastAsia="Calibri" w:hAnsi="Calibri"/>
          <w:color w:val="1A1A1A"/>
          <w:sz w:val="20"/>
          <w:szCs w:val="20"/>
        </w:rPr>
        <w:t xml:space="preserve"> (avenir professionnel) — </w:t>
      </w:r>
      <w:r>
        <w:rPr>
          <w:rFonts w:ascii="Calibri" w:cs="Calibri" w:eastAsia="Calibri" w:hAnsi="Calibri"/>
          <w:b/>
          <w:bCs/>
          <w:color w:val="1A1A1A"/>
          <w:sz w:val="20"/>
          <w:szCs w:val="20"/>
        </w:rPr>
        <w:t xml:space="preserve">2019</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Cons. const., 2019-809 QPC</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loi du 26 juillet</w:t>
      </w:r>
      <w:r>
        <w:rPr>
          <w:rFonts w:ascii="Calibri" w:cs="Calibri" w:eastAsia="Calibri" w:hAnsi="Calibri"/>
          <w:color w:val="1A1A1A"/>
          <w:sz w:val="20"/>
          <w:szCs w:val="20"/>
        </w:rPr>
        <w:t xml:space="preserve"> (instruction dès 3 ans) ; </w:t>
      </w:r>
      <w:r>
        <w:rPr>
          <w:rFonts w:ascii="Calibri" w:cs="Calibri" w:eastAsia="Calibri" w:hAnsi="Calibri"/>
          <w:color w:val="E91E63"/>
          <w:sz w:val="20"/>
          <w:szCs w:val="20"/>
        </w:rPr>
        <w:t xml:space="preserve">Cass. 3e civ., 4 juillet</w:t>
      </w:r>
      <w:r>
        <w:rPr>
          <w:rFonts w:ascii="Calibri" w:cs="Calibri" w:eastAsia="Calibri" w:hAnsi="Calibri"/>
          <w:color w:val="1A1A1A"/>
          <w:sz w:val="20"/>
          <w:szCs w:val="20"/>
        </w:rPr>
        <w:t xml:space="preserve"> (squat) — </w:t>
      </w:r>
      <w:r>
        <w:rPr>
          <w:rFonts w:ascii="Calibri" w:cs="Calibri" w:eastAsia="Calibri" w:hAnsi="Calibri"/>
          <w:b/>
          <w:bCs/>
          <w:color w:val="1A1A1A"/>
          <w:sz w:val="20"/>
          <w:szCs w:val="20"/>
        </w:rPr>
        <w:t xml:space="preserve">2020</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Cons. const., 2019-823 QPC</w:t>
      </w:r>
      <w:r>
        <w:rPr>
          <w:rFonts w:ascii="Calibri" w:cs="Calibri" w:eastAsia="Calibri" w:hAnsi="Calibri"/>
          <w:color w:val="1A1A1A"/>
          <w:sz w:val="20"/>
          <w:szCs w:val="20"/>
        </w:rPr>
        <w:t xml:space="preserve"> et </w:t>
      </w:r>
      <w:r>
        <w:rPr>
          <w:rFonts w:ascii="Calibri" w:cs="Calibri" w:eastAsia="Calibri" w:hAnsi="Calibri"/>
          <w:color w:val="E91E63"/>
          <w:sz w:val="20"/>
          <w:szCs w:val="20"/>
        </w:rPr>
        <w:t xml:space="preserve">2020-834 QPC</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CEDH, G.L. c. Italie</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 Commune de Chalon-sur-Saône</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2021</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CEDH, Vavřička</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2022</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loi du 2 mars</w:t>
      </w:r>
      <w:r>
        <w:rPr>
          <w:rFonts w:ascii="Calibri" w:cs="Calibri" w:eastAsia="Calibri" w:hAnsi="Calibri"/>
          <w:color w:val="1A1A1A"/>
          <w:sz w:val="20"/>
          <w:szCs w:val="20"/>
        </w:rPr>
        <w:t xml:space="preserve"> (harcèlement scolaire) — </w:t>
      </w:r>
      <w:r>
        <w:rPr>
          <w:rFonts w:ascii="Calibri" w:cs="Calibri" w:eastAsia="Calibri" w:hAnsi="Calibri"/>
          <w:b/>
          <w:bCs/>
          <w:color w:val="1A1A1A"/>
          <w:sz w:val="20"/>
          <w:szCs w:val="20"/>
        </w:rPr>
        <w:t xml:space="preserve">2023</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Cons. const., 2023-849 DC</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2023-853 DC</w:t>
      </w:r>
      <w:r>
        <w:rPr>
          <w:rFonts w:ascii="Calibri" w:cs="Calibri" w:eastAsia="Calibri" w:hAnsi="Calibri"/>
          <w:color w:val="1A1A1A"/>
          <w:sz w:val="20"/>
          <w:szCs w:val="20"/>
        </w:rPr>
        <w:t xml:space="preserve"> (squats) ; </w:t>
      </w:r>
      <w:r>
        <w:rPr>
          <w:rFonts w:ascii="Calibri" w:cs="Calibri" w:eastAsia="Calibri" w:hAnsi="Calibri"/>
          <w:color w:val="1E88E5"/>
          <w:sz w:val="20"/>
          <w:szCs w:val="20"/>
        </w:rPr>
        <w:t xml:space="preserve">loi du 18 décembre</w:t>
      </w:r>
      <w:r>
        <w:rPr>
          <w:rFonts w:ascii="Calibri" w:cs="Calibri" w:eastAsia="Calibri" w:hAnsi="Calibri"/>
          <w:color w:val="1A1A1A"/>
          <w:sz w:val="20"/>
          <w:szCs w:val="20"/>
        </w:rPr>
        <w:t xml:space="preserve"> (plein emploi).</w:t>
      </w:r>
    </w:p>
    <w:p>
      <w:pPr>
        <w:pStyle w:val="ListParagraph"/>
        <w:numPr>
          <w:ilvl w:val="0"/>
          <w:numId w:val="2"/>
        </w:numPr>
        <w:spacing w:after="70" w:line="264"/>
        <w:jc w:val="both"/>
      </w:pPr>
      <w:r>
        <w:rPr>
          <w:rFonts w:ascii="Calibri" w:cs="Calibri" w:eastAsia="Calibri" w:hAnsi="Calibri"/>
          <w:b/>
          <w:bCs/>
          <w:color w:val="1A1A1A"/>
          <w:sz w:val="20"/>
          <w:szCs w:val="20"/>
        </w:rPr>
        <w:t xml:space="preserve">2024</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loi « Le Meur » du 19 novembre</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CEDH, S. c. République tchèque</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2025</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 1er avril</w:t>
      </w:r>
      <w:r>
        <w:rPr>
          <w:rFonts w:ascii="Calibri" w:cs="Calibri" w:eastAsia="Calibri" w:hAnsi="Calibri"/>
          <w:color w:val="1A1A1A"/>
          <w:sz w:val="20"/>
          <w:szCs w:val="20"/>
        </w:rPr>
        <w:t xml:space="preserve"> (TikTok) ; Cour des comptes, rapport sur l’enseignement primaire (mai) ; </w:t>
      </w:r>
      <w:r>
        <w:rPr>
          <w:rFonts w:ascii="Calibri" w:cs="Calibri" w:eastAsia="Calibri" w:hAnsi="Calibri"/>
          <w:color w:val="E91E63"/>
          <w:sz w:val="20"/>
          <w:szCs w:val="20"/>
        </w:rPr>
        <w:t xml:space="preserve">CEDH, Ukraine et Pays-Bas c. Russie</w:t>
      </w:r>
      <w:r>
        <w:rPr>
          <w:rFonts w:ascii="Calibri" w:cs="Calibri" w:eastAsia="Calibri" w:hAnsi="Calibri"/>
          <w:color w:val="1A1A1A"/>
          <w:sz w:val="20"/>
          <w:szCs w:val="20"/>
        </w:rPr>
        <w:t xml:space="preserve"> (9 juillet) ; </w:t>
      </w:r>
      <w:r>
        <w:rPr>
          <w:rFonts w:ascii="Calibri" w:cs="Calibri" w:eastAsia="Calibri" w:hAnsi="Calibri"/>
          <w:color w:val="E91E63"/>
          <w:sz w:val="20"/>
          <w:szCs w:val="20"/>
        </w:rPr>
        <w:t xml:space="preserve">Cons. const., 2025-1156 QPC</w:t>
      </w:r>
      <w:r>
        <w:rPr>
          <w:rFonts w:ascii="Calibri" w:cs="Calibri" w:eastAsia="Calibri" w:hAnsi="Calibri"/>
          <w:color w:val="1A1A1A"/>
          <w:sz w:val="20"/>
          <w:szCs w:val="20"/>
        </w:rPr>
        <w:t xml:space="preserve"> (AGRASC) ; </w:t>
      </w:r>
      <w:r>
        <w:rPr>
          <w:rFonts w:ascii="Calibri" w:cs="Calibri" w:eastAsia="Calibri" w:hAnsi="Calibri"/>
          <w:color w:val="E91E63"/>
          <w:sz w:val="20"/>
          <w:szCs w:val="20"/>
        </w:rPr>
        <w:t xml:space="preserve">CE, 1er octobre</w:t>
      </w:r>
      <w:r>
        <w:rPr>
          <w:rFonts w:ascii="Calibri" w:cs="Calibri" w:eastAsia="Calibri" w:hAnsi="Calibri"/>
          <w:color w:val="1A1A1A"/>
          <w:sz w:val="20"/>
          <w:szCs w:val="20"/>
        </w:rPr>
        <w:t xml:space="preserve"> (déserts médicaux) ; </w:t>
      </w:r>
      <w:r>
        <w:rPr>
          <w:rFonts w:ascii="Calibri" w:cs="Calibri" w:eastAsia="Calibri" w:hAnsi="Calibri"/>
          <w:color w:val="E91E63"/>
          <w:sz w:val="20"/>
          <w:szCs w:val="20"/>
        </w:rPr>
        <w:t xml:space="preserve">CE, 23 décembre</w:t>
      </w:r>
      <w:r>
        <w:rPr>
          <w:rFonts w:ascii="Calibri" w:cs="Calibri" w:eastAsia="Calibri" w:hAnsi="Calibri"/>
          <w:color w:val="1A1A1A"/>
          <w:sz w:val="20"/>
          <w:szCs w:val="20"/>
        </w:rPr>
        <w:t xml:space="preserve"> (vapotage) ; </w:t>
      </w:r>
      <w:r>
        <w:rPr>
          <w:rFonts w:ascii="Calibri" w:cs="Calibri" w:eastAsia="Calibri" w:hAnsi="Calibri"/>
          <w:color w:val="1E88E5"/>
          <w:sz w:val="20"/>
          <w:szCs w:val="20"/>
        </w:rPr>
        <w:t xml:space="preserve">LFSS pour 2026</w:t>
      </w:r>
      <w:r>
        <w:rPr>
          <w:rFonts w:ascii="Calibri" w:cs="Calibri" w:eastAsia="Calibri" w:hAnsi="Calibri"/>
          <w:color w:val="1A1A1A"/>
          <w:sz w:val="20"/>
          <w:szCs w:val="20"/>
        </w:rPr>
        <w:t xml:space="preserve"> et </w:t>
      </w:r>
      <w:r>
        <w:rPr>
          <w:rFonts w:ascii="Calibri" w:cs="Calibri" w:eastAsia="Calibri" w:hAnsi="Calibri"/>
          <w:color w:val="E91E63"/>
          <w:sz w:val="20"/>
          <w:szCs w:val="20"/>
        </w:rPr>
        <w:t xml:space="preserve">2025-899 DC</w:t>
      </w:r>
      <w:r>
        <w:rPr>
          <w:rFonts w:ascii="Calibri" w:cs="Calibri" w:eastAsia="Calibri" w:hAnsi="Calibri"/>
          <w:color w:val="1A1A1A"/>
          <w:sz w:val="20"/>
          <w:szCs w:val="20"/>
        </w:rPr>
        <w:t xml:space="preserve"> (30 décembre, suspension de la réforme des retraites) — </w:t>
      </w:r>
      <w:r>
        <w:rPr>
          <w:rFonts w:ascii="Calibri" w:cs="Calibri" w:eastAsia="Calibri" w:hAnsi="Calibri"/>
          <w:b/>
          <w:bCs/>
          <w:color w:val="1A1A1A"/>
          <w:sz w:val="20"/>
          <w:szCs w:val="20"/>
        </w:rPr>
        <w:t xml:space="preserve">2026</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 27 février</w:t>
      </w:r>
      <w:r>
        <w:rPr>
          <w:rFonts w:ascii="Calibri" w:cs="Calibri" w:eastAsia="Calibri" w:hAnsi="Calibri"/>
          <w:color w:val="1A1A1A"/>
          <w:sz w:val="20"/>
          <w:szCs w:val="20"/>
        </w:rPr>
        <w:t xml:space="preserve"> (AME) ; </w:t>
      </w:r>
      <w:r>
        <w:rPr>
          <w:rFonts w:ascii="Calibri" w:cs="Calibri" w:eastAsia="Calibri" w:hAnsi="Calibri"/>
          <w:color w:val="E91E63"/>
          <w:sz w:val="20"/>
          <w:szCs w:val="20"/>
        </w:rPr>
        <w:t xml:space="preserve">Cons. const., 2025-1186 QPC</w:t>
      </w:r>
      <w:r>
        <w:rPr>
          <w:rFonts w:ascii="Calibri" w:cs="Calibri" w:eastAsia="Calibri" w:hAnsi="Calibri"/>
          <w:color w:val="1A1A1A"/>
          <w:sz w:val="20"/>
          <w:szCs w:val="20"/>
        </w:rPr>
        <w:t xml:space="preserve"> (19 mars, meublés de tourisme) ; </w:t>
      </w:r>
      <w:r>
        <w:rPr>
          <w:rFonts w:ascii="Calibri" w:cs="Calibri" w:eastAsia="Calibri" w:hAnsi="Calibri"/>
          <w:color w:val="E91E63"/>
          <w:sz w:val="20"/>
          <w:szCs w:val="20"/>
        </w:rPr>
        <w:t xml:space="preserve">CE, ord., 23 avril</w:t>
      </w:r>
      <w:r>
        <w:rPr>
          <w:rFonts w:ascii="Calibri" w:cs="Calibri" w:eastAsia="Calibri" w:hAnsi="Calibri"/>
          <w:color w:val="1A1A1A"/>
          <w:sz w:val="20"/>
          <w:szCs w:val="20"/>
        </w:rPr>
        <w:t xml:space="preserve"> (aménagement d’examens) ; </w:t>
      </w:r>
      <w:r>
        <w:rPr>
          <w:rFonts w:ascii="Calibri" w:cs="Calibri" w:eastAsia="Calibri" w:hAnsi="Calibri"/>
          <w:color w:val="E91E63"/>
          <w:sz w:val="20"/>
          <w:szCs w:val="20"/>
        </w:rPr>
        <w:t xml:space="preserve">CE, 13 mai</w:t>
      </w:r>
      <w:r>
        <w:rPr>
          <w:rFonts w:ascii="Calibri" w:cs="Calibri" w:eastAsia="Calibri" w:hAnsi="Calibri"/>
          <w:color w:val="1A1A1A"/>
          <w:sz w:val="20"/>
          <w:szCs w:val="20"/>
        </w:rPr>
        <w:t xml:space="preserve"> (importations) ; </w:t>
      </w:r>
      <w:r>
        <w:rPr>
          <w:rFonts w:ascii="Calibri" w:cs="Calibri" w:eastAsia="Calibri" w:hAnsi="Calibri"/>
          <w:color w:val="1E88E5"/>
          <w:sz w:val="20"/>
          <w:szCs w:val="20"/>
        </w:rPr>
        <w:t xml:space="preserve">loi du 26 mai</w:t>
      </w:r>
      <w:r>
        <w:rPr>
          <w:rFonts w:ascii="Calibri" w:cs="Calibri" w:eastAsia="Calibri" w:hAnsi="Calibri"/>
          <w:color w:val="1A1A1A"/>
          <w:sz w:val="20"/>
          <w:szCs w:val="20"/>
        </w:rPr>
        <w:t xml:space="preserve"> (soins palliatifs).</w:t>
      </w:r>
    </w:p>
    <w:p>
      <w:pPr>
        <w:pStyle w:val="Heading2"/>
        <w:spacing w:after="120" w:before="280"/>
      </w:pPr>
      <w:r>
        <w:rPr>
          <w:rFonts w:ascii="Calibri" w:cs="Calibri" w:eastAsia="Calibri" w:hAnsi="Calibri"/>
          <w:b/>
          <w:bCs/>
          <w:color w:val="1A1A1A"/>
          <w:sz w:val="24"/>
          <w:szCs w:val="24"/>
        </w:rPr>
        <w:t xml:space="preserve">II. Ajouts à l’index transversal</w:t>
      </w:r>
    </w:p>
    <w:p>
      <w:pPr>
        <w:pStyle w:val="ListParagraph"/>
        <w:numPr>
          <w:ilvl w:val="0"/>
          <w:numId w:val="2"/>
        </w:numPr>
        <w:spacing w:after="70" w:line="264"/>
        <w:jc w:val="both"/>
      </w:pPr>
      <w:r>
        <w:rPr>
          <w:rFonts w:ascii="Calibri" w:cs="Calibri" w:eastAsia="Calibri" w:hAnsi="Calibri"/>
          <w:b/>
          <w:bCs/>
          <w:color w:val="1A1A1A"/>
          <w:sz w:val="20"/>
          <w:szCs w:val="20"/>
        </w:rPr>
        <w:t xml:space="preserve">Droits-créances et justiciabilité</w:t>
      </w:r>
      <w:r>
        <w:rPr>
          <w:rFonts w:ascii="Calibri" w:cs="Calibri" w:eastAsia="Calibri" w:hAnsi="Calibri"/>
          <w:color w:val="1A1A1A"/>
          <w:sz w:val="20"/>
          <w:szCs w:val="20"/>
        </w:rPr>
        <w:t xml:space="preserve"> → fiches 4 (classifications), 47 (éducation, </w:t>
      </w:r>
      <w:r>
        <w:rPr>
          <w:rFonts w:ascii="Calibri" w:cs="Calibri" w:eastAsia="Calibri" w:hAnsi="Calibri"/>
          <w:color w:val="E91E63"/>
          <w:sz w:val="20"/>
          <w:szCs w:val="20"/>
        </w:rPr>
        <w:t xml:space="preserve">Laruelle</w:t>
      </w:r>
      <w:r>
        <w:rPr>
          <w:rFonts w:ascii="Calibri" w:cs="Calibri" w:eastAsia="Calibri" w:hAnsi="Calibri"/>
          <w:color w:val="1A1A1A"/>
          <w:sz w:val="20"/>
          <w:szCs w:val="20"/>
        </w:rPr>
        <w:t xml:space="preserve">), 48 (santé, </w:t>
      </w:r>
      <w:r>
        <w:rPr>
          <w:rFonts w:ascii="Calibri" w:cs="Calibri" w:eastAsia="Calibri" w:hAnsi="Calibri"/>
          <w:color w:val="E91E63"/>
          <w:sz w:val="20"/>
          <w:szCs w:val="20"/>
        </w:rPr>
        <w:t xml:space="preserve">CE, 1er octobre 2025</w:t>
      </w:r>
      <w:r>
        <w:rPr>
          <w:rFonts w:ascii="Calibri" w:cs="Calibri" w:eastAsia="Calibri" w:hAnsi="Calibri"/>
          <w:color w:val="1A1A1A"/>
          <w:sz w:val="20"/>
          <w:szCs w:val="20"/>
        </w:rPr>
        <w:t xml:space="preserve">), 50 (travail), 51 (logement, DALO).</w:t>
      </w:r>
    </w:p>
    <w:p>
      <w:pPr>
        <w:pStyle w:val="ListParagraph"/>
        <w:numPr>
          <w:ilvl w:val="0"/>
          <w:numId w:val="2"/>
        </w:numPr>
        <w:spacing w:after="70" w:line="264"/>
        <w:jc w:val="both"/>
      </w:pPr>
      <w:r>
        <w:rPr>
          <w:rFonts w:ascii="Calibri" w:cs="Calibri" w:eastAsia="Calibri" w:hAnsi="Calibri"/>
          <w:b/>
          <w:bCs/>
          <w:color w:val="1A1A1A"/>
          <w:sz w:val="20"/>
          <w:szCs w:val="20"/>
        </w:rPr>
        <w:t xml:space="preserve">Privation / limitation de propriété</w:t>
      </w:r>
      <w:r>
        <w:rPr>
          <w:rFonts w:ascii="Calibri" w:cs="Calibri" w:eastAsia="Calibri" w:hAnsi="Calibri"/>
          <w:color w:val="1A1A1A"/>
          <w:sz w:val="20"/>
          <w:szCs w:val="20"/>
        </w:rPr>
        <w:t xml:space="preserve"> → fiches 46 (</w:t>
      </w:r>
      <w:r>
        <w:rPr>
          <w:rFonts w:ascii="Calibri" w:cs="Calibri" w:eastAsia="Calibri" w:hAnsi="Calibri"/>
          <w:color w:val="1E88E5"/>
          <w:sz w:val="20"/>
          <w:szCs w:val="20"/>
        </w:rPr>
        <w:t xml:space="preserve">art. 17</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2 DDHC</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2025-1156 QPC</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2025-1186 QPC</w:t>
      </w:r>
      <w:r>
        <w:rPr>
          <w:rFonts w:ascii="Calibri" w:cs="Calibri" w:eastAsia="Calibri" w:hAnsi="Calibri"/>
          <w:color w:val="1A1A1A"/>
          <w:sz w:val="20"/>
          <w:szCs w:val="20"/>
        </w:rPr>
        <w:t xml:space="preserve">), 51 (logement, squats).</w:t>
      </w:r>
    </w:p>
    <w:p>
      <w:pPr>
        <w:pStyle w:val="ListParagraph"/>
        <w:numPr>
          <w:ilvl w:val="0"/>
          <w:numId w:val="2"/>
        </w:numPr>
        <w:spacing w:after="70" w:line="264"/>
        <w:jc w:val="both"/>
      </w:pPr>
      <w:r>
        <w:rPr>
          <w:rFonts w:ascii="Calibri" w:cs="Calibri" w:eastAsia="Calibri" w:hAnsi="Calibri"/>
          <w:b/>
          <w:bCs/>
          <w:color w:val="1A1A1A"/>
          <w:sz w:val="20"/>
          <w:szCs w:val="20"/>
        </w:rPr>
        <w:t xml:space="preserve">Biens au sens de la CEDH</w:t>
      </w:r>
      <w:r>
        <w:rPr>
          <w:rFonts w:ascii="Calibri" w:cs="Calibri" w:eastAsia="Calibri" w:hAnsi="Calibri"/>
          <w:color w:val="1A1A1A"/>
          <w:sz w:val="20"/>
          <w:szCs w:val="20"/>
        </w:rPr>
        <w:t xml:space="preserve"> → fiches 46 (</w:t>
      </w:r>
      <w:r>
        <w:rPr>
          <w:rFonts w:ascii="Calibri" w:cs="Calibri" w:eastAsia="Calibri" w:hAnsi="Calibri"/>
          <w:color w:val="E91E63"/>
          <w:sz w:val="20"/>
          <w:szCs w:val="20"/>
        </w:rPr>
        <w:t xml:space="preserve">Van Marle</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Kopecký</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Draon</w:t>
      </w:r>
      <w:r>
        <w:rPr>
          <w:rFonts w:ascii="Calibri" w:cs="Calibri" w:eastAsia="Calibri" w:hAnsi="Calibri"/>
          <w:color w:val="1A1A1A"/>
          <w:sz w:val="20"/>
          <w:szCs w:val="20"/>
        </w:rPr>
        <w:t xml:space="preserve">), 48 (prestations sociales, </w:t>
      </w:r>
      <w:r>
        <w:rPr>
          <w:rFonts w:ascii="Calibri" w:cs="Calibri" w:eastAsia="Calibri" w:hAnsi="Calibri"/>
          <w:color w:val="E91E63"/>
          <w:sz w:val="20"/>
          <w:szCs w:val="20"/>
        </w:rPr>
        <w:t xml:space="preserve">Gaygusuz</w:t>
      </w:r>
      <w:r>
        <w:rPr>
          <w:rFonts w:ascii="Calibri" w:cs="Calibri" w:eastAsia="Calibri" w:hAnsi="Calibri"/>
          <w:color w:val="1A1A1A"/>
          <w:sz w:val="20"/>
          <w:szCs w:val="20"/>
        </w:rPr>
        <w:t xml:space="preserve">), 45 (clientèle, licences).</w:t>
      </w:r>
    </w:p>
    <w:p>
      <w:pPr>
        <w:pStyle w:val="ListParagraph"/>
        <w:numPr>
          <w:ilvl w:val="0"/>
          <w:numId w:val="2"/>
        </w:numPr>
        <w:spacing w:after="70" w:line="264"/>
        <w:jc w:val="both"/>
      </w:pPr>
      <w:r>
        <w:rPr>
          <w:rFonts w:ascii="Calibri" w:cs="Calibri" w:eastAsia="Calibri" w:hAnsi="Calibri"/>
          <w:b/>
          <w:bCs/>
          <w:color w:val="1A1A1A"/>
          <w:sz w:val="20"/>
          <w:szCs w:val="20"/>
        </w:rPr>
        <w:t xml:space="preserve">Santé publique, objectif constitutionnel</w:t>
      </w:r>
      <w:r>
        <w:rPr>
          <w:rFonts w:ascii="Calibri" w:cs="Calibri" w:eastAsia="Calibri" w:hAnsi="Calibri"/>
          <w:color w:val="1A1A1A"/>
          <w:sz w:val="20"/>
          <w:szCs w:val="20"/>
        </w:rPr>
        <w:t xml:space="preserve"> → fiches 26 (vie), 40 (état d’urgence sanitaire), 45 (loi Évin, vapotage), 48 (</w:t>
      </w:r>
      <w:r>
        <w:rPr>
          <w:rFonts w:ascii="Calibri" w:cs="Calibri" w:eastAsia="Calibri" w:hAnsi="Calibri"/>
          <w:color w:val="E91E63"/>
          <w:sz w:val="20"/>
          <w:szCs w:val="20"/>
        </w:rPr>
        <w:t xml:space="preserve">2015-458 QPC</w:t>
      </w:r>
      <w:r>
        <w:rPr>
          <w:rFonts w:ascii="Calibri" w:cs="Calibri" w:eastAsia="Calibri" w:hAnsi="Calibri"/>
          <w:color w:val="1A1A1A"/>
          <w:sz w:val="20"/>
          <w:szCs w:val="20"/>
        </w:rPr>
        <w:t xml:space="preserve">, passe sanitaire).</w:t>
      </w:r>
    </w:p>
    <w:p>
      <w:pPr>
        <w:pStyle w:val="ListParagraph"/>
        <w:numPr>
          <w:ilvl w:val="0"/>
          <w:numId w:val="2"/>
        </w:numPr>
        <w:spacing w:after="70" w:line="264"/>
        <w:jc w:val="both"/>
      </w:pPr>
      <w:r>
        <w:rPr>
          <w:rFonts w:ascii="Calibri" w:cs="Calibri" w:eastAsia="Calibri" w:hAnsi="Calibri"/>
          <w:b/>
          <w:bCs/>
          <w:color w:val="1A1A1A"/>
          <w:sz w:val="20"/>
          <w:szCs w:val="20"/>
        </w:rPr>
        <w:t xml:space="preserve">Environnement et liberté d’entreprendre</w:t>
      </w:r>
      <w:r>
        <w:rPr>
          <w:rFonts w:ascii="Calibri" w:cs="Calibri" w:eastAsia="Calibri" w:hAnsi="Calibri"/>
          <w:color w:val="1A1A1A"/>
          <w:sz w:val="20"/>
          <w:szCs w:val="20"/>
        </w:rPr>
        <w:t xml:space="preserve"> → fiches 45 (</w:t>
      </w:r>
      <w:r>
        <w:rPr>
          <w:rFonts w:ascii="Calibri" w:cs="Calibri" w:eastAsia="Calibri" w:hAnsi="Calibri"/>
          <w:color w:val="E91E63"/>
          <w:sz w:val="20"/>
          <w:szCs w:val="20"/>
        </w:rPr>
        <w:t xml:space="preserve">2019-823 QPC</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2013-346 QPC</w:t>
      </w:r>
      <w:r>
        <w:rPr>
          <w:rFonts w:ascii="Calibri" w:cs="Calibri" w:eastAsia="Calibri" w:hAnsi="Calibri"/>
          <w:color w:val="1A1A1A"/>
          <w:sz w:val="20"/>
          <w:szCs w:val="20"/>
        </w:rPr>
        <w:t xml:space="preserve">), 49 (Charte de l’environnement).</w:t>
      </w:r>
    </w:p>
    <w:p>
      <w:pPr>
        <w:pStyle w:val="ListParagraph"/>
        <w:numPr>
          <w:ilvl w:val="0"/>
          <w:numId w:val="2"/>
        </w:numPr>
        <w:spacing w:after="70" w:line="264"/>
        <w:jc w:val="both"/>
      </w:pPr>
      <w:r>
        <w:rPr>
          <w:rFonts w:ascii="Calibri" w:cs="Calibri" w:eastAsia="Calibri" w:hAnsi="Calibri"/>
          <w:b/>
          <w:bCs/>
          <w:color w:val="1A1A1A"/>
          <w:sz w:val="20"/>
          <w:szCs w:val="20"/>
        </w:rPr>
        <w:t xml:space="preserve">Égalité des étrangers dans les droits sociaux</w:t>
      </w:r>
      <w:r>
        <w:rPr>
          <w:rFonts w:ascii="Calibri" w:cs="Calibri" w:eastAsia="Calibri" w:hAnsi="Calibri"/>
          <w:color w:val="1A1A1A"/>
          <w:sz w:val="20"/>
          <w:szCs w:val="20"/>
        </w:rPr>
        <w:t xml:space="preserve"> → fiches 43 (statut constitutionnel), 47 (scolarisation, </w:t>
      </w:r>
      <w:r>
        <w:rPr>
          <w:rFonts w:ascii="Calibri" w:cs="Calibri" w:eastAsia="Calibri" w:hAnsi="Calibri"/>
          <w:color w:val="E91E63"/>
          <w:sz w:val="20"/>
          <w:szCs w:val="20"/>
        </w:rPr>
        <w:t xml:space="preserve">Ponomaryovi</w:t>
      </w:r>
      <w:r>
        <w:rPr>
          <w:rFonts w:ascii="Calibri" w:cs="Calibri" w:eastAsia="Calibri" w:hAnsi="Calibri"/>
          <w:color w:val="1A1A1A"/>
          <w:sz w:val="20"/>
          <w:szCs w:val="20"/>
        </w:rPr>
        <w:t xml:space="preserve">), 48 (</w:t>
      </w:r>
      <w:r>
        <w:rPr>
          <w:rFonts w:ascii="Calibri" w:cs="Calibri" w:eastAsia="Calibri" w:hAnsi="Calibri"/>
          <w:color w:val="E91E63"/>
          <w:sz w:val="20"/>
          <w:szCs w:val="20"/>
        </w:rPr>
        <w:t xml:space="preserve">89-269 DC</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Koua Poirrez</w:t>
      </w:r>
      <w:r>
        <w:rPr>
          <w:rFonts w:ascii="Calibri" w:cs="Calibri" w:eastAsia="Calibri" w:hAnsi="Calibri"/>
          <w:color w:val="1A1A1A"/>
          <w:sz w:val="20"/>
          <w:szCs w:val="20"/>
        </w:rPr>
        <w:t xml:space="preserve">, AME), 54 (discrimination).</w:t>
      </w:r>
    </w:p>
    <w:p>
      <w:pPr>
        <w:pStyle w:val="ListParagraph"/>
        <w:numPr>
          <w:ilvl w:val="0"/>
          <w:numId w:val="2"/>
        </w:numPr>
        <w:spacing w:after="70" w:line="264"/>
        <w:jc w:val="both"/>
      </w:pPr>
      <w:r>
        <w:rPr>
          <w:rFonts w:ascii="Calibri" w:cs="Calibri" w:eastAsia="Calibri" w:hAnsi="Calibri"/>
          <w:b/>
          <w:bCs/>
          <w:color w:val="1A1A1A"/>
          <w:sz w:val="20"/>
          <w:szCs w:val="20"/>
        </w:rPr>
        <w:t xml:space="preserve">Handicap et aménagements raisonnables</w:t>
      </w:r>
      <w:r>
        <w:rPr>
          <w:rFonts w:ascii="Calibri" w:cs="Calibri" w:eastAsia="Calibri" w:hAnsi="Calibri"/>
          <w:color w:val="1A1A1A"/>
          <w:sz w:val="20"/>
          <w:szCs w:val="20"/>
        </w:rPr>
        <w:t xml:space="preserve"> → fiches 47 (</w:t>
      </w:r>
      <w:r>
        <w:rPr>
          <w:rFonts w:ascii="Calibri" w:cs="Calibri" w:eastAsia="Calibri" w:hAnsi="Calibri"/>
          <w:color w:val="E91E63"/>
          <w:sz w:val="20"/>
          <w:szCs w:val="20"/>
        </w:rPr>
        <w:t xml:space="preserve">Laruelle</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G.L. c. Italie</w:t>
      </w:r>
      <w:r>
        <w:rPr>
          <w:rFonts w:ascii="Calibri" w:cs="Calibri" w:eastAsia="Calibri" w:hAnsi="Calibri"/>
          <w:color w:val="1A1A1A"/>
          <w:sz w:val="20"/>
          <w:szCs w:val="20"/>
        </w:rPr>
        <w:t xml:space="preserve">, examens), 54 (discrimination par association), 55 (vulnérabilités), 56 (mesures compensatoires).</w:t>
      </w:r>
    </w:p>
    <w:p>
      <w:pPr>
        <w:pStyle w:val="ListParagraph"/>
        <w:numPr>
          <w:ilvl w:val="0"/>
          <w:numId w:val="2"/>
        </w:numPr>
        <w:spacing w:after="70" w:line="264"/>
        <w:jc w:val="both"/>
      </w:pPr>
      <w:r>
        <w:rPr>
          <w:rFonts w:ascii="Calibri" w:cs="Calibri" w:eastAsia="Calibri" w:hAnsi="Calibri"/>
          <w:b/>
          <w:bCs/>
          <w:color w:val="1A1A1A"/>
          <w:sz w:val="20"/>
          <w:szCs w:val="20"/>
        </w:rPr>
        <w:t xml:space="preserve">Office du juge face aux politiques publiques</w:t>
      </w:r>
      <w:r>
        <w:rPr>
          <w:rFonts w:ascii="Calibri" w:cs="Calibri" w:eastAsia="Calibri" w:hAnsi="Calibri"/>
          <w:color w:val="1A1A1A"/>
          <w:sz w:val="20"/>
          <w:szCs w:val="20"/>
        </w:rPr>
        <w:t xml:space="preserve"> → fiches 40 (contrôles au faciès, </w:t>
      </w:r>
      <w:r>
        <w:rPr>
          <w:rFonts w:ascii="Calibri" w:cs="Calibri" w:eastAsia="Calibri" w:hAnsi="Calibri"/>
          <w:color w:val="E91E63"/>
          <w:sz w:val="20"/>
          <w:szCs w:val="20"/>
        </w:rPr>
        <w:t xml:space="preserve">CE, ass., 11 octobre 2023</w:t>
      </w:r>
      <w:r>
        <w:rPr>
          <w:rFonts w:ascii="Calibri" w:cs="Calibri" w:eastAsia="Calibri" w:hAnsi="Calibri"/>
          <w:color w:val="1A1A1A"/>
          <w:sz w:val="20"/>
          <w:szCs w:val="20"/>
        </w:rPr>
        <w:t xml:space="preserve">), 48 (déserts médicaux), 49 (</w:t>
      </w:r>
      <w:r>
        <w:rPr>
          <w:rFonts w:ascii="Calibri" w:cs="Calibri" w:eastAsia="Calibri" w:hAnsi="Calibri"/>
          <w:color w:val="E91E63"/>
          <w:sz w:val="20"/>
          <w:szCs w:val="20"/>
        </w:rPr>
        <w:t xml:space="preserve">Grande-Synthe</w:t>
      </w:r>
      <w:r>
        <w:rPr>
          <w:rFonts w:ascii="Calibri" w:cs="Calibri" w:eastAsia="Calibri" w:hAnsi="Calibri"/>
          <w:color w:val="1A1A1A"/>
          <w:sz w:val="20"/>
          <w:szCs w:val="20"/>
        </w:rPr>
        <w:t xml:space="preserve">).</w:t>
      </w:r>
    </w:p>
    <w:sectPr>
      <w:footerReference w:type="default" r:id="rId7"/>
      <w:pgSz w:w="11906" w:h="16838" w:orient="portrait"/>
      <w:pgMar w:top="1020" w:right="1077" w:bottom="1020" w:left="107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5A5A"/>
        <w:sz w:val="15"/>
        <w:szCs w:val="15"/>
      </w:rPr>
      <w:t xml:space="preserve">Grand Oral CRFPA — Libertés publiques et droits fondamentaux — Partie VII-A   |   </w:t>
    </w:r>
    <w:r>
      <w:rPr>
        <w:rFonts w:ascii="Calibri" w:cs="Calibri" w:eastAsia="Calibri" w:hAnsi="Calibri"/>
        <w:color w:val="5A5A5A"/>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lvl w:ilvl="1" w15:tentative="1">
      <w:start w:val="1"/>
      <w:numFmt w:val="bullet"/>
      <w:lvlText w:val="–"/>
      <w:lvlJc w:val="left"/>
      <w:pPr>
        <w:ind w:left="700" w:hanging="200"/>
      </w:pPr>
    </w:lvl>
    <w:lvl w:ilvl="2" w15:tentative="1">
      <w:start w:val="1"/>
      <w:numFmt w:val="bullet"/>
      <w:lvlText w:val="·"/>
      <w:lvlJc w:val="left"/>
      <w:pPr>
        <w:ind w:left="10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Grand Oral CRFPA — Libertés publiques et droits fondamentaux — Partie VII-A</dc:title>
  <dc:creator>Simon</dc:creator>
  <dc:description>Fiches de révision n° 45 à 48</dc:description>
  <cp:lastModifiedBy>Un-named</cp:lastModifiedBy>
  <cp:revision>1</cp:revision>
  <dcterms:created xsi:type="dcterms:W3CDTF">2026-10-04T16:17:36.143Z</dcterms:created>
  <dcterms:modified xsi:type="dcterms:W3CDTF">2026-10-04T16:17:36.144Z</dcterms:modified>
</cp:coreProperties>
</file>

<file path=docProps/custom.xml><?xml version="1.0" encoding="utf-8"?>
<Properties xmlns="http://schemas.openxmlformats.org/officeDocument/2006/custom-properties" xmlns:vt="http://schemas.openxmlformats.org/officeDocument/2006/docPropsVTypes"/>
</file>