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5A5A5A"/>
          <w:spacing w:val="60"/>
          <w:sz w:val="26"/>
          <w:szCs w:val="26"/>
        </w:rPr>
        <w:t xml:space="preserve">GRAND ORAL DU CRFPA</w:t>
      </w:r>
    </w:p>
    <w:p>
      <w:pPr>
        <w:spacing w:after="100"/>
        <w:jc w:val="center"/>
      </w:pPr>
      <w:r>
        <w:rPr>
          <w:rFonts w:ascii="Calibri" w:cs="Calibri" w:eastAsia="Calibri" w:hAnsi="Calibri"/>
          <w:b/>
          <w:bCs/>
          <w:color w:val="8C1C2B"/>
          <w:sz w:val="44"/>
          <w:szCs w:val="44"/>
        </w:rPr>
        <w:t xml:space="preserve">LIBERTÉS PUBLIQUES ET DROITS FONDAMENTAUX</w:t>
      </w:r>
    </w:p>
    <w:p>
      <w:pPr>
        <w:spacing w:after="600"/>
        <w:jc w:val="center"/>
      </w:pPr>
      <w:r>
        <w:rPr>
          <w:rFonts w:ascii="Calibri" w:cs="Calibri" w:eastAsia="Calibri" w:hAnsi="Calibri"/>
          <w:color w:val="1A1A1A"/>
          <w:sz w:val="26"/>
          <w:szCs w:val="26"/>
        </w:rPr>
        <w:t xml:space="preserve">Partie VII-B — Environnement, travail, logement, culture, asile (fiches n° 49 à 53)</w:t>
      </w:r>
    </w:p>
    <w:p>
      <w:pPr>
        <w:spacing w:after="100"/>
        <w:jc w:val="center"/>
      </w:pPr>
      <w:r>
        <w:rPr>
          <w:rFonts w:ascii="Calibri" w:cs="Calibri" w:eastAsia="Calibri" w:hAnsi="Calibri"/>
          <w:i/>
          <w:iCs/>
          <w:color w:val="5A5A5A"/>
          <w:sz w:val="20"/>
          <w:szCs w:val="20"/>
        </w:rPr>
        <w:t xml:space="preserve">Fiches de révision exhaustives — exposé de 15 minutes et entretien avec le jury</w:t>
      </w:r>
    </w:p>
    <w:p>
      <w:pPr>
        <w:spacing w:after="700"/>
        <w:jc w:val="center"/>
      </w:pPr>
      <w:r>
        <w:rPr>
          <w:rFonts w:ascii="Calibri" w:cs="Calibri" w:eastAsia="Calibri" w:hAnsi="Calibri"/>
          <w:i/>
          <w:iCs/>
          <w:color w:val="5A5A5A"/>
          <w:sz w:val="18"/>
          <w:szCs w:val="18"/>
        </w:rPr>
        <w:t xml:space="preserve">D’après le fascicule Objectif Barreau 2026</w:t>
      </w:r>
    </w:p>
    <w:p>
      <w:pPr>
        <w:spacing w:after="120" w:before="200"/>
      </w:pPr>
      <w:r>
        <w:rPr>
          <w:rFonts w:ascii="Calibri" w:cs="Calibri" w:eastAsia="Calibri" w:hAnsi="Calibri"/>
          <w:b/>
          <w:bCs/>
          <w:color w:val="1A1A1A"/>
          <w:sz w:val="22"/>
          <w:szCs w:val="22"/>
        </w:rPr>
        <w:t xml:space="preserve">CODE COULEUR</w:t>
      </w:r>
    </w:p>
    <w:p>
      <w:pPr>
        <w:pStyle w:val="ListParagraph"/>
        <w:numPr>
          <w:ilvl w:val="0"/>
          <w:numId w:val="2"/>
        </w:numPr>
        <w:spacing w:after="60"/>
      </w:pPr>
      <w:r>
        <w:rPr>
          <w:rFonts w:ascii="Calibri" w:cs="Calibri" w:eastAsia="Calibri" w:hAnsi="Calibri"/>
          <w:color w:val="1E88E5"/>
          <w:sz w:val="20"/>
          <w:szCs w:val="20"/>
        </w:rPr>
        <w:t xml:space="preserve">Textes normatifs</w:t>
      </w:r>
      <w:r>
        <w:rPr>
          <w:rFonts w:ascii="Calibri" w:cs="Calibri" w:eastAsia="Calibri" w:hAnsi="Calibri"/>
          <w:color w:val="1A1A1A"/>
          <w:sz w:val="20"/>
          <w:szCs w:val="20"/>
        </w:rPr>
        <w:t xml:space="preserve"> — traités, conventions, Constitution, codes, lois, règlements.</w:t>
      </w:r>
    </w:p>
    <w:p>
      <w:pPr>
        <w:pStyle w:val="ListParagraph"/>
        <w:numPr>
          <w:ilvl w:val="0"/>
          <w:numId w:val="2"/>
        </w:numPr>
        <w:spacing w:after="60"/>
      </w:pPr>
      <w:r>
        <w:rPr>
          <w:rFonts w:ascii="Calibri" w:cs="Calibri" w:eastAsia="Calibri" w:hAnsi="Calibri"/>
          <w:color w:val="E91E63"/>
          <w:sz w:val="20"/>
          <w:szCs w:val="20"/>
        </w:rPr>
        <w:t xml:space="preserve">Jurisprudence</w:t>
      </w:r>
      <w:r>
        <w:rPr>
          <w:rFonts w:ascii="Calibri" w:cs="Calibri" w:eastAsia="Calibri" w:hAnsi="Calibri"/>
          <w:color w:val="1A1A1A"/>
          <w:sz w:val="20"/>
          <w:szCs w:val="20"/>
        </w:rPr>
        <w:t xml:space="preserve"> — Cass., CE, Cons. const., CEDH, CJUE, décisions QPC.</w:t>
      </w:r>
    </w:p>
    <w:p>
      <w:pPr>
        <w:pStyle w:val="ListParagraph"/>
        <w:numPr>
          <w:ilvl w:val="0"/>
          <w:numId w:val="2"/>
        </w:numPr>
        <w:spacing w:after="60"/>
      </w:pPr>
      <w:r>
        <w:rPr>
          <w:rFonts w:ascii="Calibri" w:cs="Calibri" w:eastAsia="Calibri" w:hAnsi="Calibri"/>
          <w:color w:val="2E7D32"/>
          <w:sz w:val="20"/>
          <w:szCs w:val="20"/>
        </w:rPr>
        <w:t xml:space="preserve">Doctrine</w:t>
      </w:r>
      <w:r>
        <w:rPr>
          <w:rFonts w:ascii="Calibri" w:cs="Calibri" w:eastAsia="Calibri" w:hAnsi="Calibri"/>
          <w:color w:val="1A1A1A"/>
          <w:sz w:val="20"/>
          <w:szCs w:val="20"/>
        </w:rPr>
        <w:t xml:space="preserve"> — auteurs, thèses, controverses universitaires, avis institutionnels.</w:t>
      </w:r>
    </w:p>
    <w:p>
      <w:pPr>
        <w:pStyle w:val="ListParagraph"/>
        <w:numPr>
          <w:ilvl w:val="0"/>
          <w:numId w:val="2"/>
        </w:numPr>
        <w:spacing w:after="60"/>
      </w:pPr>
      <w:r>
        <w:rPr>
          <w:rFonts w:ascii="Calibri" w:cs="Calibri" w:eastAsia="Calibri" w:hAnsi="Calibri"/>
          <w:b/>
          <w:bCs/>
          <w:color w:val="1A1A1A"/>
          <w:sz w:val="20"/>
          <w:szCs w:val="20"/>
        </w:rPr>
        <w:t xml:space="preserve">Gras</w:t>
      </w:r>
      <w:r>
        <w:rPr>
          <w:rFonts w:ascii="Calibri" w:cs="Calibri" w:eastAsia="Calibri" w:hAnsi="Calibri"/>
          <w:color w:val="1A1A1A"/>
          <w:sz w:val="20"/>
          <w:szCs w:val="20"/>
        </w:rPr>
        <w:t xml:space="preserve"> — réservé au seul apport à mémoriser. La couleur dit d’où vient la règle, le gras dit ce qu’il faut réciter.</w:t>
      </w:r>
    </w:p>
    <w:p>
      <w:pPr>
        <w:pStyle w:val="ListParagraph"/>
        <w:numPr>
          <w:ilvl w:val="0"/>
          <w:numId w:val="2"/>
        </w:numPr>
        <w:spacing w:after="300"/>
      </w:pPr>
      <w:r>
        <w:rPr>
          <w:rFonts w:ascii="Calibri" w:cs="Calibri" w:eastAsia="Calibri" w:hAnsi="Calibri"/>
          <w:color w:val="1A1A1A"/>
          <w:sz w:val="20"/>
          <w:szCs w:val="20"/>
        </w:rPr>
        <w:t xml:space="preserve">★</w:t>
      </w:r>
      <w:r>
        <w:rPr>
          <w:rFonts w:ascii="Calibri" w:cs="Calibri" w:eastAsia="Calibri" w:hAnsi="Calibri"/>
          <w:color w:val="1A1A1A"/>
          <w:sz w:val="20"/>
          <w:szCs w:val="20"/>
        </w:rPr>
        <w:t xml:space="preserve"> — référence incontournable, à citer de mémoire le jour J.</w:t>
      </w:r>
    </w:p>
    <w:p>
      <w:pPr>
        <w:spacing w:after="120" w:before="200"/>
      </w:pPr>
      <w:r>
        <w:rPr>
          <w:rFonts w:ascii="Calibri" w:cs="Calibri" w:eastAsia="Calibri" w:hAnsi="Calibri"/>
          <w:b/>
          <w:bCs/>
          <w:color w:val="1A1A1A"/>
          <w:sz w:val="22"/>
          <w:szCs w:val="22"/>
        </w:rPr>
        <w:t xml:space="preserve">SOMMAIRE</w:t>
      </w:r>
    </w:p>
    <w:p>
      <w:pPr>
        <w:pStyle w:val="ListParagraph"/>
        <w:numPr>
          <w:ilvl w:val="0"/>
          <w:numId w:val="2"/>
        </w:numPr>
        <w:spacing w:after="40"/>
      </w:pPr>
      <w:r>
        <w:rPr>
          <w:rFonts w:ascii="Calibri" w:cs="Calibri" w:eastAsia="Calibri" w:hAnsi="Calibri"/>
          <w:color w:val="1A1A1A"/>
          <w:sz w:val="20"/>
          <w:szCs w:val="20"/>
        </w:rPr>
        <w:t xml:space="preserve">Fiche n° 49 — Le droit à un environnement sain</w:t>
      </w:r>
    </w:p>
    <w:p>
      <w:pPr>
        <w:pStyle w:val="ListParagraph"/>
        <w:numPr>
          <w:ilvl w:val="0"/>
          <w:numId w:val="2"/>
        </w:numPr>
        <w:spacing w:after="40"/>
      </w:pPr>
      <w:r>
        <w:rPr>
          <w:rFonts w:ascii="Calibri" w:cs="Calibri" w:eastAsia="Calibri" w:hAnsi="Calibri"/>
          <w:color w:val="1A1A1A"/>
          <w:sz w:val="20"/>
          <w:szCs w:val="20"/>
        </w:rPr>
        <w:t xml:space="preserve">Fiche n° 50 — Le droit au travail</w:t>
      </w:r>
    </w:p>
    <w:p>
      <w:pPr>
        <w:pStyle w:val="ListParagraph"/>
        <w:numPr>
          <w:ilvl w:val="0"/>
          <w:numId w:val="2"/>
        </w:numPr>
        <w:spacing w:after="40"/>
      </w:pPr>
      <w:r>
        <w:rPr>
          <w:rFonts w:ascii="Calibri" w:cs="Calibri" w:eastAsia="Calibri" w:hAnsi="Calibri"/>
          <w:color w:val="1A1A1A"/>
          <w:sz w:val="20"/>
          <w:szCs w:val="20"/>
        </w:rPr>
        <w:t xml:space="preserve">Fiche n° 51 — Le droit au logement</w:t>
      </w:r>
    </w:p>
    <w:p>
      <w:pPr>
        <w:pStyle w:val="ListParagraph"/>
        <w:numPr>
          <w:ilvl w:val="0"/>
          <w:numId w:val="2"/>
        </w:numPr>
        <w:spacing w:after="40"/>
      </w:pPr>
      <w:r>
        <w:rPr>
          <w:rFonts w:ascii="Calibri" w:cs="Calibri" w:eastAsia="Calibri" w:hAnsi="Calibri"/>
          <w:color w:val="1A1A1A"/>
          <w:sz w:val="20"/>
          <w:szCs w:val="20"/>
        </w:rPr>
        <w:t xml:space="preserve">Fiche n° 52 — Le droit à la culture</w:t>
      </w:r>
    </w:p>
    <w:p>
      <w:pPr>
        <w:pStyle w:val="ListParagraph"/>
        <w:numPr>
          <w:ilvl w:val="0"/>
          <w:numId w:val="2"/>
        </w:numPr>
        <w:spacing w:after="40"/>
      </w:pPr>
      <w:r>
        <w:rPr>
          <w:rFonts w:ascii="Calibri" w:cs="Calibri" w:eastAsia="Calibri" w:hAnsi="Calibri"/>
          <w:color w:val="1A1A1A"/>
          <w:sz w:val="20"/>
          <w:szCs w:val="20"/>
        </w:rPr>
        <w:t xml:space="preserve">Fiche n° 53 — Le droit d’asile</w:t>
      </w:r>
    </w:p>
    <w:p>
      <w:pPr>
        <w:pStyle w:val="ListParagraph"/>
        <w:numPr>
          <w:ilvl w:val="0"/>
          <w:numId w:val="2"/>
        </w:numPr>
        <w:spacing w:after="40"/>
      </w:pPr>
      <w:r>
        <w:rPr>
          <w:rFonts w:ascii="Calibri" w:cs="Calibri" w:eastAsia="Calibri" w:hAnsi="Calibri"/>
          <w:color w:val="1A1A1A"/>
          <w:sz w:val="20"/>
          <w:szCs w:val="20"/>
        </w:rPr>
        <w:t xml:space="preserve">Annexe — Compléments à la chronologie et à l’index</w:t>
      </w:r>
    </w:p>
    <w:p>
      <w:pPr>
        <w:spacing w:after="80" w:before="300"/>
      </w:pPr>
      <w:r>
        <w:rPr>
          <w:rFonts w:ascii="Calibri" w:cs="Calibri" w:eastAsia="Calibri" w:hAnsi="Calibri"/>
          <w:i/>
          <w:iCs/>
          <w:color w:val="5A5A5A"/>
          <w:sz w:val="18"/>
          <w:szCs w:val="18"/>
        </w:rPr>
        <w:t xml:space="preserve">Chaque fiche s’ouvre sur une FICHE-MÉMOIRE d’une page — accroche, définition en trois lignes, cinq références incontournables, deux matrices de plan, trois pièges. C’est elle que l’on relit ; les pages suivantes forment le dossier de consultation.</w:t>
      </w:r>
    </w:p>
    <w:p>
      <w:r>
        <w:rPr>
          <w:rFonts w:ascii="Calibri" w:cs="Calibri" w:eastAsia="Calibri" w:hAnsi="Calibri"/>
          <w:i/>
          <w:iCs/>
          <w:color w:val="5A5A5A"/>
          <w:sz w:val="18"/>
          <w:szCs w:val="18"/>
        </w:rPr>
        <w:t xml:space="preserve">Dossier : architecture textuelle — ligne prétorienne et évolutions — débats doctrinaux et critiques — dispositif « Grand Oral » (relances du jury, sujets d’exposé, angles morts formulés en question / réponse pour le rappel actif).</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49 — LE DROIT À UN ENVIRONNEMENT SAIN</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9 avril 2024, plus de deux mille Suissesses de plus de soixante-quatre ans, les « Aînées pour le climat », obtiennent la condamnation de leur pays : l’inaction climatique viole leur droit au respect de la vie privée (</w:t>
      </w:r>
      <w:r>
        <w:rPr>
          <w:rFonts w:ascii="Calibri" w:cs="Calibri" w:eastAsia="Calibri" w:hAnsi="Calibri"/>
          <w:color w:val="E91E63"/>
          <w:sz w:val="20"/>
          <w:szCs w:val="20"/>
        </w:rPr>
        <w:t xml:space="preserve">CEDH [GC], Verein KlimaSeniorinnen Schweiz c. Suisse</w:t>
      </w:r>
      <w:r>
        <w:rPr>
          <w:rFonts w:ascii="Calibri" w:cs="Calibri" w:eastAsia="Calibri" w:hAnsi="Calibri"/>
          <w:color w:val="1A1A1A"/>
          <w:sz w:val="20"/>
          <w:szCs w:val="20"/>
        </w:rPr>
        <w:t xml:space="preserve">). Le même jour, la requête d’un ancien maire de Grande-Synthe est déclarée irrecevable (</w:t>
      </w:r>
      <w:r>
        <w:rPr>
          <w:rFonts w:ascii="Calibri" w:cs="Calibri" w:eastAsia="Calibri" w:hAnsi="Calibri"/>
          <w:color w:val="E91E63"/>
          <w:sz w:val="20"/>
          <w:szCs w:val="20"/>
        </w:rPr>
        <w:t xml:space="preserve">Carême c. France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le droit à un environnement sain est né du droit à la vie privée et peine encore à trouver ses titulaires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 Agis de façon que les effets de ton action soient compatibles avec la permanence d’une vie authentiquement humaine sur terre » (</w:t>
      </w:r>
      <w:r>
        <w:rPr>
          <w:rFonts w:ascii="Calibri" w:cs="Calibri" w:eastAsia="Calibri" w:hAnsi="Calibri"/>
          <w:color w:val="2E7D32"/>
          <w:sz w:val="20"/>
          <w:szCs w:val="20"/>
        </w:rPr>
        <w:t xml:space="preserve">Hans Jonas</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Le Principe responsabilité</w:t>
      </w:r>
      <w:r>
        <w:rPr>
          <w:rFonts w:ascii="Calibri" w:cs="Calibri" w:eastAsia="Calibri" w:hAnsi="Calibri"/>
          <w:color w:val="1A1A1A"/>
          <w:sz w:val="20"/>
          <w:szCs w:val="20"/>
        </w:rPr>
        <w:t xml:space="preserve">, 1979). La Charte de l’environnement de 2004 en a fait une norme constitutionnelle, et le Conseil constitutionnel l’a étendue aux </w:t>
      </w:r>
      <w:r>
        <w:rPr>
          <w:rFonts w:ascii="Calibri" w:cs="Calibri" w:eastAsia="Calibri" w:hAnsi="Calibri"/>
          <w:b/>
          <w:bCs/>
          <w:color w:val="1A1A1A"/>
          <w:sz w:val="20"/>
          <w:szCs w:val="20"/>
        </w:rPr>
        <w:t xml:space="preserve">générations futures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2023-1066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à un environnement sain est le droit de chacun de « vivre dans un environnement équilibré et respectueux de la santé » (</w:t>
      </w:r>
      <w:r>
        <w:rPr>
          <w:rFonts w:ascii="Calibri" w:cs="Calibri" w:eastAsia="Calibri" w:hAnsi="Calibri"/>
          <w:color w:val="1E88E5"/>
          <w:sz w:val="20"/>
          <w:szCs w:val="20"/>
        </w:rPr>
        <w:t xml:space="preserve">art. 1er Charte de l’environnement</w:t>
      </w:r>
      <w:r>
        <w:rPr>
          <w:rFonts w:ascii="Calibri" w:cs="Calibri" w:eastAsia="Calibri" w:hAnsi="Calibri"/>
          <w:color w:val="1A1A1A"/>
          <w:sz w:val="20"/>
          <w:szCs w:val="20"/>
        </w:rPr>
        <w:t xml:space="preserve">) ; il se distingue du </w:t>
      </w:r>
      <w:r>
        <w:rPr>
          <w:rFonts w:ascii="Calibri" w:cs="Calibri" w:eastAsia="Calibri" w:hAnsi="Calibri"/>
          <w:b/>
          <w:bCs/>
          <w:color w:val="1A1A1A"/>
          <w:sz w:val="20"/>
          <w:szCs w:val="20"/>
        </w:rPr>
        <w:t xml:space="preserve">droit de l’environnement</w:t>
      </w:r>
      <w:r>
        <w:rPr>
          <w:rFonts w:ascii="Calibri" w:cs="Calibri" w:eastAsia="Calibri" w:hAnsi="Calibri"/>
          <w:color w:val="1A1A1A"/>
          <w:sz w:val="20"/>
          <w:szCs w:val="20"/>
        </w:rPr>
        <w:t xml:space="preserve">, ensemble des règles objectives de protection de la nature.</w:t>
      </w:r>
    </w:p>
    <w:p>
      <w:pPr>
        <w:pStyle w:val="ListParagraph"/>
        <w:numPr>
          <w:ilvl w:val="0"/>
          <w:numId w:val="2"/>
        </w:numPr>
        <w:spacing w:after="70" w:line="264"/>
        <w:jc w:val="both"/>
      </w:pPr>
      <w:r>
        <w:rPr>
          <w:rFonts w:ascii="Calibri" w:cs="Calibri" w:eastAsia="Calibri" w:hAnsi="Calibri"/>
          <w:color w:val="1A1A1A"/>
          <w:sz w:val="20"/>
          <w:szCs w:val="20"/>
        </w:rPr>
        <w:t xml:space="preserve">Il est un droit </w:t>
      </w:r>
      <w:r>
        <w:rPr>
          <w:rFonts w:ascii="Calibri" w:cs="Calibri" w:eastAsia="Calibri" w:hAnsi="Calibri"/>
          <w:b/>
          <w:bCs/>
          <w:color w:val="1A1A1A"/>
          <w:sz w:val="20"/>
          <w:szCs w:val="20"/>
        </w:rPr>
        <w:t xml:space="preserve">constitutionnel</w:t>
      </w:r>
      <w:r>
        <w:rPr>
          <w:rFonts w:ascii="Calibri" w:cs="Calibri" w:eastAsia="Calibri" w:hAnsi="Calibri"/>
          <w:color w:val="1A1A1A"/>
          <w:sz w:val="20"/>
          <w:szCs w:val="20"/>
        </w:rPr>
        <w:t xml:space="preserve"> invocable en QPC et en référé-liberté en France ; en Europe, il n’existe que </w:t>
      </w:r>
      <w:r>
        <w:rPr>
          <w:rFonts w:ascii="Calibri" w:cs="Calibri" w:eastAsia="Calibri" w:hAnsi="Calibri"/>
          <w:b/>
          <w:bCs/>
          <w:color w:val="1A1A1A"/>
          <w:sz w:val="20"/>
          <w:szCs w:val="20"/>
        </w:rPr>
        <w:t xml:space="preserve">par ricochet</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 et 8 CEDH</w:t>
      </w:r>
      <w:r>
        <w:rPr>
          <w:rFonts w:ascii="Calibri" w:cs="Calibri" w:eastAsia="Calibri" w:hAnsi="Calibri"/>
          <w:color w:val="1A1A1A"/>
          <w:sz w:val="20"/>
          <w:szCs w:val="20"/>
        </w:rPr>
        <w:t xml:space="preserve">), avec des obligations positives de prévention, d’information et d’enquête, et, depuis 2024, une obligation d’action climatique.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Charte de l’environnement</w:t>
      </w:r>
      <w:r>
        <w:rPr>
          <w:rFonts w:ascii="Calibri" w:cs="Calibri" w:eastAsia="Calibri" w:hAnsi="Calibri"/>
          <w:color w:val="1A1A1A"/>
          <w:sz w:val="20"/>
          <w:szCs w:val="20"/>
        </w:rPr>
        <w:t xml:space="preserve">, art. 1er à 7 (</w:t>
      </w:r>
      <w:r>
        <w:rPr>
          <w:rFonts w:ascii="Calibri" w:cs="Calibri" w:eastAsia="Calibri" w:hAnsi="Calibri"/>
          <w:color w:val="1E88E5"/>
          <w:sz w:val="20"/>
          <w:szCs w:val="20"/>
        </w:rPr>
        <w:t xml:space="preserve">loi constitutionnelle du 1er mars 2005</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Déclaration de Stockholm (1972)</w:t>
      </w:r>
      <w:r>
        <w:rPr>
          <w:rFonts w:ascii="Calibri" w:cs="Calibri" w:eastAsia="Calibri" w:hAnsi="Calibri"/>
          <w:color w:val="1A1A1A"/>
          <w:sz w:val="20"/>
          <w:szCs w:val="20"/>
        </w:rPr>
        <w:t xml:space="preserve">, principe 1 ; </w:t>
      </w:r>
      <w:r>
        <w:rPr>
          <w:rFonts w:ascii="Calibri" w:cs="Calibri" w:eastAsia="Calibri" w:hAnsi="Calibri"/>
          <w:color w:val="1E88E5"/>
          <w:sz w:val="20"/>
          <w:szCs w:val="20"/>
        </w:rPr>
        <w:t xml:space="preserve">Accord de Paris (12 décembre 2015)</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résolution 76/300 de l’Assemblée générale des Nations unies (28 juillet 2022)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9 décembre 1994, López Ostra c. Espagne, n° 16798/90</w:t>
      </w:r>
      <w:r>
        <w:rPr>
          <w:rFonts w:ascii="Calibri" w:cs="Calibri" w:eastAsia="Calibri" w:hAnsi="Calibri"/>
          <w:color w:val="1A1A1A"/>
          <w:sz w:val="20"/>
          <w:szCs w:val="20"/>
        </w:rPr>
        <w:t xml:space="preserve"> : des atteintes graves à l’environnement peuvent affecter le bien-être et la jouissance du domicile au point de violer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9 avril 2024, Verein KlimaSeniorinnen Schweiz et autres c. Suisse, n° 53600/20</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comprend un droit à une protection effective contre les effets graves du changement climatique ; violation des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6 § 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2011-116 QPC, 8 avril 2011, Michel Z.</w:t>
      </w:r>
      <w:r>
        <w:rPr>
          <w:rFonts w:ascii="Calibri" w:cs="Calibri" w:eastAsia="Calibri" w:hAnsi="Calibri"/>
          <w:color w:val="1A1A1A"/>
          <w:sz w:val="20"/>
          <w:szCs w:val="20"/>
        </w:rPr>
        <w:t xml:space="preserve"> : les droits et devoirs de la Charte ont valeur constitutionnelle et s’imposent à tous ; obligation de </w:t>
      </w:r>
      <w:r>
        <w:rPr>
          <w:rFonts w:ascii="Calibri" w:cs="Calibri" w:eastAsia="Calibri" w:hAnsi="Calibri"/>
          <w:b/>
          <w:bCs/>
          <w:color w:val="1A1A1A"/>
          <w:sz w:val="20"/>
          <w:szCs w:val="20"/>
        </w:rPr>
        <w:t xml:space="preserve">vigilance</w:t>
      </w:r>
      <w:r>
        <w:rPr>
          <w:rFonts w:ascii="Calibri" w:cs="Calibri" w:eastAsia="Calibri" w:hAnsi="Calibri"/>
          <w:color w:val="1A1A1A"/>
          <w:sz w:val="20"/>
          <w:szCs w:val="20"/>
        </w:rPr>
        <w:t xml:space="preserve"> à l’égard des atteintes à l’environnement.</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1er juillet 2021, Commune de Grande-Synthe, n° 427301</w:t>
      </w:r>
      <w:r>
        <w:rPr>
          <w:rFonts w:ascii="Calibri" w:cs="Calibri" w:eastAsia="Calibri" w:hAnsi="Calibri"/>
          <w:color w:val="1A1A1A"/>
          <w:sz w:val="20"/>
          <w:szCs w:val="20"/>
        </w:rPr>
        <w:t xml:space="preserve"> : injonction au Gouvernement de prendre les mesures permettant d’infléchir la courbe des émissions pour atteindre l’objectif de réduction de 40 % en 2030.</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à un environnement sain, droit fondamental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 consacré</w:t>
      </w:r>
      <w:r>
        <w:rPr>
          <w:rFonts w:ascii="Calibri" w:cs="Calibri" w:eastAsia="Calibri" w:hAnsi="Calibri"/>
          <w:color w:val="1A1A1A"/>
          <w:sz w:val="20"/>
          <w:szCs w:val="20"/>
        </w:rPr>
        <w:t xml:space="preserve"> (A. Une consécration constitutionnelle : Charte, </w:t>
      </w:r>
      <w:r>
        <w:rPr>
          <w:rFonts w:ascii="Calibri" w:cs="Calibri" w:eastAsia="Calibri" w:hAnsi="Calibri"/>
          <w:color w:val="E91E63"/>
          <w:sz w:val="20"/>
          <w:szCs w:val="20"/>
        </w:rPr>
        <w:t xml:space="preserve">2011-116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2019-823 QPC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2023-1066 QPC</w:t>
      </w:r>
      <w:r>
        <w:rPr>
          <w:rFonts w:ascii="Calibri" w:cs="Calibri" w:eastAsia="Calibri" w:hAnsi="Calibri"/>
          <w:color w:val="1A1A1A"/>
          <w:sz w:val="20"/>
          <w:szCs w:val="20"/>
        </w:rPr>
        <w:t xml:space="preserve"> ; B. Une liberté fondamentale invocable : </w:t>
      </w:r>
      <w:r>
        <w:rPr>
          <w:rFonts w:ascii="Calibri" w:cs="Calibri" w:eastAsia="Calibri" w:hAnsi="Calibri"/>
          <w:color w:val="E91E63"/>
          <w:sz w:val="20"/>
          <w:szCs w:val="20"/>
        </w:rPr>
        <w:t xml:space="preserve">CE, 20 septembre 2022</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 droit à l’effectivité conditionnée</w:t>
      </w:r>
      <w:r>
        <w:rPr>
          <w:rFonts w:ascii="Calibri" w:cs="Calibri" w:eastAsia="Calibri" w:hAnsi="Calibri"/>
          <w:color w:val="1A1A1A"/>
          <w:sz w:val="20"/>
          <w:szCs w:val="20"/>
        </w:rPr>
        <w:t xml:space="preserve"> (A. Une protection européenne par ricochet : </w:t>
      </w:r>
      <w:r>
        <w:rPr>
          <w:rFonts w:ascii="Calibri" w:cs="Calibri" w:eastAsia="Calibri" w:hAnsi="Calibri"/>
          <w:color w:val="E91E63"/>
          <w:sz w:val="20"/>
          <w:szCs w:val="20"/>
        </w:rPr>
        <w:t xml:space="preserve">López Ostra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Öneryıldız</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Cannavacciuolo</w:t>
      </w:r>
      <w:r>
        <w:rPr>
          <w:rFonts w:ascii="Calibri" w:cs="Calibri" w:eastAsia="Calibri" w:hAnsi="Calibri"/>
          <w:color w:val="1A1A1A"/>
          <w:sz w:val="20"/>
          <w:szCs w:val="20"/>
        </w:rPr>
        <w:t xml:space="preserve"> ; B. Une conciliation avec d’autres intérêts : </w:t>
      </w:r>
      <w:r>
        <w:rPr>
          <w:rFonts w:ascii="Calibri" w:cs="Calibri" w:eastAsia="Calibri" w:hAnsi="Calibri"/>
          <w:color w:val="E91E63"/>
          <w:sz w:val="20"/>
          <w:szCs w:val="20"/>
        </w:rPr>
        <w:t xml:space="preserve">2025-891 DC</w:t>
      </w:r>
      <w:r>
        <w:rPr>
          <w:rFonts w:ascii="Calibri" w:cs="Calibri" w:eastAsia="Calibri" w:hAnsi="Calibri"/>
          <w:color w:val="1A1A1A"/>
          <w:sz w:val="20"/>
          <w:szCs w:val="20"/>
        </w:rPr>
        <w:t xml:space="preserve"> (censure), </w:t>
      </w:r>
      <w:r>
        <w:rPr>
          <w:rFonts w:ascii="Calibri" w:cs="Calibri" w:eastAsia="Calibri" w:hAnsi="Calibri"/>
          <w:color w:val="E91E63"/>
          <w:sz w:val="20"/>
          <w:szCs w:val="20"/>
        </w:rPr>
        <w:t xml:space="preserve">2026-914 DC</w:t>
      </w:r>
      <w:r>
        <w:rPr>
          <w:rFonts w:ascii="Calibri" w:cs="Calibri" w:eastAsia="Calibri" w:hAnsi="Calibri"/>
          <w:color w:val="1A1A1A"/>
          <w:sz w:val="20"/>
          <w:szCs w:val="20"/>
        </w:rPr>
        <w:t xml:space="preserve"> (validation sous réserves)).</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juge et le climat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L’émergence d’un contentieux climatique</w:t>
      </w:r>
      <w:r>
        <w:rPr>
          <w:rFonts w:ascii="Calibri" w:cs="Calibri" w:eastAsia="Calibri" w:hAnsi="Calibri"/>
          <w:color w:val="1A1A1A"/>
          <w:sz w:val="20"/>
          <w:szCs w:val="20"/>
        </w:rPr>
        <w:t xml:space="preserve"> (A. Le juge administratif : </w:t>
      </w:r>
      <w:r>
        <w:rPr>
          <w:rFonts w:ascii="Calibri" w:cs="Calibri" w:eastAsia="Calibri" w:hAnsi="Calibri"/>
          <w:color w:val="E91E63"/>
          <w:sz w:val="20"/>
          <w:szCs w:val="20"/>
        </w:rPr>
        <w:t xml:space="preserve">Grande-Synthe</w:t>
      </w:r>
      <w:r>
        <w:rPr>
          <w:rFonts w:ascii="Calibri" w:cs="Calibri" w:eastAsia="Calibri" w:hAnsi="Calibri"/>
          <w:color w:val="1A1A1A"/>
          <w:sz w:val="20"/>
          <w:szCs w:val="20"/>
        </w:rPr>
        <w:t xml:space="preserve">, « Affaire du siècle » ; B. Le juge européen : </w:t>
      </w:r>
      <w:r>
        <w:rPr>
          <w:rFonts w:ascii="Calibri" w:cs="Calibri" w:eastAsia="Calibri" w:hAnsi="Calibri"/>
          <w:color w:val="E91E63"/>
          <w:sz w:val="20"/>
          <w:szCs w:val="20"/>
        </w:rPr>
        <w:t xml:space="preserve">KlimaSeniorinnen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Les limites de l’office du juge</w:t>
      </w:r>
      <w:r>
        <w:rPr>
          <w:rFonts w:ascii="Calibri" w:cs="Calibri" w:eastAsia="Calibri" w:hAnsi="Calibri"/>
          <w:color w:val="1A1A1A"/>
          <w:sz w:val="20"/>
          <w:szCs w:val="20"/>
        </w:rPr>
        <w:t xml:space="preserve"> (A. La qualité pour agir : </w:t>
      </w:r>
      <w:r>
        <w:rPr>
          <w:rFonts w:ascii="Calibri" w:cs="Calibri" w:eastAsia="Calibri" w:hAnsi="Calibri"/>
          <w:color w:val="E91E63"/>
          <w:sz w:val="20"/>
          <w:szCs w:val="20"/>
        </w:rPr>
        <w:t xml:space="preserve">Carême c. France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Duarte Agostinho</w:t>
      </w:r>
      <w:r>
        <w:rPr>
          <w:rFonts w:ascii="Calibri" w:cs="Calibri" w:eastAsia="Calibri" w:hAnsi="Calibri"/>
          <w:color w:val="1A1A1A"/>
          <w:sz w:val="20"/>
          <w:szCs w:val="20"/>
        </w:rPr>
        <w:t xml:space="preserve"> ; B. Le respect de la marge politique : choix des moyens laissé aux États, exécution des injonctions (</w:t>
      </w:r>
      <w:r>
        <w:rPr>
          <w:rFonts w:ascii="Calibri" w:cs="Calibri" w:eastAsia="Calibri" w:hAnsi="Calibri"/>
          <w:color w:val="E91E63"/>
          <w:sz w:val="20"/>
          <w:szCs w:val="20"/>
        </w:rPr>
        <w:t xml:space="preserve">CE, 10 mai 2023</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KlimaSeniorinnen n’est pas un arrêt sur l’article 2</w:t>
      </w:r>
      <w:r>
        <w:rPr>
          <w:rFonts w:ascii="Calibri" w:cs="Calibri" w:eastAsia="Calibri" w:hAnsi="Calibri"/>
          <w:color w:val="1A1A1A"/>
          <w:sz w:val="20"/>
          <w:szCs w:val="20"/>
        </w:rPr>
        <w:t xml:space="preserve"> : la Grande Chambre a statué sur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et l’</w:t>
      </w:r>
      <w:r>
        <w:rPr>
          <w:rFonts w:ascii="Calibri" w:cs="Calibri" w:eastAsia="Calibri" w:hAnsi="Calibri"/>
          <w:color w:val="1E88E5"/>
          <w:sz w:val="20"/>
          <w:szCs w:val="20"/>
        </w:rPr>
        <w:t xml:space="preserve">art. 6 § 1</w:t>
      </w:r>
      <w:r>
        <w:rPr>
          <w:rFonts w:ascii="Calibri" w:cs="Calibri" w:eastAsia="Calibri" w:hAnsi="Calibri"/>
          <w:color w:val="1A1A1A"/>
          <w:sz w:val="20"/>
          <w:szCs w:val="20"/>
        </w:rPr>
        <w:t xml:space="preserve"> ; seule l’</w:t>
      </w:r>
      <w:r>
        <w:rPr>
          <w:rFonts w:ascii="Calibri" w:cs="Calibri" w:eastAsia="Calibri" w:hAnsi="Calibri"/>
          <w:b/>
          <w:bCs/>
          <w:color w:val="1A1A1A"/>
          <w:sz w:val="20"/>
          <w:szCs w:val="20"/>
        </w:rPr>
        <w:t xml:space="preserve">association</w:t>
      </w:r>
      <w:r>
        <w:rPr>
          <w:rFonts w:ascii="Calibri" w:cs="Calibri" w:eastAsia="Calibri" w:hAnsi="Calibri"/>
          <w:color w:val="1A1A1A"/>
          <w:sz w:val="20"/>
          <w:szCs w:val="20"/>
        </w:rPr>
        <w:t xml:space="preserve"> a eu qualité de victime, les quatre requérantes individuelles ayant été écartées. L’</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joue en revanche pour les activités dangereuses (</w:t>
      </w:r>
      <w:r>
        <w:rPr>
          <w:rFonts w:ascii="Calibri" w:cs="Calibri" w:eastAsia="Calibri" w:hAnsi="Calibri"/>
          <w:color w:val="E91E63"/>
          <w:sz w:val="20"/>
          <w:szCs w:val="20"/>
        </w:rPr>
        <w:t xml:space="preserve">Öneryıldız</w:t>
      </w:r>
      <w:r>
        <w:rPr>
          <w:rFonts w:ascii="Calibri" w:cs="Calibri" w:eastAsia="Calibri" w:hAnsi="Calibri"/>
          <w:color w:val="1A1A1A"/>
          <w:sz w:val="20"/>
          <w:szCs w:val="20"/>
        </w:rPr>
        <w:t xml:space="preserve">, 2004 ; </w:t>
      </w:r>
      <w:r>
        <w:rPr>
          <w:rFonts w:ascii="Calibri" w:cs="Calibri" w:eastAsia="Calibri" w:hAnsi="Calibri"/>
          <w:color w:val="E91E63"/>
          <w:sz w:val="20"/>
          <w:szCs w:val="20"/>
        </w:rPr>
        <w:t xml:space="preserve">Cannavacciuolo</w:t>
      </w:r>
      <w:r>
        <w:rPr>
          <w:rFonts w:ascii="Calibri" w:cs="Calibri" w:eastAsia="Calibri" w:hAnsi="Calibri"/>
          <w:color w:val="1A1A1A"/>
          <w:sz w:val="20"/>
          <w:szCs w:val="20"/>
        </w:rPr>
        <w:t xml:space="preserve">, 2025).</w:t>
      </w:r>
    </w:p>
    <w:p>
      <w:pPr>
        <w:pStyle w:val="ListParagraph"/>
        <w:numPr>
          <w:ilvl w:val="0"/>
          <w:numId w:val="2"/>
        </w:numPr>
        <w:spacing w:after="70" w:line="264"/>
        <w:jc w:val="both"/>
      </w:pPr>
      <w:r>
        <w:rPr>
          <w:rFonts w:ascii="Calibri" w:cs="Calibri" w:eastAsia="Calibri" w:hAnsi="Calibri"/>
          <w:b/>
          <w:bCs/>
          <w:color w:val="1A1A1A"/>
          <w:sz w:val="20"/>
          <w:szCs w:val="20"/>
        </w:rPr>
        <w:t xml:space="preserve">Guerra et Fadeïeva relèvent de l’article 8</w:t>
      </w:r>
      <w:r>
        <w:rPr>
          <w:rFonts w:ascii="Calibri" w:cs="Calibri" w:eastAsia="Calibri" w:hAnsi="Calibri"/>
          <w:color w:val="1A1A1A"/>
          <w:sz w:val="20"/>
          <w:szCs w:val="20"/>
        </w:rPr>
        <w:t xml:space="preserve"> : le fascicule les présente comme des applications de l’</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 dans </w:t>
      </w:r>
      <w:r>
        <w:rPr>
          <w:rFonts w:ascii="Calibri" w:cs="Calibri" w:eastAsia="Calibri" w:hAnsi="Calibri"/>
          <w:color w:val="E91E63"/>
          <w:sz w:val="20"/>
          <w:szCs w:val="20"/>
        </w:rPr>
        <w:t xml:space="preserve">Guerra c. Italie</w:t>
      </w:r>
      <w:r>
        <w:rPr>
          <w:rFonts w:ascii="Calibri" w:cs="Calibri" w:eastAsia="Calibri" w:hAnsi="Calibri"/>
          <w:color w:val="1A1A1A"/>
          <w:sz w:val="20"/>
          <w:szCs w:val="20"/>
        </w:rPr>
        <w:t xml:space="preserve"> (GC, 1998), la Cour juge inutile d’examiner l’</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et condamne sur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(défaut d’information) ; </w:t>
      </w:r>
      <w:r>
        <w:rPr>
          <w:rFonts w:ascii="Calibri" w:cs="Calibri" w:eastAsia="Calibri" w:hAnsi="Calibri"/>
          <w:color w:val="E91E63"/>
          <w:sz w:val="20"/>
          <w:szCs w:val="20"/>
        </w:rPr>
        <w:t xml:space="preserve">Fadeïeva c. Russie</w:t>
      </w:r>
      <w:r>
        <w:rPr>
          <w:rFonts w:ascii="Calibri" w:cs="Calibri" w:eastAsia="Calibri" w:hAnsi="Calibri"/>
          <w:color w:val="1A1A1A"/>
          <w:sz w:val="20"/>
          <w:szCs w:val="20"/>
        </w:rPr>
        <w:t xml:space="preserve"> (9 juin 2005) est un arrêt sur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Accord de Paris</w:t>
      </w:r>
      <w:r>
        <w:rPr>
          <w:rFonts w:ascii="Calibri" w:cs="Calibri" w:eastAsia="Calibri" w:hAnsi="Calibri"/>
          <w:color w:val="1A1A1A"/>
          <w:sz w:val="20"/>
          <w:szCs w:val="20"/>
        </w:rPr>
        <w:t xml:space="preserve"> : l’objectif est de contenir le réchauffement « </w:t>
      </w:r>
      <w:r>
        <w:rPr>
          <w:rFonts w:ascii="Calibri" w:cs="Calibri" w:eastAsia="Calibri" w:hAnsi="Calibri"/>
          <w:b/>
          <w:bCs/>
          <w:color w:val="1A1A1A"/>
          <w:sz w:val="20"/>
          <w:szCs w:val="20"/>
        </w:rPr>
        <w:t xml:space="preserve">nettement en dessous de 2 °C</w:t>
      </w:r>
      <w:r>
        <w:rPr>
          <w:rFonts w:ascii="Calibri" w:cs="Calibri" w:eastAsia="Calibri" w:hAnsi="Calibri"/>
          <w:color w:val="1A1A1A"/>
          <w:sz w:val="20"/>
          <w:szCs w:val="20"/>
        </w:rPr>
        <w:t xml:space="preserve"> » et de poursuivre l’action pour le limiter à </w:t>
      </w:r>
      <w:r>
        <w:rPr>
          <w:rFonts w:ascii="Calibri" w:cs="Calibri" w:eastAsia="Calibri" w:hAnsi="Calibri"/>
          <w:b/>
          <w:bCs/>
          <w:color w:val="1A1A1A"/>
          <w:sz w:val="20"/>
          <w:szCs w:val="20"/>
        </w:rPr>
        <w:t xml:space="preserve">1,5 °C</w:t>
      </w:r>
      <w:r>
        <w:rPr>
          <w:rFonts w:ascii="Calibri" w:cs="Calibri" w:eastAsia="Calibri" w:hAnsi="Calibri"/>
          <w:color w:val="1A1A1A"/>
          <w:sz w:val="20"/>
          <w:szCs w:val="20"/>
        </w:rPr>
        <w:t xml:space="preserve"> par rapport aux niveaux préindustriels — non de « limiter à 2 °C d’ici 2100 ».</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Déclaration de Stockholm (16 juin 1972)</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Déclaration de Rio (1992)</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Convention-cadre des Nations unies sur les changements climatiques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Protocole de Kyoto (1997)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Accord de Paris (2015)</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d’Aarhus (25 juin 1998)</w:t>
      </w:r>
      <w:r>
        <w:rPr>
          <w:rFonts w:ascii="Calibri" w:cs="Calibri" w:eastAsia="Calibri" w:hAnsi="Calibri"/>
          <w:color w:val="1A1A1A"/>
          <w:sz w:val="20"/>
          <w:szCs w:val="20"/>
        </w:rPr>
        <w:t xml:space="preserve"> (information, participation, accès à la justice) ; </w:t>
      </w:r>
      <w:r>
        <w:rPr>
          <w:rFonts w:ascii="Calibri" w:cs="Calibri" w:eastAsia="Calibri" w:hAnsi="Calibri"/>
          <w:color w:val="1E88E5"/>
          <w:sz w:val="20"/>
          <w:szCs w:val="20"/>
        </w:rPr>
        <w:t xml:space="preserve">résolution 48/13 du Conseil des droits de l’homme (8 octobre 2021)</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résolution 76/300 de l’Assemblée générale (28 juillet 2022)</w:t>
      </w:r>
      <w:r>
        <w:rPr>
          <w:rFonts w:ascii="Calibri" w:cs="Calibri" w:eastAsia="Calibri" w:hAnsi="Calibri"/>
          <w:color w:val="1A1A1A"/>
          <w:sz w:val="20"/>
          <w:szCs w:val="20"/>
        </w:rPr>
        <w:t xml:space="preserve"> reconnaissant le droit à un environnement propre, sain et durable ; avis consultatifs du </w:t>
      </w:r>
      <w:r>
        <w:rPr>
          <w:rFonts w:ascii="Calibri" w:cs="Calibri" w:eastAsia="Calibri" w:hAnsi="Calibri"/>
          <w:color w:val="E91E63"/>
          <w:sz w:val="20"/>
          <w:szCs w:val="20"/>
        </w:rPr>
        <w:t xml:space="preserve">Tribunal international du droit de la mer (21 mai 2024)</w:t>
      </w:r>
      <w:r>
        <w:rPr>
          <w:rFonts w:ascii="Calibri" w:cs="Calibri" w:eastAsia="Calibri" w:hAnsi="Calibri"/>
          <w:color w:val="1A1A1A"/>
          <w:sz w:val="20"/>
          <w:szCs w:val="20"/>
        </w:rPr>
        <w:t xml:space="preserve"> et de la </w:t>
      </w:r>
      <w:r>
        <w:rPr>
          <w:rFonts w:ascii="Calibri" w:cs="Calibri" w:eastAsia="Calibri" w:hAnsi="Calibri"/>
          <w:color w:val="E91E63"/>
          <w:sz w:val="20"/>
          <w:szCs w:val="20"/>
        </w:rPr>
        <w:t xml:space="preserve">Cour internationale de justice (23 juillet 2025)</w:t>
      </w:r>
      <w:r>
        <w:rPr>
          <w:rFonts w:ascii="Calibri" w:cs="Calibri" w:eastAsia="Calibri" w:hAnsi="Calibri"/>
          <w:color w:val="1A1A1A"/>
          <w:sz w:val="20"/>
          <w:szCs w:val="20"/>
        </w:rPr>
        <w:t xml:space="preserve"> sur les obligations climatiques des États.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pas de droit autonome dans la Convention (</w:t>
      </w:r>
      <w:r>
        <w:rPr>
          <w:rFonts w:ascii="Calibri" w:cs="Calibri" w:eastAsia="Calibri" w:hAnsi="Calibri"/>
          <w:color w:val="E91E63"/>
          <w:sz w:val="20"/>
          <w:szCs w:val="20"/>
        </w:rPr>
        <w:t xml:space="preserve">CEDH, 22 mai 2003, Kyrtatos c. Grèce</w:t>
      </w:r>
      <w:r>
        <w:rPr>
          <w:rFonts w:ascii="Calibri" w:cs="Calibri" w:eastAsia="Calibri" w:hAnsi="Calibri"/>
          <w:color w:val="1A1A1A"/>
          <w:sz w:val="20"/>
          <w:szCs w:val="20"/>
        </w:rPr>
        <w:t xml:space="preserve">) ; protection par ricochet (</w:t>
      </w:r>
      <w:r>
        <w:rPr>
          <w:rFonts w:ascii="Calibri" w:cs="Calibri" w:eastAsia="Calibri" w:hAnsi="Calibri"/>
          <w:color w:val="1E88E5"/>
          <w:sz w:val="20"/>
          <w:szCs w:val="20"/>
        </w:rPr>
        <w:t xml:space="preserve">art. 2, 3, 6, 8, 10, 13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37 CDFUE</w:t>
      </w:r>
      <w:r>
        <w:rPr>
          <w:rFonts w:ascii="Calibri" w:cs="Calibri" w:eastAsia="Calibri" w:hAnsi="Calibri"/>
          <w:color w:val="1A1A1A"/>
          <w:sz w:val="20"/>
          <w:szCs w:val="20"/>
        </w:rPr>
        <w:t xml:space="preserve"> (niveau élevé de protection de l’environnement, principe et non droit subjectif) ; </w:t>
      </w:r>
      <w:r>
        <w:rPr>
          <w:rFonts w:ascii="Calibri" w:cs="Calibri" w:eastAsia="Calibri" w:hAnsi="Calibri"/>
          <w:color w:val="1E88E5"/>
          <w:sz w:val="20"/>
          <w:szCs w:val="20"/>
        </w:rPr>
        <w:t xml:space="preserve">art. 191 TFUE</w:t>
      </w:r>
      <w:r>
        <w:rPr>
          <w:rFonts w:ascii="Calibri" w:cs="Calibri" w:eastAsia="Calibri" w:hAnsi="Calibri"/>
          <w:color w:val="1A1A1A"/>
          <w:sz w:val="20"/>
          <w:szCs w:val="20"/>
        </w:rPr>
        <w:t xml:space="preserve"> (précaution, prévention, pollueur-payeur).</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Charte de l’environnement</w:t>
      </w:r>
      <w:r>
        <w:rPr>
          <w:rFonts w:ascii="Calibri" w:cs="Calibri" w:eastAsia="Calibri" w:hAnsi="Calibri"/>
          <w:color w:val="1A1A1A"/>
          <w:sz w:val="20"/>
          <w:szCs w:val="20"/>
        </w:rPr>
        <w:t xml:space="preserve"> — préambule (environnement, « patrimoine commun des êtres humains »), </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(droit),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(devoir de préservation),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(prévention), </w:t>
      </w:r>
      <w:r>
        <w:rPr>
          <w:rFonts w:ascii="Calibri" w:cs="Calibri" w:eastAsia="Calibri" w:hAnsi="Calibri"/>
          <w:color w:val="1E88E5"/>
          <w:sz w:val="20"/>
          <w:szCs w:val="20"/>
        </w:rPr>
        <w:t xml:space="preserve">art. 4</w:t>
      </w:r>
      <w:r>
        <w:rPr>
          <w:rFonts w:ascii="Calibri" w:cs="Calibri" w:eastAsia="Calibri" w:hAnsi="Calibri"/>
          <w:color w:val="1A1A1A"/>
          <w:sz w:val="20"/>
          <w:szCs w:val="20"/>
        </w:rPr>
        <w:t xml:space="preserve"> (réparation), </w:t>
      </w:r>
      <w:r>
        <w:rPr>
          <w:rFonts w:ascii="Calibri" w:cs="Calibri" w:eastAsia="Calibri" w:hAnsi="Calibri"/>
          <w:color w:val="1E88E5"/>
          <w:sz w:val="20"/>
          <w:szCs w:val="20"/>
        </w:rPr>
        <w:t xml:space="preserve">art. 5</w:t>
      </w:r>
      <w:r>
        <w:rPr>
          <w:rFonts w:ascii="Calibri" w:cs="Calibri" w:eastAsia="Calibri" w:hAnsi="Calibri"/>
          <w:color w:val="1A1A1A"/>
          <w:sz w:val="20"/>
          <w:szCs w:val="20"/>
        </w:rPr>
        <w:t xml:space="preserve"> (précaution),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(développement durable), </w:t>
      </w:r>
      <w:r>
        <w:rPr>
          <w:rFonts w:ascii="Calibri" w:cs="Calibri" w:eastAsia="Calibri" w:hAnsi="Calibri"/>
          <w:color w:val="1E88E5"/>
          <w:sz w:val="20"/>
          <w:szCs w:val="20"/>
        </w:rPr>
        <w:t xml:space="preserve">art. 7</w:t>
      </w:r>
      <w:r>
        <w:rPr>
          <w:rFonts w:ascii="Calibri" w:cs="Calibri" w:eastAsia="Calibri" w:hAnsi="Calibri"/>
          <w:color w:val="1A1A1A"/>
          <w:sz w:val="20"/>
          <w:szCs w:val="20"/>
        </w:rPr>
        <w:t xml:space="preserve"> (information et participation) ; intégrée au bloc de constitutionnalité (</w:t>
      </w:r>
      <w:r>
        <w:rPr>
          <w:rFonts w:ascii="Calibri" w:cs="Calibri" w:eastAsia="Calibri" w:hAnsi="Calibri"/>
          <w:color w:val="E91E63"/>
          <w:sz w:val="20"/>
          <w:szCs w:val="20"/>
        </w:rPr>
        <w:t xml:space="preserve">2008-564 DC, 19 juin 2008, OGM</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3 octobre 2008, Commune d’Annecy</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législatif</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L. 110-1 et L. 110-2 C. env.</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1246 à 1252 C. civ.</w:t>
      </w:r>
      <w:r>
        <w:rPr>
          <w:rFonts w:ascii="Calibri" w:cs="Calibri" w:eastAsia="Calibri" w:hAnsi="Calibri"/>
          <w:color w:val="1A1A1A"/>
          <w:sz w:val="20"/>
          <w:szCs w:val="20"/>
        </w:rPr>
        <w:t xml:space="preserve"> (préjudice écologique, </w:t>
      </w:r>
      <w:r>
        <w:rPr>
          <w:rFonts w:ascii="Calibri" w:cs="Calibri" w:eastAsia="Calibri" w:hAnsi="Calibri"/>
          <w:color w:val="1E88E5"/>
          <w:sz w:val="20"/>
          <w:szCs w:val="20"/>
        </w:rPr>
        <w:t xml:space="preserve">loi du 8 août 2016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Climat et résilience du 22 août 2021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la jurisprudence a fait passer l’environnement du statut d’</w:t>
      </w:r>
      <w:r>
        <w:rPr>
          <w:rFonts w:ascii="Calibri" w:cs="Calibri" w:eastAsia="Calibri" w:hAnsi="Calibri"/>
          <w:b/>
          <w:bCs/>
          <w:color w:val="1A1A1A"/>
          <w:sz w:val="20"/>
          <w:szCs w:val="20"/>
        </w:rPr>
        <w:t xml:space="preserve">intérêt général</w:t>
      </w:r>
      <w:r>
        <w:rPr>
          <w:rFonts w:ascii="Calibri" w:cs="Calibri" w:eastAsia="Calibri" w:hAnsi="Calibri"/>
          <w:color w:val="1A1A1A"/>
          <w:sz w:val="20"/>
          <w:szCs w:val="20"/>
        </w:rPr>
        <w:t xml:space="preserve"> justifiant des restrictions aux libertés (police, ordre public, salubrité) à celui de </w:t>
      </w:r>
      <w:r>
        <w:rPr>
          <w:rFonts w:ascii="Calibri" w:cs="Calibri" w:eastAsia="Calibri" w:hAnsi="Calibri"/>
          <w:b/>
          <w:bCs/>
          <w:color w:val="1A1A1A"/>
          <w:sz w:val="20"/>
          <w:szCs w:val="20"/>
        </w:rPr>
        <w:t xml:space="preserve">droit</w:t>
      </w:r>
      <w:r>
        <w:rPr>
          <w:rFonts w:ascii="Calibri" w:cs="Calibri" w:eastAsia="Calibri" w:hAnsi="Calibri"/>
          <w:color w:val="1A1A1A"/>
          <w:sz w:val="20"/>
          <w:szCs w:val="20"/>
        </w:rPr>
        <w:t xml:space="preserve"> opposable à l’État et au législateur — puis de </w:t>
      </w:r>
      <w:r>
        <w:rPr>
          <w:rFonts w:ascii="Calibri" w:cs="Calibri" w:eastAsia="Calibri" w:hAnsi="Calibri"/>
          <w:b/>
          <w:bCs/>
          <w:color w:val="1A1A1A"/>
          <w:sz w:val="20"/>
          <w:szCs w:val="20"/>
        </w:rPr>
        <w:t xml:space="preserve">limite</w:t>
      </w:r>
      <w:r>
        <w:rPr>
          <w:rFonts w:ascii="Calibri" w:cs="Calibri" w:eastAsia="Calibri" w:hAnsi="Calibri"/>
          <w:color w:val="1A1A1A"/>
          <w:sz w:val="20"/>
          <w:szCs w:val="20"/>
        </w:rPr>
        <w:t xml:space="preserve"> aux autres libertés (</w:t>
      </w:r>
      <w:r>
        <w:rPr>
          <w:rFonts w:ascii="Calibri" w:cs="Calibri" w:eastAsia="Calibri" w:hAnsi="Calibri"/>
          <w:color w:val="E91E63"/>
          <w:sz w:val="20"/>
          <w:szCs w:val="20"/>
        </w:rPr>
        <w:t xml:space="preserve">2019-823 QPC</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La protection par ricochet à Strasbourg</w:t>
      </w:r>
    </w:p>
    <w:p>
      <w:pPr>
        <w:pStyle w:val="Heading3"/>
        <w:spacing w:after="90" w:before="200"/>
      </w:pPr>
      <w:r>
        <w:rPr>
          <w:rFonts w:ascii="Calibri" w:cs="Calibri" w:eastAsia="Calibri" w:hAnsi="Calibri"/>
          <w:b/>
          <w:bCs/>
          <w:i/>
          <w:iCs/>
          <w:color w:val="5A5A5A"/>
          <w:sz w:val="21"/>
          <w:szCs w:val="21"/>
        </w:rPr>
        <w:t xml:space="preserve">2.1. Article 8</w:t>
      </w:r>
    </w:p>
    <w:p>
      <w:pPr>
        <w:pStyle w:val="ListParagraph"/>
        <w:numPr>
          <w:ilvl w:val="0"/>
          <w:numId w:val="2"/>
        </w:numPr>
        <w:spacing w:after="70" w:line="264"/>
        <w:jc w:val="both"/>
      </w:pPr>
      <w:r>
        <w:rPr>
          <w:rFonts w:ascii="Calibri" w:cs="Calibri" w:eastAsia="Calibri" w:hAnsi="Calibri"/>
          <w:b/>
          <w:bCs/>
          <w:color w:val="1A1A1A"/>
          <w:sz w:val="20"/>
          <w:szCs w:val="20"/>
        </w:rPr>
        <w:t xml:space="preserve">Seuil de gravité et lien direct</w:t>
      </w:r>
      <w:r>
        <w:rPr>
          <w:rFonts w:ascii="Calibri" w:cs="Calibri" w:eastAsia="Calibri" w:hAnsi="Calibri"/>
          <w:color w:val="1A1A1A"/>
          <w:sz w:val="20"/>
          <w:szCs w:val="20"/>
        </w:rPr>
        <w:t xml:space="preserve"> : nuisances d’une station d’épuration (</w:t>
      </w:r>
      <w:r>
        <w:rPr>
          <w:rFonts w:ascii="Calibri" w:cs="Calibri" w:eastAsia="Calibri" w:hAnsi="Calibri"/>
          <w:color w:val="E91E63"/>
          <w:sz w:val="20"/>
          <w:szCs w:val="20"/>
        </w:rPr>
        <w:t xml:space="preserve">López Ostra</w:t>
      </w:r>
      <w:r>
        <w:rPr>
          <w:rFonts w:ascii="Calibri" w:cs="Calibri" w:eastAsia="Calibri" w:hAnsi="Calibri"/>
          <w:color w:val="1A1A1A"/>
          <w:sz w:val="20"/>
          <w:szCs w:val="20"/>
        </w:rPr>
        <w:t xml:space="preserve">, 1994) ; bruit nocturne (</w:t>
      </w:r>
      <w:r>
        <w:rPr>
          <w:rFonts w:ascii="Calibri" w:cs="Calibri" w:eastAsia="Calibri" w:hAnsi="Calibri"/>
          <w:color w:val="E91E63"/>
          <w:sz w:val="20"/>
          <w:szCs w:val="20"/>
        </w:rPr>
        <w:t xml:space="preserve">CEDH, 16 novembre 2004, Moreno Gómez c. Espagne</w:t>
      </w:r>
      <w:r>
        <w:rPr>
          <w:rFonts w:ascii="Calibri" w:cs="Calibri" w:eastAsia="Calibri" w:hAnsi="Calibri"/>
          <w:color w:val="1A1A1A"/>
          <w:sz w:val="20"/>
          <w:szCs w:val="20"/>
        </w:rPr>
        <w:t xml:space="preserve">) ; pollution industrielle (</w:t>
      </w:r>
      <w:r>
        <w:rPr>
          <w:rFonts w:ascii="Calibri" w:cs="Calibri" w:eastAsia="Calibri" w:hAnsi="Calibri"/>
          <w:color w:val="E91E63"/>
          <w:sz w:val="20"/>
          <w:szCs w:val="20"/>
        </w:rPr>
        <w:t xml:space="preserve">CEDH, 9 juin 2005, Fadeïeva c. Russie</w:t>
      </w:r>
      <w:r>
        <w:rPr>
          <w:rFonts w:ascii="Calibri" w:cs="Calibri" w:eastAsia="Calibri" w:hAnsi="Calibri"/>
          <w:color w:val="1A1A1A"/>
          <w:sz w:val="20"/>
          <w:szCs w:val="20"/>
        </w:rPr>
        <w:t xml:space="preserve">) ; défaut d’information sur les risques d’une usine chimique (</w:t>
      </w:r>
      <w:r>
        <w:rPr>
          <w:rFonts w:ascii="Calibri" w:cs="Calibri" w:eastAsia="Calibri" w:hAnsi="Calibri"/>
          <w:color w:val="E91E63"/>
          <w:sz w:val="20"/>
          <w:szCs w:val="20"/>
        </w:rPr>
        <w:t xml:space="preserve">CEDH [GC], 19 février 1998, Guerra c. Italie</w:t>
      </w:r>
      <w:r>
        <w:rPr>
          <w:rFonts w:ascii="Calibri" w:cs="Calibri" w:eastAsia="Calibri" w:hAnsi="Calibri"/>
          <w:color w:val="1A1A1A"/>
          <w:sz w:val="20"/>
          <w:szCs w:val="20"/>
        </w:rPr>
        <w:t xml:space="preserve">) ; précaution et évaluation des risques d’une exploitation aurifère au cyanure (</w:t>
      </w:r>
      <w:r>
        <w:rPr>
          <w:rFonts w:ascii="Calibri" w:cs="Calibri" w:eastAsia="Calibri" w:hAnsi="Calibri"/>
          <w:color w:val="E91E63"/>
          <w:sz w:val="20"/>
          <w:szCs w:val="20"/>
        </w:rPr>
        <w:t xml:space="preserve">CEDH, 27 janvier 2009, Tătar c. Roumanie</w:t>
      </w:r>
      <w:r>
        <w:rPr>
          <w:rFonts w:ascii="Calibri" w:cs="Calibri" w:eastAsia="Calibri" w:hAnsi="Calibri"/>
          <w:color w:val="1A1A1A"/>
          <w:sz w:val="20"/>
          <w:szCs w:val="20"/>
        </w:rPr>
        <w:t xml:space="preserve">) ; vols de nuit de Heathrow — large marge en matière environnementale (</w:t>
      </w:r>
      <w:r>
        <w:rPr>
          <w:rFonts w:ascii="Calibri" w:cs="Calibri" w:eastAsia="Calibri" w:hAnsi="Calibri"/>
          <w:color w:val="E91E63"/>
          <w:sz w:val="20"/>
          <w:szCs w:val="20"/>
        </w:rPr>
        <w:t xml:space="preserve">CEDH [GC], 8 juillet 2003, Hatton c. Royaume-Uni</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2.2. Article 2</w:t>
      </w:r>
    </w:p>
    <w:p>
      <w:pPr>
        <w:pStyle w:val="ListParagraph"/>
        <w:numPr>
          <w:ilvl w:val="0"/>
          <w:numId w:val="2"/>
        </w:numPr>
        <w:spacing w:after="70" w:line="264"/>
        <w:jc w:val="both"/>
      </w:pPr>
      <w:r>
        <w:rPr>
          <w:rFonts w:ascii="Calibri" w:cs="Calibri" w:eastAsia="Calibri" w:hAnsi="Calibri"/>
          <w:b/>
          <w:bCs/>
          <w:color w:val="1A1A1A"/>
          <w:sz w:val="20"/>
          <w:szCs w:val="20"/>
        </w:rPr>
        <w:t xml:space="preserve">Activités dangereuses</w:t>
      </w:r>
      <w:r>
        <w:rPr>
          <w:rFonts w:ascii="Calibri" w:cs="Calibri" w:eastAsia="Calibri" w:hAnsi="Calibri"/>
          <w:color w:val="1A1A1A"/>
          <w:sz w:val="20"/>
          <w:szCs w:val="20"/>
        </w:rPr>
        <w:t xml:space="preserve"> : explosion de méthane d’une décharge sur un bidonville (</w:t>
      </w:r>
      <w:r>
        <w:rPr>
          <w:rFonts w:ascii="Calibri" w:cs="Calibri" w:eastAsia="Calibri" w:hAnsi="Calibri"/>
          <w:color w:val="E91E63"/>
          <w:sz w:val="20"/>
          <w:szCs w:val="20"/>
        </w:rPr>
        <w:t xml:space="preserve">CEDH [GC], 30 novembre 2004, Öneryıldız c. Turquie</w:t>
      </w:r>
      <w:r>
        <w:rPr>
          <w:rFonts w:ascii="Calibri" w:cs="Calibri" w:eastAsia="Calibri" w:hAnsi="Calibri"/>
          <w:color w:val="1A1A1A"/>
          <w:sz w:val="20"/>
          <w:szCs w:val="20"/>
        </w:rPr>
        <w:t xml:space="preserve">) ; catastrophes naturelles prévisibles (</w:t>
      </w:r>
      <w:r>
        <w:rPr>
          <w:rFonts w:ascii="Calibri" w:cs="Calibri" w:eastAsia="Calibri" w:hAnsi="Calibri"/>
          <w:color w:val="E91E63"/>
          <w:sz w:val="20"/>
          <w:szCs w:val="20"/>
        </w:rPr>
        <w:t xml:space="preserve">CEDH, 20 mars 2008, Boudaïeva c. Russie</w:t>
      </w:r>
      <w:r>
        <w:rPr>
          <w:rFonts w:ascii="Calibri" w:cs="Calibri" w:eastAsia="Calibri" w:hAnsi="Calibri"/>
          <w:color w:val="1A1A1A"/>
          <w:sz w:val="20"/>
          <w:szCs w:val="20"/>
        </w:rPr>
        <w:t xml:space="preserve">) ; exposition à l’amiante (</w:t>
      </w:r>
      <w:r>
        <w:rPr>
          <w:rFonts w:ascii="Calibri" w:cs="Calibri" w:eastAsia="Calibri" w:hAnsi="Calibri"/>
          <w:color w:val="E91E63"/>
          <w:sz w:val="20"/>
          <w:szCs w:val="20"/>
        </w:rPr>
        <w:t xml:space="preserve">CEDH, 24 juillet 2014, Brincat c. Malte</w:t>
      </w:r>
      <w:r>
        <w:rPr>
          <w:rFonts w:ascii="Calibri" w:cs="Calibri" w:eastAsia="Calibri" w:hAnsi="Calibri"/>
          <w:color w:val="1A1A1A"/>
          <w:sz w:val="20"/>
          <w:szCs w:val="20"/>
        </w:rPr>
        <w:t xml:space="preserve">) ; « Terre des feux » en Campanie, premier </w:t>
      </w:r>
      <w:r>
        <w:rPr>
          <w:rFonts w:ascii="Calibri" w:cs="Calibri" w:eastAsia="Calibri" w:hAnsi="Calibri"/>
          <w:b/>
          <w:bCs/>
          <w:color w:val="1A1A1A"/>
          <w:sz w:val="20"/>
          <w:szCs w:val="20"/>
        </w:rPr>
        <w:t xml:space="preserve">arrêt pilote</w:t>
      </w:r>
      <w:r>
        <w:rPr>
          <w:rFonts w:ascii="Calibri" w:cs="Calibri" w:eastAsia="Calibri" w:hAnsi="Calibri"/>
          <w:color w:val="1A1A1A"/>
          <w:sz w:val="20"/>
          <w:szCs w:val="20"/>
        </w:rPr>
        <w:t xml:space="preserve"> environnemental (</w:t>
      </w:r>
      <w:r>
        <w:rPr>
          <w:rFonts w:ascii="Calibri" w:cs="Calibri" w:eastAsia="Calibri" w:hAnsi="Calibri"/>
          <w:color w:val="E91E63"/>
          <w:sz w:val="20"/>
          <w:szCs w:val="20"/>
        </w:rPr>
        <w:t xml:space="preserve">CEDH, 30 janvier 2025, Cannavacciuolo et autres c. Italie</w:t>
      </w:r>
      <w:r>
        <w:rPr>
          <w:rFonts w:ascii="Calibri" w:cs="Calibri" w:eastAsia="Calibri" w:hAnsi="Calibri"/>
          <w:color w:val="1A1A1A"/>
          <w:sz w:val="20"/>
          <w:szCs w:val="20"/>
        </w:rPr>
        <w:t xml:space="preserve"> — sujet « Pour s’entraîner »).</w:t>
      </w:r>
    </w:p>
    <w:p>
      <w:pPr>
        <w:pStyle w:val="Heading3"/>
        <w:spacing w:after="90" w:before="200"/>
      </w:pPr>
      <w:r>
        <w:rPr>
          <w:rFonts w:ascii="Calibri" w:cs="Calibri" w:eastAsia="Calibri" w:hAnsi="Calibri"/>
          <w:b/>
          <w:bCs/>
          <w:i/>
          <w:iCs/>
          <w:color w:val="5A5A5A"/>
          <w:sz w:val="21"/>
          <w:szCs w:val="21"/>
        </w:rPr>
        <w:t xml:space="preserve">2.3. Le contentieux climatique (9 avril 2024)</w:t>
      </w:r>
    </w:p>
    <w:p>
      <w:pPr>
        <w:pStyle w:val="ListParagraph"/>
        <w:numPr>
          <w:ilvl w:val="0"/>
          <w:numId w:val="2"/>
        </w:numPr>
        <w:spacing w:after="70" w:line="264"/>
        <w:jc w:val="both"/>
      </w:pPr>
      <w:r>
        <w:rPr>
          <w:rFonts w:ascii="Calibri" w:cs="Calibri" w:eastAsia="Calibri" w:hAnsi="Calibri"/>
          <w:b/>
          <w:bCs/>
          <w:color w:val="1A1A1A"/>
          <w:sz w:val="20"/>
          <w:szCs w:val="20"/>
        </w:rPr>
        <w:t xml:space="preserve">KlimaSeniorinnen</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impose d’adopter et d’appliquer effectivement des mesures permettant d’atténuer les effets du changement climatique (budget carbone, trajectoire de neutralité) ; marge </w:t>
      </w:r>
      <w:r>
        <w:rPr>
          <w:rFonts w:ascii="Calibri" w:cs="Calibri" w:eastAsia="Calibri" w:hAnsi="Calibri"/>
          <w:b/>
          <w:bCs/>
          <w:color w:val="1A1A1A"/>
          <w:sz w:val="20"/>
          <w:szCs w:val="20"/>
        </w:rPr>
        <w:t xml:space="preserve">étroite</w:t>
      </w:r>
      <w:r>
        <w:rPr>
          <w:rFonts w:ascii="Calibri" w:cs="Calibri" w:eastAsia="Calibri" w:hAnsi="Calibri"/>
          <w:color w:val="1A1A1A"/>
          <w:sz w:val="20"/>
          <w:szCs w:val="20"/>
        </w:rPr>
        <w:t xml:space="preserve"> sur l’objectif, </w:t>
      </w:r>
      <w:r>
        <w:rPr>
          <w:rFonts w:ascii="Calibri" w:cs="Calibri" w:eastAsia="Calibri" w:hAnsi="Calibri"/>
          <w:b/>
          <w:bCs/>
          <w:color w:val="1A1A1A"/>
          <w:sz w:val="20"/>
          <w:szCs w:val="20"/>
        </w:rPr>
        <w:t xml:space="preserve">large</w:t>
      </w:r>
      <w:r>
        <w:rPr>
          <w:rFonts w:ascii="Calibri" w:cs="Calibri" w:eastAsia="Calibri" w:hAnsi="Calibri"/>
          <w:color w:val="1A1A1A"/>
          <w:sz w:val="20"/>
          <w:szCs w:val="20"/>
        </w:rPr>
        <w:t xml:space="preserve"> sur les moyens ; qualité pour agir reconnue à l’association, refusée aux requérantes individuelles faute d’intensité particulière d’exposition ; violation de l’</w:t>
      </w:r>
      <w:r>
        <w:rPr>
          <w:rFonts w:ascii="Calibri" w:cs="Calibri" w:eastAsia="Calibri" w:hAnsi="Calibri"/>
          <w:color w:val="1E88E5"/>
          <w:sz w:val="20"/>
          <w:szCs w:val="20"/>
        </w:rPr>
        <w:t xml:space="preserve">art. 6 § 1</w:t>
      </w:r>
      <w:r>
        <w:rPr>
          <w:rFonts w:ascii="Calibri" w:cs="Calibri" w:eastAsia="Calibri" w:hAnsi="Calibri"/>
          <w:color w:val="1A1A1A"/>
          <w:sz w:val="20"/>
          <w:szCs w:val="20"/>
        </w:rPr>
        <w:t xml:space="preserve"> faute d’examen sérieux par les juridictions suisses. </w:t>
      </w:r>
      <w:r>
        <w:rPr>
          <w:rFonts w:ascii="Calibri" w:cs="Calibri" w:eastAsia="Calibri" w:hAnsi="Calibri"/>
          <w:b/>
          <w:bCs/>
          <w:color w:val="1A1A1A"/>
          <w:sz w:val="20"/>
          <w:szCs w:val="20"/>
        </w:rPr>
        <w:t xml:space="preserve">Carême c. France</w:t>
      </w:r>
      <w:r>
        <w:rPr>
          <w:rFonts w:ascii="Calibri" w:cs="Calibri" w:eastAsia="Calibri" w:hAnsi="Calibri"/>
          <w:color w:val="1A1A1A"/>
          <w:sz w:val="20"/>
          <w:szCs w:val="20"/>
        </w:rPr>
        <w:t xml:space="preserve"> : irrecevable (l’ancien maire ne réside plus en France). </w:t>
      </w:r>
      <w:r>
        <w:rPr>
          <w:rFonts w:ascii="Calibri" w:cs="Calibri" w:eastAsia="Calibri" w:hAnsi="Calibri"/>
          <w:b/>
          <w:bCs/>
          <w:color w:val="1A1A1A"/>
          <w:sz w:val="20"/>
          <w:szCs w:val="20"/>
        </w:rPr>
        <w:t xml:space="preserve">Duarte Agostinho et autres c. Portugal et 32 autres États</w:t>
      </w:r>
      <w:r>
        <w:rPr>
          <w:rFonts w:ascii="Calibri" w:cs="Calibri" w:eastAsia="Calibri" w:hAnsi="Calibri"/>
          <w:color w:val="1A1A1A"/>
          <w:sz w:val="20"/>
          <w:szCs w:val="20"/>
        </w:rPr>
        <w:t xml:space="preserve"> : irrecevable (pas de juridiction extraterritoriale, non-épuisement).</w:t>
      </w:r>
    </w:p>
    <w:p>
      <w:pPr>
        <w:pStyle w:val="Heading2"/>
        <w:spacing w:after="120" w:before="280"/>
      </w:pPr>
      <w:r>
        <w:rPr>
          <w:rFonts w:ascii="Calibri" w:cs="Calibri" w:eastAsia="Calibri" w:hAnsi="Calibri"/>
          <w:b/>
          <w:bCs/>
          <w:color w:val="1A1A1A"/>
          <w:sz w:val="24"/>
          <w:szCs w:val="24"/>
        </w:rPr>
        <w:t xml:space="preserve">3. La protection constitutionnelle et administrative</w:t>
      </w:r>
    </w:p>
    <w:p>
      <w:pPr>
        <w:pStyle w:val="ListParagraph"/>
        <w:numPr>
          <w:ilvl w:val="0"/>
          <w:numId w:val="2"/>
        </w:numPr>
        <w:spacing w:after="70" w:line="264"/>
        <w:jc w:val="both"/>
      </w:pPr>
      <w:r>
        <w:rPr>
          <w:rFonts w:ascii="Calibri" w:cs="Calibri" w:eastAsia="Calibri" w:hAnsi="Calibri"/>
          <w:b/>
          <w:bCs/>
          <w:color w:val="1A1A1A"/>
          <w:sz w:val="20"/>
          <w:szCs w:val="20"/>
        </w:rPr>
        <w:t xml:space="preserve">Conseil constitutionnel</w:t>
      </w:r>
      <w:r>
        <w:rPr>
          <w:rFonts w:ascii="Calibri" w:cs="Calibri" w:eastAsia="Calibri" w:hAnsi="Calibri"/>
          <w:color w:val="1A1A1A"/>
          <w:sz w:val="20"/>
          <w:szCs w:val="20"/>
        </w:rPr>
        <w:t xml:space="preserve"> : vigilance opposable à tous (</w:t>
      </w:r>
      <w:r>
        <w:rPr>
          <w:rFonts w:ascii="Calibri" w:cs="Calibri" w:eastAsia="Calibri" w:hAnsi="Calibri"/>
          <w:color w:val="E91E63"/>
          <w:sz w:val="20"/>
          <w:szCs w:val="20"/>
        </w:rPr>
        <w:t xml:space="preserve">2011-116 QPC</w:t>
      </w:r>
      <w:r>
        <w:rPr>
          <w:rFonts w:ascii="Calibri" w:cs="Calibri" w:eastAsia="Calibri" w:hAnsi="Calibri"/>
          <w:color w:val="1A1A1A"/>
          <w:sz w:val="20"/>
          <w:szCs w:val="20"/>
        </w:rPr>
        <w:t xml:space="preserve">) ; l’environnement, patrimoine commun, est un </w:t>
      </w:r>
      <w:r>
        <w:rPr>
          <w:rFonts w:ascii="Calibri" w:cs="Calibri" w:eastAsia="Calibri" w:hAnsi="Calibri"/>
          <w:b/>
          <w:bCs/>
          <w:color w:val="1A1A1A"/>
          <w:sz w:val="20"/>
          <w:szCs w:val="20"/>
        </w:rPr>
        <w:t xml:space="preserve">objectif de valeur constitutionnelle</w:t>
      </w:r>
      <w:r>
        <w:rPr>
          <w:rFonts w:ascii="Calibri" w:cs="Calibri" w:eastAsia="Calibri" w:hAnsi="Calibri"/>
          <w:color w:val="1A1A1A"/>
          <w:sz w:val="20"/>
          <w:szCs w:val="20"/>
        </w:rPr>
        <w:t xml:space="preserve"> limitant la liberté d’entreprendre (</w:t>
      </w:r>
      <w:r>
        <w:rPr>
          <w:rFonts w:ascii="Calibri" w:cs="Calibri" w:eastAsia="Calibri" w:hAnsi="Calibri"/>
          <w:color w:val="E91E63"/>
          <w:sz w:val="20"/>
          <w:szCs w:val="20"/>
        </w:rPr>
        <w:t xml:space="preserve">2019-823 QPC, 31 janvier 2020</w:t>
      </w:r>
      <w:r>
        <w:rPr>
          <w:rFonts w:ascii="Calibri" w:cs="Calibri" w:eastAsia="Calibri" w:hAnsi="Calibri"/>
          <w:color w:val="1A1A1A"/>
          <w:sz w:val="20"/>
          <w:szCs w:val="20"/>
        </w:rPr>
        <w:t xml:space="preserve">) ; prise en compte des générations futures et des autres peuples (</w:t>
      </w:r>
      <w:r>
        <w:rPr>
          <w:rFonts w:ascii="Calibri" w:cs="Calibri" w:eastAsia="Calibri" w:hAnsi="Calibri"/>
          <w:color w:val="E91E63"/>
          <w:sz w:val="20"/>
          <w:szCs w:val="20"/>
        </w:rPr>
        <w:t xml:space="preserve">2023-1066 QPC, 27 octobre 2023, Cigéo</w:t>
      </w:r>
      <w:r>
        <w:rPr>
          <w:rFonts w:ascii="Calibri" w:cs="Calibri" w:eastAsia="Calibri" w:hAnsi="Calibri"/>
          <w:color w:val="1A1A1A"/>
          <w:sz w:val="20"/>
          <w:szCs w:val="20"/>
        </w:rPr>
        <w:t xml:space="preserve">) ; acétamipride — dérogation insuffisamment encadrée censurée (</w:t>
      </w:r>
      <w:r>
        <w:rPr>
          <w:rFonts w:ascii="Calibri" w:cs="Calibri" w:eastAsia="Calibri" w:hAnsi="Calibri"/>
          <w:color w:val="E91E63"/>
          <w:sz w:val="20"/>
          <w:szCs w:val="20"/>
        </w:rPr>
        <w:t xml:space="preserve">2025-891 DC, 7 août 2025</w:t>
      </w:r>
      <w:r>
        <w:rPr>
          <w:rFonts w:ascii="Calibri" w:cs="Calibri" w:eastAsia="Calibri" w:hAnsi="Calibri"/>
          <w:color w:val="1A1A1A"/>
          <w:sz w:val="20"/>
          <w:szCs w:val="20"/>
        </w:rPr>
        <w:t xml:space="preserve">, loi « Duplomb »), puis dispositif resserré (noisette, un an renouvelable deux fois, avis de l’ANSES) validé sous deux réserves (</w:t>
      </w:r>
      <w:r>
        <w:rPr>
          <w:rFonts w:ascii="Calibri" w:cs="Calibri" w:eastAsia="Calibri" w:hAnsi="Calibri"/>
          <w:color w:val="E91E63"/>
          <w:sz w:val="20"/>
          <w:szCs w:val="20"/>
        </w:rPr>
        <w:t xml:space="preserve">2026-914 DC, 14 août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Juge administratif</w:t>
      </w:r>
      <w:r>
        <w:rPr>
          <w:rFonts w:ascii="Calibri" w:cs="Calibri" w:eastAsia="Calibri" w:hAnsi="Calibri"/>
          <w:color w:val="1A1A1A"/>
          <w:sz w:val="20"/>
          <w:szCs w:val="20"/>
        </w:rPr>
        <w:t xml:space="preserve"> : invocabilité directe de l’</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26 février 2014, Ban Asbestos</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liberté fondamentale</w:t>
      </w:r>
      <w:r>
        <w:rPr>
          <w:rFonts w:ascii="Calibri" w:cs="Calibri" w:eastAsia="Calibri" w:hAnsi="Calibri"/>
          <w:color w:val="1A1A1A"/>
          <w:sz w:val="20"/>
          <w:szCs w:val="20"/>
        </w:rPr>
        <w:t xml:space="preserve"> au sens du référé-liberté (</w:t>
      </w:r>
      <w:r>
        <w:rPr>
          <w:rFonts w:ascii="Calibri" w:cs="Calibri" w:eastAsia="Calibri" w:hAnsi="Calibri"/>
          <w:color w:val="E91E63"/>
          <w:sz w:val="20"/>
          <w:szCs w:val="20"/>
        </w:rPr>
        <w:t xml:space="preserve">CE, 20 septembre 2022, n° 451129</w:t>
      </w:r>
      <w:r>
        <w:rPr>
          <w:rFonts w:ascii="Calibri" w:cs="Calibri" w:eastAsia="Calibri" w:hAnsi="Calibri"/>
          <w:color w:val="1A1A1A"/>
          <w:sz w:val="20"/>
          <w:szCs w:val="20"/>
        </w:rPr>
        <w:t xml:space="preserve">), sous condition d’une atteinte grave et manifestement illégale et d’une urgence particulière ; </w:t>
      </w:r>
      <w:r>
        <w:rPr>
          <w:rFonts w:ascii="Calibri" w:cs="Calibri" w:eastAsia="Calibri" w:hAnsi="Calibri"/>
          <w:b/>
          <w:bCs/>
          <w:color w:val="1A1A1A"/>
          <w:sz w:val="20"/>
          <w:szCs w:val="20"/>
        </w:rPr>
        <w:t xml:space="preserve">Grande-Synthe</w:t>
      </w:r>
      <w:r>
        <w:rPr>
          <w:rFonts w:ascii="Calibri" w:cs="Calibri" w:eastAsia="Calibri" w:hAnsi="Calibri"/>
          <w:color w:val="1A1A1A"/>
          <w:sz w:val="20"/>
          <w:szCs w:val="20"/>
        </w:rPr>
        <w:t xml:space="preserve"> — 19 novembre 2020 (instruction), 1er juillet 2021 (injonction), 10 mai 2023 (nouvelle injonction faute d’exécution).</w:t>
      </w:r>
    </w:p>
    <w:p>
      <w:pPr>
        <w:pStyle w:val="ListParagraph"/>
        <w:numPr>
          <w:ilvl w:val="0"/>
          <w:numId w:val="2"/>
        </w:numPr>
        <w:spacing w:after="70" w:line="264"/>
        <w:jc w:val="both"/>
      </w:pPr>
      <w:r>
        <w:rPr>
          <w:rFonts w:ascii="Calibri" w:cs="Calibri" w:eastAsia="Calibri" w:hAnsi="Calibri"/>
          <w:b/>
          <w:bCs/>
          <w:color w:val="1A1A1A"/>
          <w:sz w:val="20"/>
          <w:szCs w:val="20"/>
        </w:rPr>
        <w:t xml:space="preserve">Juge judiciaire et préjudice écologique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Erika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crim., 25 septembre 2012</w:t>
      </w:r>
      <w:r>
        <w:rPr>
          <w:rFonts w:ascii="Calibri" w:cs="Calibri" w:eastAsia="Calibri" w:hAnsi="Calibri"/>
          <w:color w:val="1A1A1A"/>
          <w:sz w:val="20"/>
          <w:szCs w:val="20"/>
        </w:rPr>
        <w:t xml:space="preserve">) ; codification aux </w:t>
      </w:r>
      <w:r>
        <w:rPr>
          <w:rFonts w:ascii="Calibri" w:cs="Calibri" w:eastAsia="Calibri" w:hAnsi="Calibri"/>
          <w:color w:val="1E88E5"/>
          <w:sz w:val="20"/>
          <w:szCs w:val="20"/>
        </w:rPr>
        <w:t xml:space="preserve">art. 1246 et s. C. civ.</w:t>
      </w:r>
      <w:r>
        <w:rPr>
          <w:rFonts w:ascii="Calibri" w:cs="Calibri" w:eastAsia="Calibri" w:hAnsi="Calibri"/>
          <w:color w:val="1A1A1A"/>
          <w:sz w:val="20"/>
          <w:szCs w:val="20"/>
        </w:rPr>
        <w:t xml:space="preserve"> ; réparation en nature par priorité (</w:t>
      </w:r>
      <w:r>
        <w:rPr>
          <w:rFonts w:ascii="Calibri" w:cs="Calibri" w:eastAsia="Calibri" w:hAnsi="Calibri"/>
          <w:color w:val="1E88E5"/>
          <w:sz w:val="20"/>
          <w:szCs w:val="20"/>
        </w:rPr>
        <w:t xml:space="preserve">art. 1249</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 Affaire du siècle »</w:t>
      </w:r>
      <w:r>
        <w:rPr>
          <w:rFonts w:ascii="Calibri" w:cs="Calibri" w:eastAsia="Calibri" w:hAnsi="Calibri"/>
          <w:color w:val="1A1A1A"/>
          <w:sz w:val="20"/>
          <w:szCs w:val="20"/>
        </w:rPr>
        <w:t xml:space="preserve"> : carence fautive de l’État (</w:t>
      </w:r>
      <w:r>
        <w:rPr>
          <w:rFonts w:ascii="Calibri" w:cs="Calibri" w:eastAsia="Calibri" w:hAnsi="Calibri"/>
          <w:color w:val="E91E63"/>
          <w:sz w:val="20"/>
          <w:szCs w:val="20"/>
        </w:rPr>
        <w:t xml:space="preserve">TA Paris, 3 février 2021</w:t>
      </w:r>
      <w:r>
        <w:rPr>
          <w:rFonts w:ascii="Calibri" w:cs="Calibri" w:eastAsia="Calibri" w:hAnsi="Calibri"/>
          <w:color w:val="1A1A1A"/>
          <w:sz w:val="20"/>
          <w:szCs w:val="20"/>
        </w:rPr>
        <w:t xml:space="preserve">) et injonction de réparer le préjudice écologique lié au dépassement du premier budget carbone (</w:t>
      </w:r>
      <w:r>
        <w:rPr>
          <w:rFonts w:ascii="Calibri" w:cs="Calibri" w:eastAsia="Calibri" w:hAnsi="Calibri"/>
          <w:color w:val="E91E63"/>
          <w:sz w:val="20"/>
          <w:szCs w:val="20"/>
        </w:rPr>
        <w:t xml:space="preserve">TA Paris, 14 octobre 2021</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Droits de l’homme ou droits de la nature ?</w:t>
      </w:r>
      <w:r>
        <w:rPr>
          <w:rFonts w:ascii="Calibri" w:cs="Calibri" w:eastAsia="Calibri" w:hAnsi="Calibri"/>
          <w:color w:val="1A1A1A"/>
          <w:sz w:val="20"/>
          <w:szCs w:val="20"/>
        </w:rPr>
        <w:t xml:space="preserve"> — l’approche anthropocentrée (environnement protégé pour l’homme) s’oppose aux mouvements reconnaissant une personnalité juridique à des entités naturelles (fleuve Whanganui en Nouvelle-Zélande, 2017 ; Mar Menor en Espagne, 2022). </w:t>
      </w:r>
      <w:r>
        <w:rPr>
          <w:rFonts w:ascii="Calibri" w:cs="Calibri" w:eastAsia="Calibri" w:hAnsi="Calibri"/>
          <w:color w:val="2E7D32"/>
          <w:sz w:val="20"/>
          <w:szCs w:val="20"/>
        </w:rPr>
        <w:t xml:space="preserve">Christopher Stone</w:t>
      </w:r>
      <w:r>
        <w:rPr>
          <w:rFonts w:ascii="Calibri" w:cs="Calibri" w:eastAsia="Calibri" w:hAnsi="Calibri"/>
          <w:color w:val="1A1A1A"/>
          <w:sz w:val="20"/>
          <w:szCs w:val="20"/>
        </w:rPr>
        <w:t xml:space="preserve"> (« Should Trees Have Standing? », 1972) ; </w:t>
      </w:r>
      <w:r>
        <w:rPr>
          <w:rFonts w:ascii="Calibri" w:cs="Calibri" w:eastAsia="Calibri" w:hAnsi="Calibri"/>
          <w:color w:val="2E7D32"/>
          <w:sz w:val="20"/>
          <w:szCs w:val="20"/>
        </w:rPr>
        <w:t xml:space="preserve">Michel Serres</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Le Contrat naturel</w:t>
      </w:r>
      <w:r>
        <w:rPr>
          <w:rFonts w:ascii="Calibri" w:cs="Calibri" w:eastAsia="Calibri" w:hAnsi="Calibri"/>
          <w:color w:val="1A1A1A"/>
          <w:sz w:val="20"/>
          <w:szCs w:val="20"/>
        </w:rPr>
        <w:t xml:space="preserve">, 1990).</w:t>
      </w:r>
    </w:p>
    <w:p>
      <w:pPr>
        <w:pStyle w:val="ListParagraph"/>
        <w:numPr>
          <w:ilvl w:val="0"/>
          <w:numId w:val="2"/>
        </w:numPr>
        <w:spacing w:after="70" w:line="264"/>
        <w:jc w:val="both"/>
      </w:pPr>
      <w:r>
        <w:rPr>
          <w:rFonts w:ascii="Calibri" w:cs="Calibri" w:eastAsia="Calibri" w:hAnsi="Calibri"/>
          <w:b/>
          <w:bCs/>
          <w:color w:val="1A1A1A"/>
          <w:sz w:val="20"/>
          <w:szCs w:val="20"/>
        </w:rPr>
        <w:t xml:space="preserve">Le juge peut-il gouverner le climat ?</w:t>
      </w:r>
      <w:r>
        <w:rPr>
          <w:rFonts w:ascii="Calibri" w:cs="Calibri" w:eastAsia="Calibri" w:hAnsi="Calibri"/>
          <w:color w:val="1A1A1A"/>
          <w:sz w:val="20"/>
          <w:szCs w:val="20"/>
        </w:rPr>
        <w:t xml:space="preserve"> — reproche de « gouvernement des juges » face à des injonctions climatiques ; réponse : le juge sanctionne le respect d’objectifs que l’État s’est lui-même fixés (</w:t>
      </w:r>
      <w:r>
        <w:rPr>
          <w:rFonts w:ascii="Calibri" w:cs="Calibri" w:eastAsia="Calibri" w:hAnsi="Calibri"/>
          <w:color w:val="E91E63"/>
          <w:sz w:val="20"/>
          <w:szCs w:val="20"/>
        </w:rPr>
        <w:t xml:space="preserve">Grande-Synthe</w:t>
      </w:r>
      <w:r>
        <w:rPr>
          <w:rFonts w:ascii="Calibri" w:cs="Calibri" w:eastAsia="Calibri" w:hAnsi="Calibri"/>
          <w:color w:val="1A1A1A"/>
          <w:sz w:val="20"/>
          <w:szCs w:val="20"/>
        </w:rPr>
        <w:t xml:space="preserve">) et laisse le choix des moyens (</w:t>
      </w:r>
      <w:r>
        <w:rPr>
          <w:rFonts w:ascii="Calibri" w:cs="Calibri" w:eastAsia="Calibri" w:hAnsi="Calibri"/>
          <w:color w:val="E91E63"/>
          <w:sz w:val="20"/>
          <w:szCs w:val="20"/>
        </w:rPr>
        <w:t xml:space="preserve">KlimaSeniorinnen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Générations futures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2023-1066 QPC</w:t>
      </w:r>
      <w:r>
        <w:rPr>
          <w:rFonts w:ascii="Calibri" w:cs="Calibri" w:eastAsia="Calibri" w:hAnsi="Calibri"/>
          <w:color w:val="1A1A1A"/>
          <w:sz w:val="20"/>
          <w:szCs w:val="20"/>
        </w:rPr>
        <w:t xml:space="preserve"> donne une portée normative au préambule de la Charte ; la doctrine y voit l’amorce d’une </w:t>
      </w:r>
      <w:r>
        <w:rPr>
          <w:rFonts w:ascii="Calibri" w:cs="Calibri" w:eastAsia="Calibri" w:hAnsi="Calibri"/>
          <w:b/>
          <w:bCs/>
          <w:color w:val="1A1A1A"/>
          <w:sz w:val="20"/>
          <w:szCs w:val="20"/>
        </w:rPr>
        <w:t xml:space="preserve">solidarité intergénérationnelle</w:t>
      </w:r>
      <w:r>
        <w:rPr>
          <w:rFonts w:ascii="Calibri" w:cs="Calibri" w:eastAsia="Calibri" w:hAnsi="Calibri"/>
          <w:color w:val="1A1A1A"/>
          <w:sz w:val="20"/>
          <w:szCs w:val="20"/>
        </w:rPr>
        <w:t xml:space="preserve"> constitutionnelle, inspirée de la décision « climat » de la Cour constitutionnelle allemande (24 mars 2021).</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La Convention européenne protège-t-elle l’environnement ? »</w:t>
      </w:r>
      <w:r>
        <w:rPr>
          <w:rFonts w:ascii="Calibri" w:cs="Calibri" w:eastAsia="Calibri" w:hAnsi="Calibri"/>
          <w:color w:val="1A1A1A"/>
          <w:sz w:val="20"/>
          <w:szCs w:val="20"/>
        </w:rPr>
        <w:t xml:space="preserve"> — Pas en tant que tel (</w:t>
      </w:r>
      <w:r>
        <w:rPr>
          <w:rFonts w:ascii="Calibri" w:cs="Calibri" w:eastAsia="Calibri" w:hAnsi="Calibri"/>
          <w:color w:val="E91E63"/>
          <w:sz w:val="20"/>
          <w:szCs w:val="20"/>
        </w:rPr>
        <w:t xml:space="preserve">Kyrtatos</w:t>
      </w:r>
      <w:r>
        <w:rPr>
          <w:rFonts w:ascii="Calibri" w:cs="Calibri" w:eastAsia="Calibri" w:hAnsi="Calibri"/>
          <w:color w:val="1A1A1A"/>
          <w:sz w:val="20"/>
          <w:szCs w:val="20"/>
        </w:rPr>
        <w:t xml:space="preserve">) : elle protège les personnes contre les atteintes environnementales qui affectent leur vie, leur santé ou leur domicile ; c’est une protection par ricochet.</w:t>
      </w:r>
    </w:p>
    <w:p>
      <w:pPr>
        <w:pStyle w:val="ListParagraph"/>
        <w:numPr>
          <w:ilvl w:val="0"/>
          <w:numId w:val="2"/>
        </w:numPr>
        <w:spacing w:after="70" w:line="264"/>
        <w:jc w:val="both"/>
      </w:pPr>
      <w:r>
        <w:rPr>
          <w:rFonts w:ascii="Calibri" w:cs="Calibri" w:eastAsia="Calibri" w:hAnsi="Calibri"/>
          <w:b/>
          <w:bCs/>
          <w:color w:val="1A1A1A"/>
          <w:sz w:val="20"/>
          <w:szCs w:val="20"/>
        </w:rPr>
        <w:t xml:space="preserve">« Le principe de précaution interdit-il toute activité risquée ? »</w:t>
      </w:r>
      <w:r>
        <w:rPr>
          <w:rFonts w:ascii="Calibri" w:cs="Calibri" w:eastAsia="Calibri" w:hAnsi="Calibri"/>
          <w:color w:val="1A1A1A"/>
          <w:sz w:val="20"/>
          <w:szCs w:val="20"/>
        </w:rPr>
        <w:t xml:space="preserve"> — Non : il impose aux autorités, en cas de dommage grave et irréversible incertain, d’évaluer les risques et d’adopter des mesures provisoires et proportionnées (</w:t>
      </w:r>
      <w:r>
        <w:rPr>
          <w:rFonts w:ascii="Calibri" w:cs="Calibri" w:eastAsia="Calibri" w:hAnsi="Calibri"/>
          <w:color w:val="1E88E5"/>
          <w:sz w:val="20"/>
          <w:szCs w:val="20"/>
        </w:rPr>
        <w:t xml:space="preserve">art. 5</w:t>
      </w:r>
      <w:r>
        <w:rPr>
          <w:rFonts w:ascii="Calibri" w:cs="Calibri" w:eastAsia="Calibri" w:hAnsi="Calibri"/>
          <w:color w:val="1A1A1A"/>
          <w:sz w:val="20"/>
          <w:szCs w:val="20"/>
        </w:rPr>
        <w:t xml:space="preserve">) ; c’est une règle de procédure de décision, non une interdiction d’agir.</w:t>
      </w:r>
    </w:p>
    <w:p>
      <w:pPr>
        <w:pStyle w:val="ListParagraph"/>
        <w:numPr>
          <w:ilvl w:val="0"/>
          <w:numId w:val="2"/>
        </w:numPr>
        <w:spacing w:after="70" w:line="264"/>
        <w:jc w:val="both"/>
      </w:pPr>
      <w:r>
        <w:rPr>
          <w:rFonts w:ascii="Calibri" w:cs="Calibri" w:eastAsia="Calibri" w:hAnsi="Calibri"/>
          <w:b/>
          <w:bCs/>
          <w:color w:val="1A1A1A"/>
          <w:sz w:val="20"/>
          <w:szCs w:val="20"/>
        </w:rPr>
        <w:t xml:space="preserve">« Le législateur peut-il déroger à l’interdiction des néonicotinoïdes ? »</w:t>
      </w:r>
      <w:r>
        <w:rPr>
          <w:rFonts w:ascii="Calibri" w:cs="Calibri" w:eastAsia="Calibri" w:hAnsi="Calibri"/>
          <w:color w:val="1A1A1A"/>
          <w:sz w:val="20"/>
          <w:szCs w:val="20"/>
        </w:rPr>
        <w:t xml:space="preserve"> — Oui, mais de manière encadrée, temporaire et proportionnée : censure en 2025 d’une dérogation générale (</w:t>
      </w:r>
      <w:r>
        <w:rPr>
          <w:rFonts w:ascii="Calibri" w:cs="Calibri" w:eastAsia="Calibri" w:hAnsi="Calibri"/>
          <w:color w:val="E91E63"/>
          <w:sz w:val="20"/>
          <w:szCs w:val="20"/>
        </w:rPr>
        <w:t xml:space="preserve">2025-891 DC</w:t>
      </w:r>
      <w:r>
        <w:rPr>
          <w:rFonts w:ascii="Calibri" w:cs="Calibri" w:eastAsia="Calibri" w:hAnsi="Calibri"/>
          <w:color w:val="1A1A1A"/>
          <w:sz w:val="20"/>
          <w:szCs w:val="20"/>
        </w:rPr>
        <w:t xml:space="preserve">), validation en 2026 d’une dérogation limitée à la noisette (</w:t>
      </w:r>
      <w:r>
        <w:rPr>
          <w:rFonts w:ascii="Calibri" w:cs="Calibri" w:eastAsia="Calibri" w:hAnsi="Calibri"/>
          <w:color w:val="E91E63"/>
          <w:sz w:val="20"/>
          <w:szCs w:val="20"/>
        </w:rPr>
        <w:t xml:space="preserve">2026-914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à un environnement sain — Le juge et le climat — La Charte de l’environnement — Environnement et libertés économiques — Le principe de précaution — Les générations futures, sujets de droit ? — Commentaire : </w:t>
      </w:r>
      <w:r>
        <w:rPr>
          <w:rFonts w:ascii="Calibri" w:cs="Calibri" w:eastAsia="Calibri" w:hAnsi="Calibri"/>
          <w:color w:val="E91E63"/>
          <w:sz w:val="20"/>
          <w:szCs w:val="20"/>
        </w:rPr>
        <w:t xml:space="preserve">Cannavacciuolo c. Italie</w:t>
      </w:r>
      <w:r>
        <w:rPr>
          <w:rFonts w:ascii="Calibri" w:cs="Calibri" w:eastAsia="Calibri" w:hAnsi="Calibri"/>
          <w:color w:val="1A1A1A"/>
          <w:sz w:val="20"/>
          <w:szCs w:val="20"/>
        </w:rPr>
        <w:t xml:space="preserve"> (sujet « Pour s’entraîner » du fascicule) — Commentaire : </w:t>
      </w:r>
      <w:r>
        <w:rPr>
          <w:rFonts w:ascii="Calibri" w:cs="Calibri" w:eastAsia="Calibri" w:hAnsi="Calibri"/>
          <w:color w:val="E91E63"/>
          <w:sz w:val="20"/>
          <w:szCs w:val="20"/>
        </w:rPr>
        <w:t xml:space="preserve">KlimaSeniorinnen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Qui a présidé la commission préparatoire de la Charte de l’environnement ?</w:t>
      </w:r>
      <w:r>
        <w:rPr>
          <w:rFonts w:ascii="Calibri" w:cs="Calibri" w:eastAsia="Calibri" w:hAnsi="Calibri"/>
          <w:color w:val="1A1A1A"/>
          <w:sz w:val="20"/>
          <w:szCs w:val="20"/>
        </w:rPr>
        <w:t xml:space="preserve"> — Le paléontologue </w:t>
      </w:r>
      <w:r>
        <w:rPr>
          <w:rFonts w:ascii="Calibri" w:cs="Calibri" w:eastAsia="Calibri" w:hAnsi="Calibri"/>
          <w:color w:val="2E7D32"/>
          <w:sz w:val="20"/>
          <w:szCs w:val="20"/>
        </w:rPr>
        <w:t xml:space="preserve">Yves Coppens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Convention d’Aarhus ?</w:t>
      </w:r>
      <w:r>
        <w:rPr>
          <w:rFonts w:ascii="Calibri" w:cs="Calibri" w:eastAsia="Calibri" w:hAnsi="Calibri"/>
          <w:color w:val="1A1A1A"/>
          <w:sz w:val="20"/>
          <w:szCs w:val="20"/>
        </w:rPr>
        <w:t xml:space="preserve"> — La convention de la CEE-ONU du 25 juin 1998 sur l’accès à l’information, la participation du public et l’accès à la justice en matière d’environnement.</w:t>
      </w:r>
    </w:p>
    <w:p>
      <w:pPr>
        <w:pStyle w:val="ListParagraph"/>
        <w:numPr>
          <w:ilvl w:val="0"/>
          <w:numId w:val="2"/>
        </w:numPr>
        <w:spacing w:after="70" w:line="264"/>
        <w:jc w:val="both"/>
      </w:pPr>
      <w:r>
        <w:rPr>
          <w:rFonts w:ascii="Calibri" w:cs="Calibri" w:eastAsia="Calibri" w:hAnsi="Calibri"/>
          <w:b/>
          <w:bCs/>
          <w:color w:val="1A1A1A"/>
          <w:sz w:val="20"/>
          <w:szCs w:val="20"/>
        </w:rPr>
        <w:t xml:space="preserve">Q. Le préjudice écologique pur est-il réparable ?</w:t>
      </w:r>
      <w:r>
        <w:rPr>
          <w:rFonts w:ascii="Calibri" w:cs="Calibri" w:eastAsia="Calibri" w:hAnsi="Calibri"/>
          <w:color w:val="1A1A1A"/>
          <w:sz w:val="20"/>
          <w:szCs w:val="20"/>
        </w:rPr>
        <w:t xml:space="preserve"> — Oui : « atteinte non négligeable aux éléments ou aux fonctions des écosystèmes ou aux bénéfices collectifs tirés par l’homme de l’environnement » (</w:t>
      </w:r>
      <w:r>
        <w:rPr>
          <w:rFonts w:ascii="Calibri" w:cs="Calibri" w:eastAsia="Calibri" w:hAnsi="Calibri"/>
          <w:color w:val="1E88E5"/>
          <w:sz w:val="20"/>
          <w:szCs w:val="20"/>
        </w:rPr>
        <w:t xml:space="preserve">art. 1247 C. civ.</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Le droit à un environnement sain est-il reconnu par l’ONU ?</w:t>
      </w:r>
      <w:r>
        <w:rPr>
          <w:rFonts w:ascii="Calibri" w:cs="Calibri" w:eastAsia="Calibri" w:hAnsi="Calibri"/>
          <w:color w:val="1A1A1A"/>
          <w:sz w:val="20"/>
          <w:szCs w:val="20"/>
        </w:rPr>
        <w:t xml:space="preserve"> — Oui, par la </w:t>
      </w:r>
      <w:r>
        <w:rPr>
          <w:rFonts w:ascii="Calibri" w:cs="Calibri" w:eastAsia="Calibri" w:hAnsi="Calibri"/>
          <w:color w:val="1E88E5"/>
          <w:sz w:val="20"/>
          <w:szCs w:val="20"/>
        </w:rPr>
        <w:t xml:space="preserve">résolution 76/300</w:t>
      </w:r>
      <w:r>
        <w:rPr>
          <w:rFonts w:ascii="Calibri" w:cs="Calibri" w:eastAsia="Calibri" w:hAnsi="Calibri"/>
          <w:color w:val="1A1A1A"/>
          <w:sz w:val="20"/>
          <w:szCs w:val="20"/>
        </w:rPr>
        <w:t xml:space="preserve"> de l’Assemblée générale (2022), non contraignante.</w:t>
      </w:r>
    </w:p>
    <w:p>
      <w:pPr>
        <w:pStyle w:val="ListParagraph"/>
        <w:numPr>
          <w:ilvl w:val="0"/>
          <w:numId w:val="2"/>
        </w:numPr>
        <w:spacing w:after="70" w:line="264"/>
        <w:jc w:val="both"/>
      </w:pPr>
      <w:r>
        <w:rPr>
          <w:rFonts w:ascii="Calibri" w:cs="Calibri" w:eastAsia="Calibri" w:hAnsi="Calibri"/>
          <w:b/>
          <w:bCs/>
          <w:color w:val="1A1A1A"/>
          <w:sz w:val="20"/>
          <w:szCs w:val="20"/>
        </w:rPr>
        <w:t xml:space="preserve">Q. Qu’a apporté la décision Cigéo de 2023 ?</w:t>
      </w:r>
      <w:r>
        <w:rPr>
          <w:rFonts w:ascii="Calibri" w:cs="Calibri" w:eastAsia="Calibri" w:hAnsi="Calibri"/>
          <w:color w:val="1A1A1A"/>
          <w:sz w:val="20"/>
          <w:szCs w:val="20"/>
        </w:rPr>
        <w:t xml:space="preserve"> — La prise en compte, par le législateur, des générations futures et des autres peuples dans la conciliation du droit à un environnement sain (</w:t>
      </w:r>
      <w:r>
        <w:rPr>
          <w:rFonts w:ascii="Calibri" w:cs="Calibri" w:eastAsia="Calibri" w:hAnsi="Calibri"/>
          <w:color w:val="E91E63"/>
          <w:sz w:val="20"/>
          <w:szCs w:val="20"/>
        </w:rPr>
        <w:t xml:space="preserve">2023-1066 QPC</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50 — LE DROIT AU TRAVAIL</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En février 1848, les ouvriers parisiens arrachent au Gouvernement provisoire la promesse de « garantir le travail à tous les citoyens » ; les Ateliers nationaux sont fermés quatre mois plus tard et les journées de Juin écrasées. Cent ans après, l’</w:t>
      </w:r>
      <w:r>
        <w:rPr>
          <w:rFonts w:ascii="Calibri" w:cs="Calibri" w:eastAsia="Calibri" w:hAnsi="Calibri"/>
          <w:color w:val="1E88E5"/>
          <w:sz w:val="20"/>
          <w:szCs w:val="20"/>
        </w:rPr>
        <w:t xml:space="preserve">alinéa 5 du Préambule de 1946</w:t>
      </w:r>
      <w:r>
        <w:rPr>
          <w:rFonts w:ascii="Calibri" w:cs="Calibri" w:eastAsia="Calibri" w:hAnsi="Calibri"/>
          <w:color w:val="1A1A1A"/>
          <w:sz w:val="20"/>
          <w:szCs w:val="20"/>
        </w:rPr>
        <w:t xml:space="preserve"> proclame : « Chacun a le </w:t>
      </w:r>
      <w:r>
        <w:rPr>
          <w:rFonts w:ascii="Calibri" w:cs="Calibri" w:eastAsia="Calibri" w:hAnsi="Calibri"/>
          <w:b/>
          <w:bCs/>
          <w:color w:val="1A1A1A"/>
          <w:sz w:val="20"/>
          <w:szCs w:val="20"/>
        </w:rPr>
        <w:t xml:space="preserve">devoir</w:t>
      </w:r>
      <w:r>
        <w:rPr>
          <w:rFonts w:ascii="Calibri" w:cs="Calibri" w:eastAsia="Calibri" w:hAnsi="Calibri"/>
          <w:color w:val="1A1A1A"/>
          <w:sz w:val="20"/>
          <w:szCs w:val="20"/>
        </w:rPr>
        <w:t xml:space="preserve"> de travailler et le </w:t>
      </w:r>
      <w:r>
        <w:rPr>
          <w:rFonts w:ascii="Calibri" w:cs="Calibri" w:eastAsia="Calibri" w:hAnsi="Calibri"/>
          <w:b/>
          <w:bCs/>
          <w:color w:val="1A1A1A"/>
          <w:sz w:val="20"/>
          <w:szCs w:val="20"/>
        </w:rPr>
        <w:t xml:space="preserve">droit</w:t>
      </w:r>
      <w:r>
        <w:rPr>
          <w:rFonts w:ascii="Calibri" w:cs="Calibri" w:eastAsia="Calibri" w:hAnsi="Calibri"/>
          <w:color w:val="1A1A1A"/>
          <w:sz w:val="20"/>
          <w:szCs w:val="20"/>
        </w:rPr>
        <w:t xml:space="preserve"> d’obtenir un emploi. » </w:t>
      </w:r>
      <w:r>
        <w:rPr>
          <w:rFonts w:ascii="Calibri" w:cs="Calibri" w:eastAsia="Calibri" w:hAnsi="Calibri"/>
          <w:b/>
          <w:bCs/>
          <w:color w:val="1A1A1A"/>
          <w:sz w:val="20"/>
          <w:szCs w:val="20"/>
        </w:rPr>
        <w:t xml:space="preserve">Le droit au travail est un droit-créance dont l’État n’a jamais été le débiteur d’un résultat.</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en 1880, </w:t>
      </w:r>
      <w:r>
        <w:rPr>
          <w:rFonts w:ascii="Calibri" w:cs="Calibri" w:eastAsia="Calibri" w:hAnsi="Calibri"/>
          <w:color w:val="2E7D32"/>
          <w:sz w:val="20"/>
          <w:szCs w:val="20"/>
        </w:rPr>
        <w:t xml:space="preserve">Paul Lafargue</w:t>
      </w:r>
      <w:r>
        <w:rPr>
          <w:rFonts w:ascii="Calibri" w:cs="Calibri" w:eastAsia="Calibri" w:hAnsi="Calibri"/>
          <w:color w:val="1A1A1A"/>
          <w:sz w:val="20"/>
          <w:szCs w:val="20"/>
        </w:rPr>
        <w:t xml:space="preserve"> publie </w:t>
      </w:r>
      <w:r>
        <w:rPr>
          <w:rFonts w:ascii="Calibri" w:cs="Calibri" w:eastAsia="Calibri" w:hAnsi="Calibri"/>
          <w:color w:val="2E7D32"/>
          <w:sz w:val="20"/>
          <w:szCs w:val="20"/>
        </w:rPr>
        <w:t xml:space="preserve">Le Droit à la paresse</w:t>
      </w:r>
      <w:r>
        <w:rPr>
          <w:rFonts w:ascii="Calibri" w:cs="Calibri" w:eastAsia="Calibri" w:hAnsi="Calibri"/>
          <w:color w:val="1A1A1A"/>
          <w:sz w:val="20"/>
          <w:szCs w:val="20"/>
        </w:rPr>
        <w:t xml:space="preserve">, réponse ironique au « droit au travail » de 1848. Le droit positif lui donne en partie raison : la </w:t>
      </w:r>
      <w:r>
        <w:rPr>
          <w:rFonts w:ascii="Calibri" w:cs="Calibri" w:eastAsia="Calibri" w:hAnsi="Calibri"/>
          <w:b/>
          <w:bCs/>
          <w:color w:val="1A1A1A"/>
          <w:sz w:val="20"/>
          <w:szCs w:val="20"/>
        </w:rPr>
        <w:t xml:space="preserve">liberté du travail</w:t>
      </w:r>
      <w:r>
        <w:rPr>
          <w:rFonts w:ascii="Calibri" w:cs="Calibri" w:eastAsia="Calibri" w:hAnsi="Calibri"/>
          <w:color w:val="1A1A1A"/>
          <w:sz w:val="20"/>
          <w:szCs w:val="20"/>
        </w:rPr>
        <w:t xml:space="preserve"> comprend celle de ne pas travailler, le travail forcé étant interdit (</w:t>
      </w:r>
      <w:r>
        <w:rPr>
          <w:rFonts w:ascii="Calibri" w:cs="Calibri" w:eastAsia="Calibri" w:hAnsi="Calibri"/>
          <w:color w:val="1E88E5"/>
          <w:sz w:val="20"/>
          <w:szCs w:val="20"/>
        </w:rPr>
        <w:t xml:space="preserve">art. 4 CEDH</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au travail (ou droit d’obtenir un emploi) est un droit-créance qui impose à l’État une </w:t>
      </w:r>
      <w:r>
        <w:rPr>
          <w:rFonts w:ascii="Calibri" w:cs="Calibri" w:eastAsia="Calibri" w:hAnsi="Calibri"/>
          <w:b/>
          <w:bCs/>
          <w:color w:val="1A1A1A"/>
          <w:sz w:val="20"/>
          <w:szCs w:val="20"/>
        </w:rPr>
        <w:t xml:space="preserve">obligation de moyens</w:t>
      </w:r>
      <w:r>
        <w:rPr>
          <w:rFonts w:ascii="Calibri" w:cs="Calibri" w:eastAsia="Calibri" w:hAnsi="Calibri"/>
          <w:color w:val="1A1A1A"/>
          <w:sz w:val="20"/>
          <w:szCs w:val="20"/>
        </w:rPr>
        <w:t xml:space="preserve"> : mener une politique de l’emploi permettant l’exercice de ce droit par le plus grand nombre (</w:t>
      </w:r>
      <w:r>
        <w:rPr>
          <w:rFonts w:ascii="Calibri" w:cs="Calibri" w:eastAsia="Calibri" w:hAnsi="Calibri"/>
          <w:color w:val="E91E63"/>
          <w:sz w:val="20"/>
          <w:szCs w:val="20"/>
        </w:rPr>
        <w:t xml:space="preserve">2006-535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Il se distingue de la </w:t>
      </w:r>
      <w:r>
        <w:rPr>
          <w:rFonts w:ascii="Calibri" w:cs="Calibri" w:eastAsia="Calibri" w:hAnsi="Calibri"/>
          <w:b/>
          <w:bCs/>
          <w:color w:val="1A1A1A"/>
          <w:sz w:val="20"/>
          <w:szCs w:val="20"/>
        </w:rPr>
        <w:t xml:space="preserve">liberté du travail</w:t>
      </w:r>
      <w:r>
        <w:rPr>
          <w:rFonts w:ascii="Calibri" w:cs="Calibri" w:eastAsia="Calibri" w:hAnsi="Calibri"/>
          <w:color w:val="1A1A1A"/>
          <w:sz w:val="20"/>
          <w:szCs w:val="20"/>
        </w:rPr>
        <w:t xml:space="preserve"> (choisir, refuser, quitter un emploi) et s’accompagne de droits du travailleur : liberté syndicale (</w:t>
      </w:r>
      <w:r>
        <w:rPr>
          <w:rFonts w:ascii="Calibri" w:cs="Calibri" w:eastAsia="Calibri" w:hAnsi="Calibri"/>
          <w:color w:val="1E88E5"/>
          <w:sz w:val="20"/>
          <w:szCs w:val="20"/>
        </w:rPr>
        <w:t xml:space="preserve">al. 6</w:t>
      </w:r>
      <w:r>
        <w:rPr>
          <w:rFonts w:ascii="Calibri" w:cs="Calibri" w:eastAsia="Calibri" w:hAnsi="Calibri"/>
          <w:color w:val="1A1A1A"/>
          <w:sz w:val="20"/>
          <w:szCs w:val="20"/>
        </w:rPr>
        <w:t xml:space="preserve">), droit de grève (</w:t>
      </w:r>
      <w:r>
        <w:rPr>
          <w:rFonts w:ascii="Calibri" w:cs="Calibri" w:eastAsia="Calibri" w:hAnsi="Calibri"/>
          <w:color w:val="1E88E5"/>
          <w:sz w:val="20"/>
          <w:szCs w:val="20"/>
        </w:rPr>
        <w:t xml:space="preserve">al. 7</w:t>
      </w:r>
      <w:r>
        <w:rPr>
          <w:rFonts w:ascii="Calibri" w:cs="Calibri" w:eastAsia="Calibri" w:hAnsi="Calibri"/>
          <w:color w:val="1A1A1A"/>
          <w:sz w:val="20"/>
          <w:szCs w:val="20"/>
        </w:rPr>
        <w:t xml:space="preserve">), participation (</w:t>
      </w:r>
      <w:r>
        <w:rPr>
          <w:rFonts w:ascii="Calibri" w:cs="Calibri" w:eastAsia="Calibri" w:hAnsi="Calibri"/>
          <w:color w:val="1E88E5"/>
          <w:sz w:val="20"/>
          <w:szCs w:val="20"/>
        </w:rPr>
        <w:t xml:space="preserve">al. 8</w:t>
      </w:r>
      <w:r>
        <w:rPr>
          <w:rFonts w:ascii="Calibri" w:cs="Calibri" w:eastAsia="Calibri" w:hAnsi="Calibri"/>
          <w:color w:val="1A1A1A"/>
          <w:sz w:val="20"/>
          <w:szCs w:val="20"/>
        </w:rPr>
        <w:t xml:space="preserve">), protection des libertés individuelles dans l’entreprise (</w:t>
      </w:r>
      <w:r>
        <w:rPr>
          <w:rFonts w:ascii="Calibri" w:cs="Calibri" w:eastAsia="Calibri" w:hAnsi="Calibri"/>
          <w:color w:val="1E88E5"/>
          <w:sz w:val="20"/>
          <w:szCs w:val="20"/>
        </w:rPr>
        <w:t xml:space="preserve">art. L. 1121-1 C. trav.</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5 à 8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23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6 à 8 PIDESC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5 et 6 Charte sociale européenne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15, 27 à 31 CDFUE</w:t>
      </w:r>
      <w:r>
        <w:rPr>
          <w:rFonts w:ascii="Calibri" w:cs="Calibri" w:eastAsia="Calibri" w:hAnsi="Calibri"/>
          <w:color w:val="1A1A1A"/>
          <w:sz w:val="20"/>
          <w:szCs w:val="20"/>
        </w:rPr>
        <w:t xml:space="preserve"> ; conventions fondamentales de l’OIT.</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2006-535 DC, 30 mars 2006, Égalité des chances</w:t>
      </w:r>
      <w:r>
        <w:rPr>
          <w:rFonts w:ascii="Calibri" w:cs="Calibri" w:eastAsia="Calibri" w:hAnsi="Calibri"/>
          <w:color w:val="1A1A1A"/>
          <w:sz w:val="20"/>
          <w:szCs w:val="20"/>
        </w:rPr>
        <w:t xml:space="preserve"> : il incombe au législateur de poser des règles assurant le droit d’obtenir un emploi par le plus grand nombre et de remédier à la précarité.</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79-105 DC, 25 juillet 1979, Continuité du service public de la radio et de la télévision</w:t>
      </w:r>
      <w:r>
        <w:rPr>
          <w:rFonts w:ascii="Calibri" w:cs="Calibri" w:eastAsia="Calibri" w:hAnsi="Calibri"/>
          <w:color w:val="1A1A1A"/>
          <w:sz w:val="20"/>
          <w:szCs w:val="20"/>
        </w:rPr>
        <w:t xml:space="preserve"> : le droit de grève a valeur constitutionnelle mais doit être concilié avec la </w:t>
      </w:r>
      <w:r>
        <w:rPr>
          <w:rFonts w:ascii="Calibri" w:cs="Calibri" w:eastAsia="Calibri" w:hAnsi="Calibri"/>
          <w:b/>
          <w:bCs/>
          <w:color w:val="1A1A1A"/>
          <w:sz w:val="20"/>
          <w:szCs w:val="20"/>
        </w:rPr>
        <w:t xml:space="preserve">continuité du service public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2 octobre 2001, Nikon, n° 99-42.942</w:t>
      </w:r>
      <w:r>
        <w:rPr>
          <w:rFonts w:ascii="Calibri" w:cs="Calibri" w:eastAsia="Calibri" w:hAnsi="Calibri"/>
          <w:color w:val="1A1A1A"/>
          <w:sz w:val="20"/>
          <w:szCs w:val="20"/>
        </w:rPr>
        <w:t xml:space="preserve"> : le salarié a droit, même au temps et au lieu de travail, au respect de l’intimité de sa vie privée et au secret des correspondances.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12 novembre 2008, Demir et Baykara c. Turquie, n° 34503/97</w:t>
      </w:r>
      <w:r>
        <w:rPr>
          <w:rFonts w:ascii="Calibri" w:cs="Calibri" w:eastAsia="Calibri" w:hAnsi="Calibri"/>
          <w:color w:val="1A1A1A"/>
          <w:sz w:val="20"/>
          <w:szCs w:val="20"/>
        </w:rPr>
        <w:t xml:space="preserve"> : le droit de mener des </w:t>
      </w:r>
      <w:r>
        <w:rPr>
          <w:rFonts w:ascii="Calibri" w:cs="Calibri" w:eastAsia="Calibri" w:hAnsi="Calibri"/>
          <w:b/>
          <w:bCs/>
          <w:color w:val="1A1A1A"/>
          <w:sz w:val="20"/>
          <w:szCs w:val="20"/>
        </w:rPr>
        <w:t xml:space="preserve">négociations collectives</w:t>
      </w:r>
      <w:r>
        <w:rPr>
          <w:rFonts w:ascii="Calibri" w:cs="Calibri" w:eastAsia="Calibri" w:hAnsi="Calibri"/>
          <w:color w:val="1A1A1A"/>
          <w:sz w:val="20"/>
          <w:szCs w:val="20"/>
        </w:rPr>
        <w:t xml:space="preserve"> est un élément essentiel de la liberté syndicale (</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au travail, droit fondamental ?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 proclamé</w:t>
      </w:r>
      <w:r>
        <w:rPr>
          <w:rFonts w:ascii="Calibri" w:cs="Calibri" w:eastAsia="Calibri" w:hAnsi="Calibri"/>
          <w:color w:val="1A1A1A"/>
          <w:sz w:val="20"/>
          <w:szCs w:val="20"/>
        </w:rPr>
        <w:t xml:space="preserve"> (A. Des sources multiples sans effet direct : </w:t>
      </w:r>
      <w:r>
        <w:rPr>
          <w:rFonts w:ascii="Calibri" w:cs="Calibri" w:eastAsia="Calibri" w:hAnsi="Calibri"/>
          <w:color w:val="1E88E5"/>
          <w:sz w:val="20"/>
          <w:szCs w:val="20"/>
        </w:rPr>
        <w:t xml:space="preserve">al. 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6 PIDESC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26 janvier 2000, Annad</w:t>
      </w:r>
      <w:r>
        <w:rPr>
          <w:rFonts w:ascii="Calibri" w:cs="Calibri" w:eastAsia="Calibri" w:hAnsi="Calibri"/>
          <w:color w:val="1A1A1A"/>
          <w:sz w:val="20"/>
          <w:szCs w:val="20"/>
        </w:rPr>
        <w:t xml:space="preserve">) ; B. Une obligation de moyens pour le législateur : </w:t>
      </w:r>
      <w:r>
        <w:rPr>
          <w:rFonts w:ascii="Calibri" w:cs="Calibri" w:eastAsia="Calibri" w:hAnsi="Calibri"/>
          <w:color w:val="E91E63"/>
          <w:sz w:val="20"/>
          <w:szCs w:val="20"/>
        </w:rPr>
        <w:t xml:space="preserve">2006-535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2001-455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 droit concrétisé par les droits du travailleur</w:t>
      </w:r>
      <w:r>
        <w:rPr>
          <w:rFonts w:ascii="Calibri" w:cs="Calibri" w:eastAsia="Calibri" w:hAnsi="Calibri"/>
          <w:color w:val="1A1A1A"/>
          <w:sz w:val="20"/>
          <w:szCs w:val="20"/>
        </w:rPr>
        <w:t xml:space="preserve"> (A. Les libertés individuelles dans l’entreprise : </w:t>
      </w:r>
      <w:r>
        <w:rPr>
          <w:rFonts w:ascii="Calibri" w:cs="Calibri" w:eastAsia="Calibri" w:hAnsi="Calibri"/>
          <w:color w:val="1E88E5"/>
          <w:sz w:val="20"/>
          <w:szCs w:val="20"/>
        </w:rPr>
        <w:t xml:space="preserve">art. L. 1121-1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Nikon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14 janvier 2026</w:t>
      </w:r>
      <w:r>
        <w:rPr>
          <w:rFonts w:ascii="Calibri" w:cs="Calibri" w:eastAsia="Calibri" w:hAnsi="Calibri"/>
          <w:color w:val="1A1A1A"/>
          <w:sz w:val="20"/>
          <w:szCs w:val="20"/>
        </w:rPr>
        <w:t xml:space="preserve"> ; B. Les libertés collectives : syndicat, grève, négociation — </w:t>
      </w:r>
      <w:r>
        <w:rPr>
          <w:rFonts w:ascii="Calibri" w:cs="Calibri" w:eastAsia="Calibri" w:hAnsi="Calibri"/>
          <w:color w:val="E91E63"/>
          <w:sz w:val="20"/>
          <w:szCs w:val="20"/>
        </w:rPr>
        <w:t xml:space="preserve">Demir et Baykara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Matelly</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Argumentation « Travailler n’est pas simplement un droit, mais aussi un devoir »</w:t>
      </w:r>
      <w:r>
        <w:rPr>
          <w:rFonts w:ascii="Calibri" w:cs="Calibri" w:eastAsia="Calibri" w:hAnsi="Calibri"/>
          <w:color w:val="1A1A1A"/>
          <w:sz w:val="20"/>
          <w:szCs w:val="20"/>
        </w:rPr>
        <w:t xml:space="preserve"> (sujet « Pour s’entraîner ») — </w:t>
      </w:r>
      <w:r>
        <w:rPr>
          <w:rFonts w:ascii="Calibri" w:cs="Calibri" w:eastAsia="Calibri" w:hAnsi="Calibri"/>
          <w:b/>
          <w:bCs/>
          <w:color w:val="1A1A1A"/>
          <w:sz w:val="20"/>
          <w:szCs w:val="20"/>
        </w:rPr>
        <w:t xml:space="preserve">I. Le droit au travail, garantie individuelle</w:t>
      </w:r>
      <w:r>
        <w:rPr>
          <w:rFonts w:ascii="Calibri" w:cs="Calibri" w:eastAsia="Calibri" w:hAnsi="Calibri"/>
          <w:color w:val="1A1A1A"/>
          <w:sz w:val="20"/>
          <w:szCs w:val="20"/>
        </w:rPr>
        <w:t xml:space="preserve"> (A. Une consécration constitutionnelle et internationale ; B. Des implications concrètes : politique de l’emploi, SMIC, protection contre le licenciement) / </w:t>
      </w:r>
      <w:r>
        <w:rPr>
          <w:rFonts w:ascii="Calibri" w:cs="Calibri" w:eastAsia="Calibri" w:hAnsi="Calibri"/>
          <w:b/>
          <w:bCs/>
          <w:color w:val="1A1A1A"/>
          <w:sz w:val="20"/>
          <w:szCs w:val="20"/>
        </w:rPr>
        <w:t xml:space="preserve">II. Le devoir de travailler, exigence civique</w:t>
      </w:r>
      <w:r>
        <w:rPr>
          <w:rFonts w:ascii="Calibri" w:cs="Calibri" w:eastAsia="Calibri" w:hAnsi="Calibri"/>
          <w:color w:val="1A1A1A"/>
          <w:sz w:val="20"/>
          <w:szCs w:val="20"/>
        </w:rPr>
        <w:t xml:space="preserve"> (A. Un devoir inscrit dans le texte et dans la conditionnalité des aides : </w:t>
      </w:r>
      <w:r>
        <w:rPr>
          <w:rFonts w:ascii="Calibri" w:cs="Calibri" w:eastAsia="Calibri" w:hAnsi="Calibri"/>
          <w:color w:val="1E88E5"/>
          <w:sz w:val="20"/>
          <w:szCs w:val="20"/>
        </w:rPr>
        <w:t xml:space="preserve">al. 5</w:t>
      </w:r>
      <w:r>
        <w:rPr>
          <w:rFonts w:ascii="Calibri" w:cs="Calibri" w:eastAsia="Calibri" w:hAnsi="Calibri"/>
          <w:color w:val="1A1A1A"/>
          <w:sz w:val="20"/>
          <w:szCs w:val="20"/>
        </w:rPr>
        <w:t xml:space="preserve">, RSA et quinze heures d’activité (</w:t>
      </w:r>
      <w:r>
        <w:rPr>
          <w:rFonts w:ascii="Calibri" w:cs="Calibri" w:eastAsia="Calibri" w:hAnsi="Calibri"/>
          <w:color w:val="1E88E5"/>
          <w:sz w:val="20"/>
          <w:szCs w:val="20"/>
        </w:rPr>
        <w:t xml:space="preserve">loi du 18 décembre 2023</w:t>
      </w:r>
      <w:r>
        <w:rPr>
          <w:rFonts w:ascii="Calibri" w:cs="Calibri" w:eastAsia="Calibri" w:hAnsi="Calibri"/>
          <w:color w:val="1A1A1A"/>
          <w:sz w:val="20"/>
          <w:szCs w:val="20"/>
        </w:rPr>
        <w:t xml:space="preserve">) ; B. Un devoir sans contrainte : interdiction du travail forcé (</w:t>
      </w:r>
      <w:r>
        <w:rPr>
          <w:rFonts w:ascii="Calibri" w:cs="Calibri" w:eastAsia="Calibri" w:hAnsi="Calibri"/>
          <w:color w:val="1E88E5"/>
          <w:sz w:val="20"/>
          <w:szCs w:val="20"/>
        </w:rPr>
        <w:t xml:space="preserve">art. 4 CEDH</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Siliadin</w:t>
      </w:r>
      <w:r>
        <w:rPr>
          <w:rFonts w:ascii="Calibri" w:cs="Calibri" w:eastAsia="Calibri" w:hAnsi="Calibri"/>
          <w:color w:val="1A1A1A"/>
          <w:sz w:val="20"/>
          <w:szCs w:val="20"/>
        </w:rPr>
        <w:t xml:space="preserve">), liberté de ne pas travailler).</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au travail ≠ liberté du travail</w:t>
      </w:r>
      <w:r>
        <w:rPr>
          <w:rFonts w:ascii="Calibri" w:cs="Calibri" w:eastAsia="Calibri" w:hAnsi="Calibri"/>
          <w:color w:val="1A1A1A"/>
          <w:sz w:val="20"/>
          <w:szCs w:val="20"/>
        </w:rPr>
        <w:t xml:space="preserve"> : le premier est une créance sur la collectivité, la seconde une liberté contre l’État et l’employeur (liberté de choisir et de quitter un emploi, interdiction des engagements perpétuels, </w:t>
      </w:r>
      <w:r>
        <w:rPr>
          <w:rFonts w:ascii="Calibri" w:cs="Calibri" w:eastAsia="Calibri" w:hAnsi="Calibri"/>
          <w:color w:val="1E88E5"/>
          <w:sz w:val="20"/>
          <w:szCs w:val="20"/>
        </w:rPr>
        <w:t xml:space="preserve">art. 1780 C. civ.</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 de sécurité</w:t>
      </w:r>
      <w:r>
        <w:rPr>
          <w:rFonts w:ascii="Calibri" w:cs="Calibri" w:eastAsia="Calibri" w:hAnsi="Calibri"/>
          <w:color w:val="1A1A1A"/>
          <w:sz w:val="20"/>
          <w:szCs w:val="20"/>
        </w:rPr>
        <w:t xml:space="preserve"> : l’employeur n’est plus tenu d’une obligation de résultat au sens strict ; il peut s’exonérer en prouvant avoir pris toutes les mesures de prévention prévues par les </w:t>
      </w:r>
      <w:r>
        <w:rPr>
          <w:rFonts w:ascii="Calibri" w:cs="Calibri" w:eastAsia="Calibri" w:hAnsi="Calibri"/>
          <w:color w:val="1E88E5"/>
          <w:sz w:val="20"/>
          <w:szCs w:val="20"/>
        </w:rPr>
        <w:t xml:space="preserve">art. L. 4121-1 et L. 4121-2 C. trav.</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25 novembre 2015, Air France</w:t>
      </w:r>
      <w:r>
        <w:rPr>
          <w:rFonts w:ascii="Calibri" w:cs="Calibri" w:eastAsia="Calibri" w:hAnsi="Calibri"/>
          <w:color w:val="1A1A1A"/>
          <w:sz w:val="20"/>
          <w:szCs w:val="20"/>
        </w:rPr>
        <w:t xml:space="preserve">) — le fascicule maintient à tort la qualification de résultat.</w:t>
      </w:r>
    </w:p>
    <w:p>
      <w:pPr>
        <w:pStyle w:val="ListParagraph"/>
        <w:numPr>
          <w:ilvl w:val="0"/>
          <w:numId w:val="2"/>
        </w:numPr>
        <w:spacing w:after="70" w:line="264"/>
        <w:jc w:val="both"/>
      </w:pPr>
      <w:r>
        <w:rPr>
          <w:rFonts w:ascii="Calibri" w:cs="Calibri" w:eastAsia="Calibri" w:hAnsi="Calibri"/>
          <w:b/>
          <w:bCs/>
          <w:color w:val="1A1A1A"/>
          <w:sz w:val="20"/>
          <w:szCs w:val="20"/>
        </w:rPr>
        <w:t xml:space="preserve">Pas de droit de se taire pour le salarié</w:t>
      </w:r>
      <w:r>
        <w:rPr>
          <w:rFonts w:ascii="Calibri" w:cs="Calibri" w:eastAsia="Calibri" w:hAnsi="Calibri"/>
          <w:color w:val="1A1A1A"/>
          <w:sz w:val="20"/>
          <w:szCs w:val="20"/>
        </w:rPr>
        <w:t xml:space="preserve"> : les garanties de la matière répressive (</w:t>
      </w:r>
      <w:r>
        <w:rPr>
          <w:rFonts w:ascii="Calibri" w:cs="Calibri" w:eastAsia="Calibri" w:hAnsi="Calibri"/>
          <w:color w:val="1E88E5"/>
          <w:sz w:val="20"/>
          <w:szCs w:val="20"/>
        </w:rPr>
        <w:t xml:space="preserve">art. 9 DDHC</w:t>
      </w:r>
      <w:r>
        <w:rPr>
          <w:rFonts w:ascii="Calibri" w:cs="Calibri" w:eastAsia="Calibri" w:hAnsi="Calibri"/>
          <w:color w:val="1A1A1A"/>
          <w:sz w:val="20"/>
          <w:szCs w:val="20"/>
        </w:rPr>
        <w:t xml:space="preserve">) ne s’appliquent pas à l’entretien préalable au licenciement, la sanction de l’employeur privé n’étant pas une punition (</w:t>
      </w:r>
      <w:r>
        <w:rPr>
          <w:rFonts w:ascii="Calibri" w:cs="Calibri" w:eastAsia="Calibri" w:hAnsi="Calibri"/>
          <w:color w:val="E91E63"/>
          <w:sz w:val="20"/>
          <w:szCs w:val="20"/>
        </w:rPr>
        <w:t xml:space="preserve">2025-1160/1161/1162 QPC, 19 septembre 2025</w:t>
      </w:r>
      <w:r>
        <w:rPr>
          <w:rFonts w:ascii="Calibri" w:cs="Calibri" w:eastAsia="Calibri" w:hAnsi="Calibri"/>
          <w:color w:val="1A1A1A"/>
          <w:sz w:val="20"/>
          <w:szCs w:val="20"/>
        </w:rPr>
        <w:t xml:space="preserve">).</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23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(droit au travail), </w:t>
      </w:r>
      <w:r>
        <w:rPr>
          <w:rFonts w:ascii="Calibri" w:cs="Calibri" w:eastAsia="Calibri" w:hAnsi="Calibri"/>
          <w:color w:val="1E88E5"/>
          <w:sz w:val="20"/>
          <w:szCs w:val="20"/>
        </w:rPr>
        <w:t xml:space="preserve">7</w:t>
      </w:r>
      <w:r>
        <w:rPr>
          <w:rFonts w:ascii="Calibri" w:cs="Calibri" w:eastAsia="Calibri" w:hAnsi="Calibri"/>
          <w:color w:val="1A1A1A"/>
          <w:sz w:val="20"/>
          <w:szCs w:val="20"/>
        </w:rPr>
        <w:t xml:space="preserve"> (conditions équitables) et </w:t>
      </w:r>
      <w:r>
        <w:rPr>
          <w:rFonts w:ascii="Calibri" w:cs="Calibri" w:eastAsia="Calibri" w:hAnsi="Calibri"/>
          <w:color w:val="1E88E5"/>
          <w:sz w:val="20"/>
          <w:szCs w:val="20"/>
        </w:rPr>
        <w:t xml:space="preserve">8 PIDESC</w:t>
      </w:r>
      <w:r>
        <w:rPr>
          <w:rFonts w:ascii="Calibri" w:cs="Calibri" w:eastAsia="Calibri" w:hAnsi="Calibri"/>
          <w:color w:val="1A1A1A"/>
          <w:sz w:val="20"/>
          <w:szCs w:val="20"/>
        </w:rPr>
        <w:t xml:space="preserve"> (droits syndicaux, grève) ; </w:t>
      </w:r>
      <w:r>
        <w:rPr>
          <w:rFonts w:ascii="Calibri" w:cs="Calibri" w:eastAsia="Calibri" w:hAnsi="Calibri"/>
          <w:color w:val="1E88E5"/>
          <w:sz w:val="20"/>
          <w:szCs w:val="20"/>
        </w:rPr>
        <w:t xml:space="preserve">art. 8 § 3 PIDCP</w:t>
      </w:r>
      <w:r>
        <w:rPr>
          <w:rFonts w:ascii="Calibri" w:cs="Calibri" w:eastAsia="Calibri" w:hAnsi="Calibri"/>
          <w:color w:val="1A1A1A"/>
          <w:sz w:val="20"/>
          <w:szCs w:val="20"/>
        </w:rPr>
        <w:t xml:space="preserve"> (travail forcé) ; OIT — </w:t>
      </w:r>
      <w:r>
        <w:rPr>
          <w:rFonts w:ascii="Calibri" w:cs="Calibri" w:eastAsia="Calibri" w:hAnsi="Calibri"/>
          <w:color w:val="1E88E5"/>
          <w:sz w:val="20"/>
          <w:szCs w:val="20"/>
        </w:rPr>
        <w:t xml:space="preserve">Déclaration de Philadelphie (1944)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Déclaration de 1998 relative aux principes et droits fondamentaux au travail</w:t>
      </w:r>
      <w:r>
        <w:rPr>
          <w:rFonts w:ascii="Calibri" w:cs="Calibri" w:eastAsia="Calibri" w:hAnsi="Calibri"/>
          <w:color w:val="1A1A1A"/>
          <w:sz w:val="20"/>
          <w:szCs w:val="20"/>
        </w:rPr>
        <w:t xml:space="preserve"> (révisée en 2022 : cinq principes, dont un milieu de travail sûr et salubre), conventions </w:t>
      </w:r>
      <w:r>
        <w:rPr>
          <w:rFonts w:ascii="Calibri" w:cs="Calibri" w:eastAsia="Calibri" w:hAnsi="Calibri"/>
          <w:color w:val="1E88E5"/>
          <w:sz w:val="20"/>
          <w:szCs w:val="20"/>
        </w:rPr>
        <w:t xml:space="preserve">n° 29 et 105</w:t>
      </w:r>
      <w:r>
        <w:rPr>
          <w:rFonts w:ascii="Calibri" w:cs="Calibri" w:eastAsia="Calibri" w:hAnsi="Calibri"/>
          <w:color w:val="1A1A1A"/>
          <w:sz w:val="20"/>
          <w:szCs w:val="20"/>
        </w:rPr>
        <w:t xml:space="preserve"> (travail forcé), </w:t>
      </w:r>
      <w:r>
        <w:rPr>
          <w:rFonts w:ascii="Calibri" w:cs="Calibri" w:eastAsia="Calibri" w:hAnsi="Calibri"/>
          <w:color w:val="1E88E5"/>
          <w:sz w:val="20"/>
          <w:szCs w:val="20"/>
        </w:rPr>
        <w:t xml:space="preserve">87 et 98</w:t>
      </w:r>
      <w:r>
        <w:rPr>
          <w:rFonts w:ascii="Calibri" w:cs="Calibri" w:eastAsia="Calibri" w:hAnsi="Calibri"/>
          <w:color w:val="1A1A1A"/>
          <w:sz w:val="20"/>
          <w:szCs w:val="20"/>
        </w:rPr>
        <w:t xml:space="preserve"> (liberté syndicale), </w:t>
      </w:r>
      <w:r>
        <w:rPr>
          <w:rFonts w:ascii="Calibri" w:cs="Calibri" w:eastAsia="Calibri" w:hAnsi="Calibri"/>
          <w:color w:val="1E88E5"/>
          <w:sz w:val="20"/>
          <w:szCs w:val="20"/>
        </w:rPr>
        <w:t xml:space="preserve">100 et 111</w:t>
      </w:r>
      <w:r>
        <w:rPr>
          <w:rFonts w:ascii="Calibri" w:cs="Calibri" w:eastAsia="Calibri" w:hAnsi="Calibri"/>
          <w:color w:val="1A1A1A"/>
          <w:sz w:val="20"/>
          <w:szCs w:val="20"/>
        </w:rPr>
        <w:t xml:space="preserve"> (égalité), </w:t>
      </w:r>
      <w:r>
        <w:rPr>
          <w:rFonts w:ascii="Calibri" w:cs="Calibri" w:eastAsia="Calibri" w:hAnsi="Calibri"/>
          <w:color w:val="1E88E5"/>
          <w:sz w:val="20"/>
          <w:szCs w:val="20"/>
        </w:rPr>
        <w:t xml:space="preserve">138 et 182</w:t>
      </w:r>
      <w:r>
        <w:rPr>
          <w:rFonts w:ascii="Calibri" w:cs="Calibri" w:eastAsia="Calibri" w:hAnsi="Calibri"/>
          <w:color w:val="1A1A1A"/>
          <w:sz w:val="20"/>
          <w:szCs w:val="20"/>
        </w:rPr>
        <w:t xml:space="preserve"> (enfants), </w:t>
      </w:r>
      <w:r>
        <w:rPr>
          <w:rFonts w:ascii="Calibri" w:cs="Calibri" w:eastAsia="Calibri" w:hAnsi="Calibri"/>
          <w:color w:val="1E88E5"/>
          <w:sz w:val="20"/>
          <w:szCs w:val="20"/>
        </w:rPr>
        <w:t xml:space="preserve">158</w:t>
      </w:r>
      <w:r>
        <w:rPr>
          <w:rFonts w:ascii="Calibri" w:cs="Calibri" w:eastAsia="Calibri" w:hAnsi="Calibri"/>
          <w:color w:val="1A1A1A"/>
          <w:sz w:val="20"/>
          <w:szCs w:val="20"/>
        </w:rPr>
        <w:t xml:space="preserve"> (licenciement).</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4 CEDH</w:t>
      </w:r>
      <w:r>
        <w:rPr>
          <w:rFonts w:ascii="Calibri" w:cs="Calibri" w:eastAsia="Calibri" w:hAnsi="Calibri"/>
          <w:color w:val="1A1A1A"/>
          <w:sz w:val="20"/>
          <w:szCs w:val="20"/>
        </w:rPr>
        <w:t xml:space="preserve"> (travail forcé) ; </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(liberté syndicale) ; </w:t>
      </w:r>
      <w:r>
        <w:rPr>
          <w:rFonts w:ascii="Calibri" w:cs="Calibri" w:eastAsia="Calibri" w:hAnsi="Calibri"/>
          <w:color w:val="1E88E5"/>
          <w:sz w:val="20"/>
          <w:szCs w:val="20"/>
        </w:rPr>
        <w:t xml:space="preserve">Charte sociale européenne révisée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w:t>
      </w:r>
      <w:r>
        <w:rPr>
          <w:rFonts w:ascii="Calibri" w:cs="Calibri" w:eastAsia="Calibri" w:hAnsi="Calibri"/>
          <w:color w:val="1A1A1A"/>
          <w:sz w:val="20"/>
          <w:szCs w:val="20"/>
        </w:rPr>
        <w:t xml:space="preserve"> (droit au travail), </w:t>
      </w:r>
      <w:r>
        <w:rPr>
          <w:rFonts w:ascii="Calibri" w:cs="Calibri" w:eastAsia="Calibri" w:hAnsi="Calibri"/>
          <w:color w:val="1E88E5"/>
          <w:sz w:val="20"/>
          <w:szCs w:val="20"/>
        </w:rPr>
        <w:t xml:space="preserve">art. 5</w:t>
      </w:r>
      <w:r>
        <w:rPr>
          <w:rFonts w:ascii="Calibri" w:cs="Calibri" w:eastAsia="Calibri" w:hAnsi="Calibri"/>
          <w:color w:val="1A1A1A"/>
          <w:sz w:val="20"/>
          <w:szCs w:val="20"/>
        </w:rPr>
        <w:t xml:space="preserve"> (droit syndical), </w:t>
      </w:r>
      <w:r>
        <w:rPr>
          <w:rFonts w:ascii="Calibri" w:cs="Calibri" w:eastAsia="Calibri" w:hAnsi="Calibri"/>
          <w:color w:val="1E88E5"/>
          <w:sz w:val="20"/>
          <w:szCs w:val="20"/>
        </w:rPr>
        <w:t xml:space="preserve">art. 6</w:t>
      </w:r>
      <w:r>
        <w:rPr>
          <w:rFonts w:ascii="Calibri" w:cs="Calibri" w:eastAsia="Calibri" w:hAnsi="Calibri"/>
          <w:color w:val="1A1A1A"/>
          <w:sz w:val="20"/>
          <w:szCs w:val="20"/>
        </w:rPr>
        <w:t xml:space="preserve"> (négociation collective, grève), </w:t>
      </w:r>
      <w:r>
        <w:rPr>
          <w:rFonts w:ascii="Calibri" w:cs="Calibri" w:eastAsia="Calibri" w:hAnsi="Calibri"/>
          <w:color w:val="1E88E5"/>
          <w:sz w:val="20"/>
          <w:szCs w:val="20"/>
        </w:rPr>
        <w:t xml:space="preserve">art. 24</w:t>
      </w:r>
      <w:r>
        <w:rPr>
          <w:rFonts w:ascii="Calibri" w:cs="Calibri" w:eastAsia="Calibri" w:hAnsi="Calibri"/>
          <w:color w:val="1A1A1A"/>
          <w:sz w:val="20"/>
          <w:szCs w:val="20"/>
        </w:rPr>
        <w:t xml:space="preserve"> (protection en cas de licenciement) ; </w:t>
      </w:r>
      <w:r>
        <w:rPr>
          <w:rFonts w:ascii="Calibri" w:cs="Calibri" w:eastAsia="Calibri" w:hAnsi="Calibri"/>
          <w:color w:val="1E88E5"/>
          <w:sz w:val="20"/>
          <w:szCs w:val="20"/>
        </w:rPr>
        <w:t xml:space="preserve">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15</w:t>
      </w:r>
      <w:r>
        <w:rPr>
          <w:rFonts w:ascii="Calibri" w:cs="Calibri" w:eastAsia="Calibri" w:hAnsi="Calibri"/>
          <w:color w:val="1A1A1A"/>
          <w:sz w:val="20"/>
          <w:szCs w:val="20"/>
        </w:rPr>
        <w:t xml:space="preserve"> (liberté professionnelle), </w:t>
      </w:r>
      <w:r>
        <w:rPr>
          <w:rFonts w:ascii="Calibri" w:cs="Calibri" w:eastAsia="Calibri" w:hAnsi="Calibri"/>
          <w:color w:val="1E88E5"/>
          <w:sz w:val="20"/>
          <w:szCs w:val="20"/>
        </w:rPr>
        <w:t xml:space="preserve">27</w:t>
      </w:r>
      <w:r>
        <w:rPr>
          <w:rFonts w:ascii="Calibri" w:cs="Calibri" w:eastAsia="Calibri" w:hAnsi="Calibri"/>
          <w:color w:val="1A1A1A"/>
          <w:sz w:val="20"/>
          <w:szCs w:val="20"/>
        </w:rPr>
        <w:t xml:space="preserve"> (information et consultation), </w:t>
      </w:r>
      <w:r>
        <w:rPr>
          <w:rFonts w:ascii="Calibri" w:cs="Calibri" w:eastAsia="Calibri" w:hAnsi="Calibri"/>
          <w:color w:val="1E88E5"/>
          <w:sz w:val="20"/>
          <w:szCs w:val="20"/>
        </w:rPr>
        <w:t xml:space="preserve">28</w:t>
      </w:r>
      <w:r>
        <w:rPr>
          <w:rFonts w:ascii="Calibri" w:cs="Calibri" w:eastAsia="Calibri" w:hAnsi="Calibri"/>
          <w:color w:val="1A1A1A"/>
          <w:sz w:val="20"/>
          <w:szCs w:val="20"/>
        </w:rPr>
        <w:t xml:space="preserve"> (négociation et action collectives), </w:t>
      </w:r>
      <w:r>
        <w:rPr>
          <w:rFonts w:ascii="Calibri" w:cs="Calibri" w:eastAsia="Calibri" w:hAnsi="Calibri"/>
          <w:color w:val="1E88E5"/>
          <w:sz w:val="20"/>
          <w:szCs w:val="20"/>
        </w:rPr>
        <w:t xml:space="preserve">30</w:t>
      </w:r>
      <w:r>
        <w:rPr>
          <w:rFonts w:ascii="Calibri" w:cs="Calibri" w:eastAsia="Calibri" w:hAnsi="Calibri"/>
          <w:color w:val="1A1A1A"/>
          <w:sz w:val="20"/>
          <w:szCs w:val="20"/>
        </w:rPr>
        <w:t xml:space="preserve"> (licenciement injustifié), </w:t>
      </w:r>
      <w:r>
        <w:rPr>
          <w:rFonts w:ascii="Calibri" w:cs="Calibri" w:eastAsia="Calibri" w:hAnsi="Calibri"/>
          <w:color w:val="1E88E5"/>
          <w:sz w:val="20"/>
          <w:szCs w:val="20"/>
        </w:rPr>
        <w:t xml:space="preserve">31</w:t>
      </w:r>
      <w:r>
        <w:rPr>
          <w:rFonts w:ascii="Calibri" w:cs="Calibri" w:eastAsia="Calibri" w:hAnsi="Calibri"/>
          <w:color w:val="1A1A1A"/>
          <w:sz w:val="20"/>
          <w:szCs w:val="20"/>
        </w:rPr>
        <w:t xml:space="preserve"> (conditions de travail justes et équitables).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5</w:t>
      </w:r>
      <w:r>
        <w:rPr>
          <w:rFonts w:ascii="Calibri" w:cs="Calibri" w:eastAsia="Calibri" w:hAnsi="Calibri"/>
          <w:color w:val="1A1A1A"/>
          <w:sz w:val="20"/>
          <w:szCs w:val="20"/>
        </w:rPr>
        <w:t xml:space="preserve"> (devoir de travailler, droit d’obtenir un emploi, non-discrimination) ; </w:t>
      </w:r>
      <w:r>
        <w:rPr>
          <w:rFonts w:ascii="Calibri" w:cs="Calibri" w:eastAsia="Calibri" w:hAnsi="Calibri"/>
          <w:color w:val="1E88E5"/>
          <w:sz w:val="20"/>
          <w:szCs w:val="20"/>
        </w:rPr>
        <w:t xml:space="preserve">al. 6</w:t>
      </w:r>
      <w:r>
        <w:rPr>
          <w:rFonts w:ascii="Calibri" w:cs="Calibri" w:eastAsia="Calibri" w:hAnsi="Calibri"/>
          <w:color w:val="1A1A1A"/>
          <w:sz w:val="20"/>
          <w:szCs w:val="20"/>
        </w:rPr>
        <w:t xml:space="preserve"> (liberté syndicale) ; </w:t>
      </w:r>
      <w:r>
        <w:rPr>
          <w:rFonts w:ascii="Calibri" w:cs="Calibri" w:eastAsia="Calibri" w:hAnsi="Calibri"/>
          <w:color w:val="1E88E5"/>
          <w:sz w:val="20"/>
          <w:szCs w:val="20"/>
        </w:rPr>
        <w:t xml:space="preserve">al. 7</w:t>
      </w:r>
      <w:r>
        <w:rPr>
          <w:rFonts w:ascii="Calibri" w:cs="Calibri" w:eastAsia="Calibri" w:hAnsi="Calibri"/>
          <w:color w:val="1A1A1A"/>
          <w:sz w:val="20"/>
          <w:szCs w:val="20"/>
        </w:rPr>
        <w:t xml:space="preserve"> (droit de grève « dans le cadre des lois qui le réglementent ») ; </w:t>
      </w:r>
      <w:r>
        <w:rPr>
          <w:rFonts w:ascii="Calibri" w:cs="Calibri" w:eastAsia="Calibri" w:hAnsi="Calibri"/>
          <w:color w:val="1E88E5"/>
          <w:sz w:val="20"/>
          <w:szCs w:val="20"/>
        </w:rPr>
        <w:t xml:space="preserve">al. 8</w:t>
      </w:r>
      <w:r>
        <w:rPr>
          <w:rFonts w:ascii="Calibri" w:cs="Calibri" w:eastAsia="Calibri" w:hAnsi="Calibri"/>
          <w:color w:val="1A1A1A"/>
          <w:sz w:val="20"/>
          <w:szCs w:val="20"/>
        </w:rPr>
        <w:t xml:space="preserve"> (participation) ; </w:t>
      </w:r>
      <w:r>
        <w:rPr>
          <w:rFonts w:ascii="Calibri" w:cs="Calibri" w:eastAsia="Calibri" w:hAnsi="Calibri"/>
          <w:color w:val="1E88E5"/>
          <w:sz w:val="20"/>
          <w:szCs w:val="20"/>
        </w:rPr>
        <w:t xml:space="preserve">art. 34 C.</w:t>
      </w:r>
      <w:r>
        <w:rPr>
          <w:rFonts w:ascii="Calibri" w:cs="Calibri" w:eastAsia="Calibri" w:hAnsi="Calibri"/>
          <w:color w:val="1A1A1A"/>
          <w:sz w:val="20"/>
          <w:szCs w:val="20"/>
        </w:rPr>
        <w:t xml:space="preserve"> (principes fondamentaux du droit du travail et du droit syndical).</w:t>
      </w:r>
    </w:p>
    <w:p>
      <w:pPr>
        <w:pStyle w:val="ListParagraph"/>
        <w:numPr>
          <w:ilvl w:val="0"/>
          <w:numId w:val="2"/>
        </w:numPr>
        <w:spacing w:after="70" w:line="264"/>
        <w:jc w:val="both"/>
      </w:pPr>
      <w:r>
        <w:rPr>
          <w:rFonts w:ascii="Calibri" w:cs="Calibri" w:eastAsia="Calibri" w:hAnsi="Calibri"/>
          <w:b/>
          <w:bCs/>
          <w:color w:val="1A1A1A"/>
          <w:sz w:val="20"/>
          <w:szCs w:val="20"/>
        </w:rPr>
        <w:t xml:space="preserve">Effet direct</w:t>
      </w:r>
      <w:r>
        <w:rPr>
          <w:rFonts w:ascii="Calibri" w:cs="Calibri" w:eastAsia="Calibri" w:hAnsi="Calibri"/>
          <w:color w:val="1A1A1A"/>
          <w:sz w:val="20"/>
          <w:szCs w:val="20"/>
        </w:rPr>
        <w:t xml:space="preserve"> : refusé à l’</w:t>
      </w:r>
      <w:r>
        <w:rPr>
          <w:rFonts w:ascii="Calibri" w:cs="Calibri" w:eastAsia="Calibri" w:hAnsi="Calibri"/>
          <w:color w:val="1E88E5"/>
          <w:sz w:val="20"/>
          <w:szCs w:val="20"/>
        </w:rPr>
        <w:t xml:space="preserve">art. 6 PIDESC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26 janvier 2000, Annad</w:t>
      </w:r>
      <w:r>
        <w:rPr>
          <w:rFonts w:ascii="Calibri" w:cs="Calibri" w:eastAsia="Calibri" w:hAnsi="Calibri"/>
          <w:color w:val="1A1A1A"/>
          <w:sz w:val="20"/>
          <w:szCs w:val="20"/>
        </w:rPr>
        <w:t xml:space="preserve">) et à l’</w:t>
      </w:r>
      <w:r>
        <w:rPr>
          <w:rFonts w:ascii="Calibri" w:cs="Calibri" w:eastAsia="Calibri" w:hAnsi="Calibri"/>
          <w:color w:val="1E88E5"/>
          <w:sz w:val="20"/>
          <w:szCs w:val="20"/>
        </w:rPr>
        <w:t xml:space="preserve">art. 24 Charte sociale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11 mai 2022</w:t>
      </w:r>
      <w:r>
        <w:rPr>
          <w:rFonts w:ascii="Calibri" w:cs="Calibri" w:eastAsia="Calibri" w:hAnsi="Calibri"/>
          <w:color w:val="1A1A1A"/>
          <w:sz w:val="20"/>
          <w:szCs w:val="20"/>
        </w:rPr>
        <w:t xml:space="preserve">, barème « Macron ») ; reconnu à l’</w:t>
      </w:r>
      <w:r>
        <w:rPr>
          <w:rFonts w:ascii="Calibri" w:cs="Calibri" w:eastAsia="Calibri" w:hAnsi="Calibri"/>
          <w:color w:val="1E88E5"/>
          <w:sz w:val="20"/>
          <w:szCs w:val="20"/>
        </w:rPr>
        <w:t xml:space="preserve">art. 10 de la convention n° 158 de l’OIT</w:t>
      </w:r>
      <w:r>
        <w:rPr>
          <w:rFonts w:ascii="Calibri" w:cs="Calibri" w:eastAsia="Calibri" w:hAnsi="Calibri"/>
          <w:color w:val="1A1A1A"/>
          <w:sz w:val="20"/>
          <w:szCs w:val="20"/>
        </w:rPr>
        <w:t xml:space="preserve">, dont le barème a été jugé compatible.</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le droit au travail n’est guère justiciable comme créance ; il l’est comme </w:t>
      </w:r>
      <w:r>
        <w:rPr>
          <w:rFonts w:ascii="Calibri" w:cs="Calibri" w:eastAsia="Calibri" w:hAnsi="Calibri"/>
          <w:b/>
          <w:bCs/>
          <w:color w:val="1A1A1A"/>
          <w:sz w:val="20"/>
          <w:szCs w:val="20"/>
        </w:rPr>
        <w:t xml:space="preserve">faisceau de libertés</w:t>
      </w:r>
      <w:r>
        <w:rPr>
          <w:rFonts w:ascii="Calibri" w:cs="Calibri" w:eastAsia="Calibri" w:hAnsi="Calibri"/>
          <w:color w:val="1A1A1A"/>
          <w:sz w:val="20"/>
          <w:szCs w:val="20"/>
        </w:rPr>
        <w:t xml:space="preserve"> du travailleur et comme </w:t>
      </w:r>
      <w:r>
        <w:rPr>
          <w:rFonts w:ascii="Calibri" w:cs="Calibri" w:eastAsia="Calibri" w:hAnsi="Calibri"/>
          <w:b/>
          <w:bCs/>
          <w:color w:val="1A1A1A"/>
          <w:sz w:val="20"/>
          <w:szCs w:val="20"/>
        </w:rPr>
        <w:t xml:space="preserve">limite</w:t>
      </w:r>
      <w:r>
        <w:rPr>
          <w:rFonts w:ascii="Calibri" w:cs="Calibri" w:eastAsia="Calibri" w:hAnsi="Calibri"/>
          <w:color w:val="1A1A1A"/>
          <w:sz w:val="20"/>
          <w:szCs w:val="20"/>
        </w:rPr>
        <w:t xml:space="preserve"> à la liberté d’entreprendre (</w:t>
      </w:r>
      <w:r>
        <w:rPr>
          <w:rFonts w:ascii="Calibri" w:cs="Calibri" w:eastAsia="Calibri" w:hAnsi="Calibri"/>
          <w:color w:val="E91E63"/>
          <w:sz w:val="20"/>
          <w:szCs w:val="20"/>
        </w:rPr>
        <w:t xml:space="preserve">2001-455 DC</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2. Le droit d’obtenir un emploi</w:t>
      </w:r>
    </w:p>
    <w:p>
      <w:pPr>
        <w:pStyle w:val="ListParagraph"/>
        <w:numPr>
          <w:ilvl w:val="0"/>
          <w:numId w:val="2"/>
        </w:numPr>
        <w:spacing w:after="70" w:line="264"/>
        <w:jc w:val="both"/>
      </w:pPr>
      <w:r>
        <w:rPr>
          <w:rFonts w:ascii="Calibri" w:cs="Calibri" w:eastAsia="Calibri" w:hAnsi="Calibri"/>
          <w:b/>
          <w:bCs/>
          <w:color w:val="1A1A1A"/>
          <w:sz w:val="20"/>
          <w:szCs w:val="20"/>
        </w:rPr>
        <w:t xml:space="preserve">Obligation de moyens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2006-535 DC</w:t>
      </w:r>
      <w:r>
        <w:rPr>
          <w:rFonts w:ascii="Calibri" w:cs="Calibri" w:eastAsia="Calibri" w:hAnsi="Calibri"/>
          <w:color w:val="1A1A1A"/>
          <w:sz w:val="20"/>
          <w:szCs w:val="20"/>
        </w:rPr>
        <w:t xml:space="preserve"> (contrat première embauche — conforme) ; contrôle restreint à l’erreur manifeste (</w:t>
      </w:r>
      <w:r>
        <w:rPr>
          <w:rFonts w:ascii="Calibri" w:cs="Calibri" w:eastAsia="Calibri" w:hAnsi="Calibri"/>
          <w:color w:val="E91E63"/>
          <w:sz w:val="20"/>
          <w:szCs w:val="20"/>
        </w:rPr>
        <w:t xml:space="preserve">2007-555 DC, 16 août 2007, TEPA</w:t>
      </w:r>
      <w:r>
        <w:rPr>
          <w:rFonts w:ascii="Calibri" w:cs="Calibri" w:eastAsia="Calibri" w:hAnsi="Calibri"/>
          <w:color w:val="1A1A1A"/>
          <w:sz w:val="20"/>
          <w:szCs w:val="20"/>
        </w:rPr>
        <w:t xml:space="preserve">) ; valeur constitutionnelle du droit au travail opposée à une loi d’habilitation (</w:t>
      </w:r>
      <w:r>
        <w:rPr>
          <w:rFonts w:ascii="Calibri" w:cs="Calibri" w:eastAsia="Calibri" w:hAnsi="Calibri"/>
          <w:color w:val="E91E63"/>
          <w:sz w:val="20"/>
          <w:szCs w:val="20"/>
        </w:rPr>
        <w:t xml:space="preserve">86-207 DC, 25-26 juin 1986</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Pas de liberté fondamentale</w:t>
      </w:r>
      <w:r>
        <w:rPr>
          <w:rFonts w:ascii="Calibri" w:cs="Calibri" w:eastAsia="Calibri" w:hAnsi="Calibri"/>
          <w:color w:val="1A1A1A"/>
          <w:sz w:val="20"/>
          <w:szCs w:val="20"/>
        </w:rPr>
        <w:t xml:space="preserve"> au sens du référé-liberté (</w:t>
      </w:r>
      <w:r>
        <w:rPr>
          <w:rFonts w:ascii="Calibri" w:cs="Calibri" w:eastAsia="Calibri" w:hAnsi="Calibri"/>
          <w:color w:val="E91E63"/>
          <w:sz w:val="20"/>
          <w:szCs w:val="20"/>
        </w:rPr>
        <w:t xml:space="preserve">CE, sect., 28 février 2001, Casanovas</w:t>
      </w:r>
      <w:r>
        <w:rPr>
          <w:rFonts w:ascii="Calibri" w:cs="Calibri" w:eastAsia="Calibri" w:hAnsi="Calibri"/>
          <w:color w:val="1A1A1A"/>
          <w:sz w:val="20"/>
          <w:szCs w:val="20"/>
        </w:rPr>
        <w:t xml:space="preserve">) ; le droit à l’emploi ne justifie pas la poursuite d’un contrat de mission requalifié (</w:t>
      </w:r>
      <w:r>
        <w:rPr>
          <w:rFonts w:ascii="Calibri" w:cs="Calibri" w:eastAsia="Calibri" w:hAnsi="Calibri"/>
          <w:color w:val="E91E63"/>
          <w:sz w:val="20"/>
          <w:szCs w:val="20"/>
        </w:rPr>
        <w:t xml:space="preserve">Cass. soc., 21 septembre 2017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SMIC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3231-2 C. trav.</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assurance chômage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conditionnalité</w:t>
      </w:r>
      <w:r>
        <w:rPr>
          <w:rFonts w:ascii="Calibri" w:cs="Calibri" w:eastAsia="Calibri" w:hAnsi="Calibri"/>
          <w:color w:val="1A1A1A"/>
          <w:sz w:val="20"/>
          <w:szCs w:val="20"/>
        </w:rPr>
        <w:t xml:space="preserve"> des minima sociaux : RSA subordonné à quinze heures d’activité hebdomadaire (</w:t>
      </w:r>
      <w:r>
        <w:rPr>
          <w:rFonts w:ascii="Calibri" w:cs="Calibri" w:eastAsia="Calibri" w:hAnsi="Calibri"/>
          <w:color w:val="1E88E5"/>
          <w:sz w:val="20"/>
          <w:szCs w:val="20"/>
        </w:rPr>
        <w:t xml:space="preserve">loi n° 2023-1196 du 18 décembre 2023 pour le plein emploi</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Les libertés individuelles du salarié</w:t>
      </w:r>
    </w:p>
    <w:p>
      <w:pPr>
        <w:pStyle w:val="ListParagraph"/>
        <w:numPr>
          <w:ilvl w:val="0"/>
          <w:numId w:val="2"/>
        </w:numPr>
        <w:spacing w:after="70" w:line="264"/>
        <w:jc w:val="both"/>
      </w:pPr>
      <w:r>
        <w:rPr>
          <w:rFonts w:ascii="Calibri" w:cs="Calibri" w:eastAsia="Calibri" w:hAnsi="Calibri"/>
          <w:b/>
          <w:bCs/>
          <w:color w:val="1A1A1A"/>
          <w:sz w:val="20"/>
          <w:szCs w:val="20"/>
        </w:rPr>
        <w:t xml:space="preserve">Principe de proportionnalité</w:t>
      </w:r>
      <w:r>
        <w:rPr>
          <w:rFonts w:ascii="Calibri" w:cs="Calibri" w:eastAsia="Calibri" w:hAnsi="Calibri"/>
          <w:color w:val="1A1A1A"/>
          <w:sz w:val="20"/>
          <w:szCs w:val="20"/>
        </w:rPr>
        <w:t xml:space="preserve"> : « Nul ne peut apporter aux droits des personnes et aux libertés individuelles et collectives de restrictions qui ne seraient pas justifiées par la nature de la tâche à accomplir ni proportionnées au but recherché » (</w:t>
      </w:r>
      <w:r>
        <w:rPr>
          <w:rFonts w:ascii="Calibri" w:cs="Calibri" w:eastAsia="Calibri" w:hAnsi="Calibri"/>
          <w:color w:val="1E88E5"/>
          <w:sz w:val="20"/>
          <w:szCs w:val="20"/>
        </w:rPr>
        <w:t xml:space="preserve">art. L. 1121-1 C. trav.</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31 décembre 1992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Vie privée</w:t>
      </w:r>
      <w:r>
        <w:rPr>
          <w:rFonts w:ascii="Calibri" w:cs="Calibri" w:eastAsia="Calibri" w:hAnsi="Calibri"/>
          <w:color w:val="1A1A1A"/>
          <w:sz w:val="20"/>
          <w:szCs w:val="20"/>
        </w:rPr>
        <w:t xml:space="preserve"> : messages identifiés comme personnels (</w:t>
      </w:r>
      <w:r>
        <w:rPr>
          <w:rFonts w:ascii="Calibri" w:cs="Calibri" w:eastAsia="Calibri" w:hAnsi="Calibri"/>
          <w:color w:val="E91E63"/>
          <w:sz w:val="20"/>
          <w:szCs w:val="20"/>
        </w:rPr>
        <w:t xml:space="preserve">Nikon</w:t>
      </w:r>
      <w:r>
        <w:rPr>
          <w:rFonts w:ascii="Calibri" w:cs="Calibri" w:eastAsia="Calibri" w:hAnsi="Calibri"/>
          <w:color w:val="1A1A1A"/>
          <w:sz w:val="20"/>
          <w:szCs w:val="20"/>
        </w:rPr>
        <w:t xml:space="preserve">, 2001) ; surveillance des communications électroniques (</w:t>
      </w:r>
      <w:r>
        <w:rPr>
          <w:rFonts w:ascii="Calibri" w:cs="Calibri" w:eastAsia="Calibri" w:hAnsi="Calibri"/>
          <w:color w:val="E91E63"/>
          <w:sz w:val="20"/>
          <w:szCs w:val="20"/>
        </w:rPr>
        <w:t xml:space="preserve">CEDH [GC], 5 septembre 2017, Bărbulescu c. Roumanie</w:t>
      </w:r>
      <w:r>
        <w:rPr>
          <w:rFonts w:ascii="Calibri" w:cs="Calibri" w:eastAsia="Calibri" w:hAnsi="Calibri"/>
          <w:color w:val="1A1A1A"/>
          <w:sz w:val="20"/>
          <w:szCs w:val="20"/>
        </w:rPr>
        <w:t xml:space="preserve">) ; preuve illicite admise si indispensable et proportionnée (</w:t>
      </w:r>
      <w:r>
        <w:rPr>
          <w:rFonts w:ascii="Calibri" w:cs="Calibri" w:eastAsia="Calibri" w:hAnsi="Calibri"/>
          <w:color w:val="E91E63"/>
          <w:sz w:val="20"/>
          <w:szCs w:val="20"/>
        </w:rPr>
        <w:t xml:space="preserve">Cass. ass. plén., 22 décembre 2023</w:t>
      </w:r>
      <w:r>
        <w:rPr>
          <w:rFonts w:ascii="Calibri" w:cs="Calibri" w:eastAsia="Calibri" w:hAnsi="Calibri"/>
          <w:color w:val="1A1A1A"/>
          <w:sz w:val="20"/>
          <w:szCs w:val="20"/>
        </w:rPr>
        <w:t xml:space="preserve">, fiche 33). </w:t>
      </w:r>
      <w:r>
        <w:rPr>
          <w:rFonts w:ascii="Calibri" w:cs="Calibri" w:eastAsia="Calibri" w:hAnsi="Calibri"/>
          <w:b/>
          <w:bCs/>
          <w:color w:val="1A1A1A"/>
          <w:sz w:val="20"/>
          <w:szCs w:val="20"/>
        </w:rPr>
        <w:t xml:space="preserve">Religion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Baby Loup</w:t>
      </w:r>
      <w:r>
        <w:rPr>
          <w:rFonts w:ascii="Calibri" w:cs="Calibri" w:eastAsia="Calibri" w:hAnsi="Calibri"/>
          <w:color w:val="1A1A1A"/>
          <w:sz w:val="20"/>
          <w:szCs w:val="20"/>
        </w:rPr>
        <w:t xml:space="preserve"> (2014) ; clause de neutralité (</w:t>
      </w:r>
      <w:r>
        <w:rPr>
          <w:rFonts w:ascii="Calibri" w:cs="Calibri" w:eastAsia="Calibri" w:hAnsi="Calibri"/>
          <w:color w:val="1E88E5"/>
          <w:sz w:val="20"/>
          <w:szCs w:val="20"/>
        </w:rPr>
        <w:t xml:space="preserve">art. L. 1321-2-1</w:t>
      </w:r>
      <w:r>
        <w:rPr>
          <w:rFonts w:ascii="Calibri" w:cs="Calibri" w:eastAsia="Calibri" w:hAnsi="Calibri"/>
          <w:color w:val="1A1A1A"/>
          <w:sz w:val="20"/>
          <w:szCs w:val="20"/>
        </w:rPr>
        <w:t xml:space="preserve">) (fiche 36). </w:t>
      </w:r>
      <w:r>
        <w:rPr>
          <w:rFonts w:ascii="Calibri" w:cs="Calibri" w:eastAsia="Calibri" w:hAnsi="Calibri"/>
          <w:b/>
          <w:bCs/>
          <w:color w:val="1A1A1A"/>
          <w:sz w:val="20"/>
          <w:szCs w:val="20"/>
        </w:rPr>
        <w:t xml:space="preserve">Vie familiale</w:t>
      </w:r>
      <w:r>
        <w:rPr>
          <w:rFonts w:ascii="Calibri" w:cs="Calibri" w:eastAsia="Calibri" w:hAnsi="Calibri"/>
          <w:color w:val="1A1A1A"/>
          <w:sz w:val="20"/>
          <w:szCs w:val="20"/>
        </w:rPr>
        <w:t xml:space="preserve"> : clause de mobilité contrôlée au regard de l’atteinte à la vie personnelle et familiale.</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 d’expression</w:t>
      </w:r>
      <w:r>
        <w:rPr>
          <w:rFonts w:ascii="Calibri" w:cs="Calibri" w:eastAsia="Calibri" w:hAnsi="Calibri"/>
          <w:color w:val="1A1A1A"/>
          <w:sz w:val="20"/>
          <w:szCs w:val="20"/>
        </w:rPr>
        <w:t xml:space="preserve"> : de l’abus (</w:t>
      </w:r>
      <w:r>
        <w:rPr>
          <w:rFonts w:ascii="Calibri" w:cs="Calibri" w:eastAsia="Calibri" w:hAnsi="Calibri"/>
          <w:color w:val="E91E63"/>
          <w:sz w:val="20"/>
          <w:szCs w:val="20"/>
        </w:rPr>
        <w:t xml:space="preserve">Cass. soc., 28 avril 1988, Clavaud</w:t>
      </w:r>
      <w:r>
        <w:rPr>
          <w:rFonts w:ascii="Calibri" w:cs="Calibri" w:eastAsia="Calibri" w:hAnsi="Calibri"/>
          <w:color w:val="1A1A1A"/>
          <w:sz w:val="20"/>
          <w:szCs w:val="20"/>
        </w:rPr>
        <w:t xml:space="preserve">) au </w:t>
      </w:r>
      <w:r>
        <w:rPr>
          <w:rFonts w:ascii="Calibri" w:cs="Calibri" w:eastAsia="Calibri" w:hAnsi="Calibri"/>
          <w:b/>
          <w:bCs/>
          <w:color w:val="1A1A1A"/>
          <w:sz w:val="20"/>
          <w:szCs w:val="20"/>
        </w:rPr>
        <w:t xml:space="preserve">contrôle de proportionnalité</w:t>
      </w:r>
      <w:r>
        <w:rPr>
          <w:rFonts w:ascii="Calibri" w:cs="Calibri" w:eastAsia="Calibri" w:hAnsi="Calibri"/>
          <w:color w:val="1A1A1A"/>
          <w:sz w:val="20"/>
          <w:szCs w:val="20"/>
        </w:rPr>
        <w:t xml:space="preserve"> — teneur des propos, contexte, portée, impact dans l’entreprise (</w:t>
      </w:r>
      <w:r>
        <w:rPr>
          <w:rFonts w:ascii="Calibri" w:cs="Calibri" w:eastAsia="Calibri" w:hAnsi="Calibri"/>
          <w:color w:val="E91E63"/>
          <w:sz w:val="20"/>
          <w:szCs w:val="20"/>
        </w:rPr>
        <w:t xml:space="preserve">Cass. soc., 14 janvier 2026, Société les Sinoplies, n° 24-13.778</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soc., 14 janvier 2026, Airbus Atlantic, n° 23-19.947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Égalité</w:t>
      </w:r>
      <w:r>
        <w:rPr>
          <w:rFonts w:ascii="Calibri" w:cs="Calibri" w:eastAsia="Calibri" w:hAnsi="Calibri"/>
          <w:color w:val="1A1A1A"/>
          <w:sz w:val="20"/>
          <w:szCs w:val="20"/>
        </w:rPr>
        <w:t xml:space="preserve"> : « à travail égal, salaire égal » (</w:t>
      </w:r>
      <w:r>
        <w:rPr>
          <w:rFonts w:ascii="Calibri" w:cs="Calibri" w:eastAsia="Calibri" w:hAnsi="Calibri"/>
          <w:color w:val="E91E63"/>
          <w:sz w:val="20"/>
          <w:szCs w:val="20"/>
        </w:rPr>
        <w:t xml:space="preserve">Cass. soc., 29 octobre 1996, Ponsolle</w:t>
      </w:r>
      <w:r>
        <w:rPr>
          <w:rFonts w:ascii="Calibri" w:cs="Calibri" w:eastAsia="Calibri" w:hAnsi="Calibri"/>
          <w:color w:val="1A1A1A"/>
          <w:sz w:val="20"/>
          <w:szCs w:val="20"/>
        </w:rPr>
        <w:t xml:space="preserve">) ; non-discrimination (</w:t>
      </w:r>
      <w:r>
        <w:rPr>
          <w:rFonts w:ascii="Calibri" w:cs="Calibri" w:eastAsia="Calibri" w:hAnsi="Calibri"/>
          <w:color w:val="1E88E5"/>
          <w:sz w:val="20"/>
          <w:szCs w:val="20"/>
        </w:rPr>
        <w:t xml:space="preserve">art. L. 1132-1</w:t>
      </w:r>
      <w:r>
        <w:rPr>
          <w:rFonts w:ascii="Calibri" w:cs="Calibri" w:eastAsia="Calibri" w:hAnsi="Calibri"/>
          <w:color w:val="1A1A1A"/>
          <w:sz w:val="20"/>
          <w:szCs w:val="20"/>
        </w:rPr>
        <w:t xml:space="preserve">, fiche 54). </w:t>
      </w:r>
      <w:r>
        <w:rPr>
          <w:rFonts w:ascii="Calibri" w:cs="Calibri" w:eastAsia="Calibri" w:hAnsi="Calibri"/>
          <w:b/>
          <w:bCs/>
          <w:color w:val="1A1A1A"/>
          <w:sz w:val="20"/>
          <w:szCs w:val="20"/>
        </w:rPr>
        <w:t xml:space="preserve">Travail forcé</w:t>
      </w:r>
      <w:r>
        <w:rPr>
          <w:rFonts w:ascii="Calibri" w:cs="Calibri" w:eastAsia="Calibri" w:hAnsi="Calibri"/>
          <w:color w:val="1A1A1A"/>
          <w:sz w:val="20"/>
          <w:szCs w:val="20"/>
        </w:rPr>
        <w:t xml:space="preserve"> : servitude domestique d’une mineure étrangère, obligation positive de répression (</w:t>
      </w:r>
      <w:r>
        <w:rPr>
          <w:rFonts w:ascii="Calibri" w:cs="Calibri" w:eastAsia="Calibri" w:hAnsi="Calibri"/>
          <w:color w:val="E91E63"/>
          <w:sz w:val="20"/>
          <w:szCs w:val="20"/>
        </w:rPr>
        <w:t xml:space="preserve">CEDH, 26 juillet 2005, Siliadin c. France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Les libertés collectives</w:t>
      </w:r>
    </w:p>
    <w:p>
      <w:pPr>
        <w:pStyle w:val="Heading3"/>
        <w:spacing w:after="90" w:before="200"/>
      </w:pPr>
      <w:r>
        <w:rPr>
          <w:rFonts w:ascii="Calibri" w:cs="Calibri" w:eastAsia="Calibri" w:hAnsi="Calibri"/>
          <w:b/>
          <w:bCs/>
          <w:i/>
          <w:iCs/>
          <w:color w:val="5A5A5A"/>
          <w:sz w:val="21"/>
          <w:szCs w:val="21"/>
        </w:rPr>
        <w:t xml:space="preserve">4.1. La liberté syndicale</w:t>
      </w:r>
    </w:p>
    <w:p>
      <w:pPr>
        <w:pStyle w:val="ListParagraph"/>
        <w:numPr>
          <w:ilvl w:val="0"/>
          <w:numId w:val="2"/>
        </w:numPr>
        <w:spacing w:after="70" w:line="264"/>
        <w:jc w:val="both"/>
      </w:pPr>
      <w:r>
        <w:rPr>
          <w:rFonts w:ascii="Calibri" w:cs="Calibri" w:eastAsia="Calibri" w:hAnsi="Calibri"/>
          <w:b/>
          <w:bCs/>
          <w:color w:val="1A1A1A"/>
          <w:sz w:val="20"/>
          <w:szCs w:val="20"/>
        </w:rPr>
        <w:t xml:space="preserve">Histoire</w:t>
      </w:r>
      <w:r>
        <w:rPr>
          <w:rFonts w:ascii="Calibri" w:cs="Calibri" w:eastAsia="Calibri" w:hAnsi="Calibri"/>
          <w:color w:val="1A1A1A"/>
          <w:sz w:val="20"/>
          <w:szCs w:val="20"/>
        </w:rPr>
        <w:t xml:space="preserve"> : interdiction par la </w:t>
      </w:r>
      <w:r>
        <w:rPr>
          <w:rFonts w:ascii="Calibri" w:cs="Calibri" w:eastAsia="Calibri" w:hAnsi="Calibri"/>
          <w:color w:val="1E88E5"/>
          <w:sz w:val="20"/>
          <w:szCs w:val="20"/>
        </w:rPr>
        <w:t xml:space="preserve">loi Le Chapelier (1791)</w:t>
      </w:r>
      <w:r>
        <w:rPr>
          <w:rFonts w:ascii="Calibri" w:cs="Calibri" w:eastAsia="Calibri" w:hAnsi="Calibri"/>
          <w:color w:val="1A1A1A"/>
          <w:sz w:val="20"/>
          <w:szCs w:val="20"/>
        </w:rPr>
        <w:t xml:space="preserve"> ; délit de coalition abrogé en 1864 ; </w:t>
      </w:r>
      <w:r>
        <w:rPr>
          <w:rFonts w:ascii="Calibri" w:cs="Calibri" w:eastAsia="Calibri" w:hAnsi="Calibri"/>
          <w:color w:val="1E88E5"/>
          <w:sz w:val="20"/>
          <w:szCs w:val="20"/>
        </w:rPr>
        <w:t xml:space="preserve">loi Waldeck-Rousseau du 21 mars 1884</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Constitution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6</w:t>
      </w:r>
      <w:r>
        <w:rPr>
          <w:rFonts w:ascii="Calibri" w:cs="Calibri" w:eastAsia="Calibri" w:hAnsi="Calibri"/>
          <w:color w:val="1A1A1A"/>
          <w:sz w:val="20"/>
          <w:szCs w:val="20"/>
        </w:rPr>
        <w:t xml:space="preserve"> ; restrictions possibles si justifiées et proportionnées (</w:t>
      </w:r>
      <w:r>
        <w:rPr>
          <w:rFonts w:ascii="Calibri" w:cs="Calibri" w:eastAsia="Calibri" w:hAnsi="Calibri"/>
          <w:color w:val="E91E63"/>
          <w:sz w:val="20"/>
          <w:szCs w:val="20"/>
        </w:rPr>
        <w:t xml:space="preserve">2019-816 QPC, 29 novembre 2019</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Strasbourg</w:t>
      </w:r>
      <w:r>
        <w:rPr>
          <w:rFonts w:ascii="Calibri" w:cs="Calibri" w:eastAsia="Calibri" w:hAnsi="Calibri"/>
          <w:color w:val="1A1A1A"/>
          <w:sz w:val="20"/>
          <w:szCs w:val="20"/>
        </w:rPr>
        <w:t xml:space="preserve"> : contenu de la liberté syndicale (</w:t>
      </w:r>
      <w:r>
        <w:rPr>
          <w:rFonts w:ascii="Calibri" w:cs="Calibri" w:eastAsia="Calibri" w:hAnsi="Calibri"/>
          <w:color w:val="E91E63"/>
          <w:sz w:val="20"/>
          <w:szCs w:val="20"/>
        </w:rPr>
        <w:t xml:space="preserve">CEDH, 27 octobre 1975, Syndicat national de la police belge</w:t>
      </w:r>
      <w:r>
        <w:rPr>
          <w:rFonts w:ascii="Calibri" w:cs="Calibri" w:eastAsia="Calibri" w:hAnsi="Calibri"/>
          <w:color w:val="1A1A1A"/>
          <w:sz w:val="20"/>
          <w:szCs w:val="20"/>
        </w:rPr>
        <w:t xml:space="preserve">) ; liberté négative (</w:t>
      </w:r>
      <w:r>
        <w:rPr>
          <w:rFonts w:ascii="Calibri" w:cs="Calibri" w:eastAsia="Calibri" w:hAnsi="Calibri"/>
          <w:color w:val="E91E63"/>
          <w:sz w:val="20"/>
          <w:szCs w:val="20"/>
        </w:rPr>
        <w:t xml:space="preserve">Young, James et Webster</w:t>
      </w:r>
      <w:r>
        <w:rPr>
          <w:rFonts w:ascii="Calibri" w:cs="Calibri" w:eastAsia="Calibri" w:hAnsi="Calibri"/>
          <w:color w:val="1A1A1A"/>
          <w:sz w:val="20"/>
          <w:szCs w:val="20"/>
        </w:rPr>
        <w:t xml:space="preserve">, 1981 ; </w:t>
      </w:r>
      <w:r>
        <w:rPr>
          <w:rFonts w:ascii="Calibri" w:cs="Calibri" w:eastAsia="Calibri" w:hAnsi="Calibri"/>
          <w:color w:val="E91E63"/>
          <w:sz w:val="20"/>
          <w:szCs w:val="20"/>
        </w:rPr>
        <w:t xml:space="preserve">Sørensen et Rasmussen</w:t>
      </w:r>
      <w:r>
        <w:rPr>
          <w:rFonts w:ascii="Calibri" w:cs="Calibri" w:eastAsia="Calibri" w:hAnsi="Calibri"/>
          <w:color w:val="1A1A1A"/>
          <w:sz w:val="20"/>
          <w:szCs w:val="20"/>
        </w:rPr>
        <w:t xml:space="preserve">, GC, 2006) ; négociation collective (</w:t>
      </w:r>
      <w:r>
        <w:rPr>
          <w:rFonts w:ascii="Calibri" w:cs="Calibri" w:eastAsia="Calibri" w:hAnsi="Calibri"/>
          <w:color w:val="E91E63"/>
          <w:sz w:val="20"/>
          <w:szCs w:val="20"/>
        </w:rPr>
        <w:t xml:space="preserve">Demir et Baykara</w:t>
      </w:r>
      <w:r>
        <w:rPr>
          <w:rFonts w:ascii="Calibri" w:cs="Calibri" w:eastAsia="Calibri" w:hAnsi="Calibri"/>
          <w:color w:val="1A1A1A"/>
          <w:sz w:val="20"/>
          <w:szCs w:val="20"/>
        </w:rPr>
        <w:t xml:space="preserve">, 2008) ; interdiction générale des syndicats dans l’armée française contraire à l’</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 octobre 2014, Matelly c. France, n° 10609/10</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ADEFDROMIL c. France</w:t>
      </w:r>
      <w:r>
        <w:rPr>
          <w:rFonts w:ascii="Calibri" w:cs="Calibri" w:eastAsia="Calibri" w:hAnsi="Calibri"/>
          <w:color w:val="1A1A1A"/>
          <w:sz w:val="20"/>
          <w:szCs w:val="20"/>
        </w:rPr>
        <w:t xml:space="preserve">) → création des associations professionnelles nationales de militaires (</w:t>
      </w:r>
      <w:r>
        <w:rPr>
          <w:rFonts w:ascii="Calibri" w:cs="Calibri" w:eastAsia="Calibri" w:hAnsi="Calibri"/>
          <w:color w:val="1E88E5"/>
          <w:sz w:val="20"/>
          <w:szCs w:val="20"/>
        </w:rPr>
        <w:t xml:space="preserve">loi du 28 juillet 2015</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4.2. Le droit de grève</w:t>
      </w:r>
    </w:p>
    <w:p>
      <w:pPr>
        <w:pStyle w:val="ListParagraph"/>
        <w:numPr>
          <w:ilvl w:val="0"/>
          <w:numId w:val="2"/>
        </w:numPr>
        <w:spacing w:after="70" w:line="264"/>
        <w:jc w:val="both"/>
      </w:pPr>
      <w:r>
        <w:rPr>
          <w:rFonts w:ascii="Calibri" w:cs="Calibri" w:eastAsia="Calibri" w:hAnsi="Calibri"/>
          <w:b/>
          <w:bCs/>
          <w:color w:val="1A1A1A"/>
          <w:sz w:val="20"/>
          <w:szCs w:val="20"/>
        </w:rPr>
        <w:t xml:space="preserve">Valeur constitutionnelle</w:t>
      </w:r>
      <w:r>
        <w:rPr>
          <w:rFonts w:ascii="Calibri" w:cs="Calibri" w:eastAsia="Calibri" w:hAnsi="Calibri"/>
          <w:color w:val="1A1A1A"/>
          <w:sz w:val="20"/>
          <w:szCs w:val="20"/>
        </w:rPr>
        <w:t xml:space="preserve"> conciliée avec la continuité du service public (</w:t>
      </w:r>
      <w:r>
        <w:rPr>
          <w:rFonts w:ascii="Calibri" w:cs="Calibri" w:eastAsia="Calibri" w:hAnsi="Calibri"/>
          <w:color w:val="E91E63"/>
          <w:sz w:val="20"/>
          <w:szCs w:val="20"/>
        </w:rPr>
        <w:t xml:space="preserve">79-105 DC</w:t>
      </w:r>
      <w:r>
        <w:rPr>
          <w:rFonts w:ascii="Calibri" w:cs="Calibri" w:eastAsia="Calibri" w:hAnsi="Calibri"/>
          <w:color w:val="1A1A1A"/>
          <w:sz w:val="20"/>
          <w:szCs w:val="20"/>
        </w:rPr>
        <w:t xml:space="preserve">) ; service minimum dans les transports (</w:t>
      </w:r>
      <w:r>
        <w:rPr>
          <w:rFonts w:ascii="Calibri" w:cs="Calibri" w:eastAsia="Calibri" w:hAnsi="Calibri"/>
          <w:color w:val="E91E63"/>
          <w:sz w:val="20"/>
          <w:szCs w:val="20"/>
        </w:rPr>
        <w:t xml:space="preserve">2007-556 DC, 16 août 2007</w:t>
      </w:r>
      <w:r>
        <w:rPr>
          <w:rFonts w:ascii="Calibri" w:cs="Calibri" w:eastAsia="Calibri" w:hAnsi="Calibri"/>
          <w:color w:val="1A1A1A"/>
          <w:sz w:val="20"/>
          <w:szCs w:val="20"/>
        </w:rPr>
        <w:t xml:space="preserve">) ; carence du législateur suppléée par le pouvoir réglementaire (</w:t>
      </w:r>
      <w:r>
        <w:rPr>
          <w:rFonts w:ascii="Calibri" w:cs="Calibri" w:eastAsia="Calibri" w:hAnsi="Calibri"/>
          <w:color w:val="E91E63"/>
          <w:sz w:val="20"/>
          <w:szCs w:val="20"/>
        </w:rPr>
        <w:t xml:space="preserve">CE, ass., 7 juillet 1950, Dehaene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Strasbourg</w:t>
      </w:r>
      <w:r>
        <w:rPr>
          <w:rFonts w:ascii="Calibri" w:cs="Calibri" w:eastAsia="Calibri" w:hAnsi="Calibri"/>
          <w:color w:val="1A1A1A"/>
          <w:sz w:val="20"/>
          <w:szCs w:val="20"/>
        </w:rPr>
        <w:t xml:space="preserve"> : grève protégée par l’</w:t>
      </w:r>
      <w:r>
        <w:rPr>
          <w:rFonts w:ascii="Calibri" w:cs="Calibri" w:eastAsia="Calibri" w:hAnsi="Calibri"/>
          <w:color w:val="1E88E5"/>
          <w:sz w:val="20"/>
          <w:szCs w:val="20"/>
        </w:rPr>
        <w:t xml:space="preserve">art. 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21 avril 2009, Enerji Yapı-Yol Sen c. Turquie</w:t>
      </w:r>
      <w:r>
        <w:rPr>
          <w:rFonts w:ascii="Calibri" w:cs="Calibri" w:eastAsia="Calibri" w:hAnsi="Calibri"/>
          <w:color w:val="1A1A1A"/>
          <w:sz w:val="20"/>
          <w:szCs w:val="20"/>
        </w:rPr>
        <w:t xml:space="preserve">, après </w:t>
      </w:r>
      <w:r>
        <w:rPr>
          <w:rFonts w:ascii="Calibri" w:cs="Calibri" w:eastAsia="Calibri" w:hAnsi="Calibri"/>
          <w:color w:val="E91E63"/>
          <w:sz w:val="20"/>
          <w:szCs w:val="20"/>
        </w:rPr>
        <w:t xml:space="preserve">Schmidt et Dahlström c. Suède</w:t>
      </w:r>
      <w:r>
        <w:rPr>
          <w:rFonts w:ascii="Calibri" w:cs="Calibri" w:eastAsia="Calibri" w:hAnsi="Calibri"/>
          <w:color w:val="1A1A1A"/>
          <w:sz w:val="20"/>
          <w:szCs w:val="20"/>
        </w:rPr>
        <w:t xml:space="preserve">, 1976). </w:t>
      </w:r>
      <w:r>
        <w:rPr>
          <w:rFonts w:ascii="Calibri" w:cs="Calibri" w:eastAsia="Calibri" w:hAnsi="Calibri"/>
          <w:b/>
          <w:bCs/>
          <w:color w:val="1A1A1A"/>
          <w:sz w:val="20"/>
          <w:szCs w:val="20"/>
        </w:rPr>
        <w:t xml:space="preserve">Exclusions</w:t>
      </w:r>
      <w:r>
        <w:rPr>
          <w:rFonts w:ascii="Calibri" w:cs="Calibri" w:eastAsia="Calibri" w:hAnsi="Calibri"/>
          <w:color w:val="1A1A1A"/>
          <w:sz w:val="20"/>
          <w:szCs w:val="20"/>
        </w:rPr>
        <w:t xml:space="preserve"> : militaires, policiers, CRS, personnels de surveillance pénitentiaire, magistrats judiciaires.</w:t>
      </w:r>
    </w:p>
    <w:p>
      <w:pPr>
        <w:pStyle w:val="ListParagraph"/>
        <w:numPr>
          <w:ilvl w:val="0"/>
          <w:numId w:val="2"/>
        </w:numPr>
        <w:spacing w:after="70" w:line="264"/>
        <w:jc w:val="both"/>
      </w:pPr>
      <w:r>
        <w:rPr>
          <w:rFonts w:ascii="Calibri" w:cs="Calibri" w:eastAsia="Calibri" w:hAnsi="Calibri"/>
          <w:b/>
          <w:bCs/>
          <w:color w:val="1A1A1A"/>
          <w:sz w:val="20"/>
          <w:szCs w:val="20"/>
        </w:rPr>
        <w:t xml:space="preserve">Grève licite</w:t>
      </w:r>
      <w:r>
        <w:rPr>
          <w:rFonts w:ascii="Calibri" w:cs="Calibri" w:eastAsia="Calibri" w:hAnsi="Calibri"/>
          <w:color w:val="1A1A1A"/>
          <w:sz w:val="20"/>
          <w:szCs w:val="20"/>
        </w:rPr>
        <w:t xml:space="preserve"> : cessation collective et concertée du travail en vue d’appuyer des revendications professionnelles ; la grève purement politique est illicite dans le secteur privé.</w:t>
      </w:r>
    </w:p>
    <w:p>
      <w:pPr>
        <w:pStyle w:val="Heading3"/>
        <w:spacing w:after="90" w:before="200"/>
      </w:pPr>
      <w:r>
        <w:rPr>
          <w:rFonts w:ascii="Calibri" w:cs="Calibri" w:eastAsia="Calibri" w:hAnsi="Calibri"/>
          <w:b/>
          <w:bCs/>
          <w:i/>
          <w:iCs/>
          <w:color w:val="5A5A5A"/>
          <w:sz w:val="21"/>
          <w:szCs w:val="21"/>
        </w:rPr>
        <w:t xml:space="preserve">4.3. La participation</w:t>
      </w:r>
    </w:p>
    <w:p>
      <w:pPr>
        <w:pStyle w:val="ListParagraph"/>
        <w:numPr>
          <w:ilvl w:val="0"/>
          <w:numId w:val="2"/>
        </w:numPr>
        <w:spacing w:after="70" w:line="264"/>
        <w:jc w:val="both"/>
      </w:pPr>
      <w:r>
        <w:rPr>
          <w:rFonts w:ascii="Calibri" w:cs="Calibri" w:eastAsia="Calibri" w:hAnsi="Calibri"/>
          <w:color w:val="1E88E5"/>
          <w:sz w:val="20"/>
          <w:szCs w:val="20"/>
        </w:rPr>
        <w:t xml:space="preserve">Al. 8</w:t>
      </w:r>
      <w:r>
        <w:rPr>
          <w:rFonts w:ascii="Calibri" w:cs="Calibri" w:eastAsia="Calibri" w:hAnsi="Calibri"/>
          <w:color w:val="1A1A1A"/>
          <w:sz w:val="20"/>
          <w:szCs w:val="20"/>
        </w:rPr>
        <w:t xml:space="preserve"> : participation des travailleurs, par l’intermédiaire de leurs délégués, à la détermination collective des conditions de travail et à la gestion des entreprises ; comité social et économique.</w:t>
      </w:r>
    </w:p>
    <w:p>
      <w:pPr>
        <w:pStyle w:val="Heading2"/>
        <w:spacing w:after="120" w:before="280"/>
      </w:pPr>
      <w:r>
        <w:rPr>
          <w:rFonts w:ascii="Calibri" w:cs="Calibri" w:eastAsia="Calibri" w:hAnsi="Calibri"/>
          <w:b/>
          <w:bCs/>
          <w:color w:val="1A1A1A"/>
          <w:sz w:val="24"/>
          <w:szCs w:val="24"/>
        </w:rPr>
        <w:t xml:space="preserve">5.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au travail et économie de marché</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Tocqueville</w:t>
      </w:r>
      <w:r>
        <w:rPr>
          <w:rFonts w:ascii="Calibri" w:cs="Calibri" w:eastAsia="Calibri" w:hAnsi="Calibri"/>
          <w:color w:val="1A1A1A"/>
          <w:sz w:val="20"/>
          <w:szCs w:val="20"/>
        </w:rPr>
        <w:t xml:space="preserve"> (discours du 12 septembre 1848) voit dans le droit au travail l’antichambre du socialisme ; la Constitution de 1848 ne retient qu’un « droit à l’assistance ». La formule de 1946 combine droit et devoir.</w:t>
      </w:r>
    </w:p>
    <w:p>
      <w:pPr>
        <w:pStyle w:val="ListParagraph"/>
        <w:numPr>
          <w:ilvl w:val="0"/>
          <w:numId w:val="2"/>
        </w:numPr>
        <w:spacing w:after="70" w:line="264"/>
        <w:jc w:val="both"/>
      </w:pPr>
      <w:r>
        <w:rPr>
          <w:rFonts w:ascii="Calibri" w:cs="Calibri" w:eastAsia="Calibri" w:hAnsi="Calibri"/>
          <w:b/>
          <w:bCs/>
          <w:color w:val="1A1A1A"/>
          <w:sz w:val="20"/>
          <w:szCs w:val="20"/>
        </w:rPr>
        <w:t xml:space="preserve">Fondamentalisation du droit du travail</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L. 1121-1</w:t>
      </w:r>
      <w:r>
        <w:rPr>
          <w:rFonts w:ascii="Calibri" w:cs="Calibri" w:eastAsia="Calibri" w:hAnsi="Calibri"/>
          <w:color w:val="1A1A1A"/>
          <w:sz w:val="20"/>
          <w:szCs w:val="20"/>
        </w:rPr>
        <w:t xml:space="preserve"> et l’européanisation ont fait entrer le contrôle de proportionnalité dans l’entreprise (liberté d’expression, 2026) ; critique : insécurité juridique pour l’employeur, juge érigé en arbitre des intérêts.</w:t>
      </w:r>
    </w:p>
    <w:p>
      <w:pPr>
        <w:pStyle w:val="ListParagraph"/>
        <w:numPr>
          <w:ilvl w:val="0"/>
          <w:numId w:val="2"/>
        </w:numPr>
        <w:spacing w:after="70" w:line="264"/>
        <w:jc w:val="both"/>
      </w:pPr>
      <w:r>
        <w:rPr>
          <w:rFonts w:ascii="Calibri" w:cs="Calibri" w:eastAsia="Calibri" w:hAnsi="Calibri"/>
          <w:b/>
          <w:bCs/>
          <w:color w:val="1A1A1A"/>
          <w:sz w:val="20"/>
          <w:szCs w:val="20"/>
        </w:rPr>
        <w:t xml:space="preserve">Barème « Macron » et Charte sociale</w:t>
      </w:r>
      <w:r>
        <w:rPr>
          <w:rFonts w:ascii="Calibri" w:cs="Calibri" w:eastAsia="Calibri" w:hAnsi="Calibri"/>
          <w:color w:val="1A1A1A"/>
          <w:sz w:val="20"/>
          <w:szCs w:val="20"/>
        </w:rPr>
        <w:t xml:space="preserve"> — le Comité européen des droits sociaux a jugé le plafonnement des indemnités contraire à l’</w:t>
      </w:r>
      <w:r>
        <w:rPr>
          <w:rFonts w:ascii="Calibri" w:cs="Calibri" w:eastAsia="Calibri" w:hAnsi="Calibri"/>
          <w:color w:val="1E88E5"/>
          <w:sz w:val="20"/>
          <w:szCs w:val="20"/>
        </w:rPr>
        <w:t xml:space="preserve">art. 24</w:t>
      </w:r>
      <w:r>
        <w:rPr>
          <w:rFonts w:ascii="Calibri" w:cs="Calibri" w:eastAsia="Calibri" w:hAnsi="Calibri"/>
          <w:color w:val="1A1A1A"/>
          <w:sz w:val="20"/>
          <w:szCs w:val="20"/>
        </w:rPr>
        <w:t xml:space="preserve"> de la Charte (décision publiée en 2022), la Cour de cassation refusant tout effet direct : illustration du </w:t>
      </w:r>
      <w:r>
        <w:rPr>
          <w:rFonts w:ascii="Calibri" w:cs="Calibri" w:eastAsia="Calibri" w:hAnsi="Calibri"/>
          <w:b/>
          <w:bCs/>
          <w:color w:val="1A1A1A"/>
          <w:sz w:val="20"/>
          <w:szCs w:val="20"/>
        </w:rPr>
        <w:t xml:space="preserve">déficit de justiciabilité</w:t>
      </w:r>
      <w:r>
        <w:rPr>
          <w:rFonts w:ascii="Calibri" w:cs="Calibri" w:eastAsia="Calibri" w:hAnsi="Calibri"/>
          <w:color w:val="1A1A1A"/>
          <w:sz w:val="20"/>
          <w:szCs w:val="20"/>
        </w:rPr>
        <w:t xml:space="preserve"> des droits sociaux européens.</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Un chômeur peut-il agir contre l’État pour obtenir un emploi ? »</w:t>
      </w:r>
      <w:r>
        <w:rPr>
          <w:rFonts w:ascii="Calibri" w:cs="Calibri" w:eastAsia="Calibri" w:hAnsi="Calibri"/>
          <w:color w:val="1A1A1A"/>
          <w:sz w:val="20"/>
          <w:szCs w:val="20"/>
        </w:rPr>
        <w:t xml:space="preserve"> — Non : obligation de moyens, pas de liberté fondamentale du référé, pas d’effet direct de l’</w:t>
      </w:r>
      <w:r>
        <w:rPr>
          <w:rFonts w:ascii="Calibri" w:cs="Calibri" w:eastAsia="Calibri" w:hAnsi="Calibri"/>
          <w:color w:val="1E88E5"/>
          <w:sz w:val="20"/>
          <w:szCs w:val="20"/>
        </w:rPr>
        <w:t xml:space="preserve">art. 6 PIDESC</w:t>
      </w:r>
      <w:r>
        <w:rPr>
          <w:rFonts w:ascii="Calibri" w:cs="Calibri" w:eastAsia="Calibri" w:hAnsi="Calibri"/>
          <w:color w:val="1A1A1A"/>
          <w:sz w:val="20"/>
          <w:szCs w:val="20"/>
        </w:rPr>
        <w:t xml:space="preserve"> ; seul un comportement fautif précis de l’administration (par exemple une discrimination à l’embauche publique) ouvre un recours.</w:t>
      </w:r>
    </w:p>
    <w:p>
      <w:pPr>
        <w:pStyle w:val="ListParagraph"/>
        <w:numPr>
          <w:ilvl w:val="0"/>
          <w:numId w:val="2"/>
        </w:numPr>
        <w:spacing w:after="70" w:line="264"/>
        <w:jc w:val="both"/>
      </w:pPr>
      <w:r>
        <w:rPr>
          <w:rFonts w:ascii="Calibri" w:cs="Calibri" w:eastAsia="Calibri" w:hAnsi="Calibri"/>
          <w:b/>
          <w:bCs/>
          <w:color w:val="1A1A1A"/>
          <w:sz w:val="20"/>
          <w:szCs w:val="20"/>
        </w:rPr>
        <w:t xml:space="preserve">« Peut-on licencier un salarié pour un post critiquant son employeur sur un réseau social ? »</w:t>
      </w:r>
      <w:r>
        <w:rPr>
          <w:rFonts w:ascii="Calibri" w:cs="Calibri" w:eastAsia="Calibri" w:hAnsi="Calibri"/>
          <w:color w:val="1A1A1A"/>
          <w:sz w:val="20"/>
          <w:szCs w:val="20"/>
        </w:rPr>
        <w:t xml:space="preserve"> — Plus automatiquement : le juge met en balance la liberté d’expression et les intérêts de l’employeur (teneur, contexte, audience, impact) (</w:t>
      </w:r>
      <w:r>
        <w:rPr>
          <w:rFonts w:ascii="Calibri" w:cs="Calibri" w:eastAsia="Calibri" w:hAnsi="Calibri"/>
          <w:color w:val="E91E63"/>
          <w:sz w:val="20"/>
          <w:szCs w:val="20"/>
        </w:rPr>
        <w:t xml:space="preserve">Cass. soc., 14 janvier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Les militaires français peuvent-ils se syndiquer ? »</w:t>
      </w:r>
      <w:r>
        <w:rPr>
          <w:rFonts w:ascii="Calibri" w:cs="Calibri" w:eastAsia="Calibri" w:hAnsi="Calibri"/>
          <w:color w:val="1A1A1A"/>
          <w:sz w:val="20"/>
          <w:szCs w:val="20"/>
        </w:rPr>
        <w:t xml:space="preserve"> — Non, mais depuis </w:t>
      </w:r>
      <w:r>
        <w:rPr>
          <w:rFonts w:ascii="Calibri" w:cs="Calibri" w:eastAsia="Calibri" w:hAnsi="Calibri"/>
          <w:color w:val="E91E63"/>
          <w:sz w:val="20"/>
          <w:szCs w:val="20"/>
        </w:rPr>
        <w:t xml:space="preserve">Matelly</w:t>
      </w:r>
      <w:r>
        <w:rPr>
          <w:rFonts w:ascii="Calibri" w:cs="Calibri" w:eastAsia="Calibri" w:hAnsi="Calibri"/>
          <w:color w:val="1A1A1A"/>
          <w:sz w:val="20"/>
          <w:szCs w:val="20"/>
        </w:rPr>
        <w:t xml:space="preserve"> (2014) et la loi de 2015, ils peuvent adhérer à des associations professionnelles nationales de militaires ; le droit de grève leur reste interdit.</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au travail — Travailler, droit ou devoir ? (sujet « Pour s’entraîner » du fascicule) — Les libertés du salarié dans l’entreprise — La liberté syndicale — Le droit de grève — Le juge et les droits sociaux — Commentaire : </w:t>
      </w:r>
      <w:r>
        <w:rPr>
          <w:rFonts w:ascii="Calibri" w:cs="Calibri" w:eastAsia="Calibri" w:hAnsi="Calibri"/>
          <w:color w:val="E91E63"/>
          <w:sz w:val="20"/>
          <w:szCs w:val="20"/>
        </w:rPr>
        <w:t xml:space="preserve">Cass. soc., 14 janvier 2026</w:t>
      </w:r>
      <w:r>
        <w:rPr>
          <w:rFonts w:ascii="Calibri" w:cs="Calibri" w:eastAsia="Calibri" w:hAnsi="Calibri"/>
          <w:color w:val="1A1A1A"/>
          <w:sz w:val="20"/>
          <w:szCs w:val="20"/>
        </w:rPr>
        <w:t xml:space="preserve"> — Commentaire : </w:t>
      </w:r>
      <w:r>
        <w:rPr>
          <w:rFonts w:ascii="Calibri" w:cs="Calibri" w:eastAsia="Calibri" w:hAnsi="Calibri"/>
          <w:color w:val="E91E63"/>
          <w:sz w:val="20"/>
          <w:szCs w:val="20"/>
        </w:rPr>
        <w:t xml:space="preserve">Matelly c. France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arrêt fonde le contrôle de la grève dans les services publics ?</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7 juillet 1950, Dehaene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article du Code civil interdit les engagements de travail à vie ?</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1780 C. civ.</w:t>
      </w:r>
      <w:r>
        <w:rPr>
          <w:rFonts w:ascii="Calibri" w:cs="Calibri" w:eastAsia="Calibri" w:hAnsi="Calibri"/>
          <w:color w:val="1A1A1A"/>
          <w:sz w:val="20"/>
          <w:szCs w:val="20"/>
        </w:rPr>
        <w:t xml:space="preserve"> (« On ne peut engager ses services qu’à temps, ou pour une entreprise déterminée »).</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Déclaration de Philadelphie ?</w:t>
      </w:r>
      <w:r>
        <w:rPr>
          <w:rFonts w:ascii="Calibri" w:cs="Calibri" w:eastAsia="Calibri" w:hAnsi="Calibri"/>
          <w:color w:val="1A1A1A"/>
          <w:sz w:val="20"/>
          <w:szCs w:val="20"/>
        </w:rPr>
        <w:t xml:space="preserve"> — La déclaration de l’OIT du 10 mai 1944 : « le travail n’est pas une marchandise ».</w:t>
      </w:r>
    </w:p>
    <w:p>
      <w:pPr>
        <w:pStyle w:val="ListParagraph"/>
        <w:numPr>
          <w:ilvl w:val="0"/>
          <w:numId w:val="2"/>
        </w:numPr>
        <w:spacing w:after="70" w:line="264"/>
        <w:jc w:val="both"/>
      </w:pPr>
      <w:r>
        <w:rPr>
          <w:rFonts w:ascii="Calibri" w:cs="Calibri" w:eastAsia="Calibri" w:hAnsi="Calibri"/>
          <w:b/>
          <w:bCs/>
          <w:color w:val="1A1A1A"/>
          <w:sz w:val="20"/>
          <w:szCs w:val="20"/>
        </w:rPr>
        <w:t xml:space="preserve">Q. Le droit de grève est-il garanti par la Charte de l’Union ?</w:t>
      </w:r>
      <w:r>
        <w:rPr>
          <w:rFonts w:ascii="Calibri" w:cs="Calibri" w:eastAsia="Calibri" w:hAnsi="Calibri"/>
          <w:color w:val="1A1A1A"/>
          <w:sz w:val="20"/>
          <w:szCs w:val="20"/>
        </w:rPr>
        <w:t xml:space="preserve"> — Oui, l’</w:t>
      </w:r>
      <w:r>
        <w:rPr>
          <w:rFonts w:ascii="Calibri" w:cs="Calibri" w:eastAsia="Calibri" w:hAnsi="Calibri"/>
          <w:color w:val="1E88E5"/>
          <w:sz w:val="20"/>
          <w:szCs w:val="20"/>
        </w:rPr>
        <w:t xml:space="preserve">art. 28 CDFUE</w:t>
      </w:r>
      <w:r>
        <w:rPr>
          <w:rFonts w:ascii="Calibri" w:cs="Calibri" w:eastAsia="Calibri" w:hAnsi="Calibri"/>
          <w:color w:val="1A1A1A"/>
          <w:sz w:val="20"/>
          <w:szCs w:val="20"/>
        </w:rPr>
        <w:t xml:space="preserve"> (actions collectives), mais concilié avec les libertés économiques (</w:t>
      </w:r>
      <w:r>
        <w:rPr>
          <w:rFonts w:ascii="Calibri" w:cs="Calibri" w:eastAsia="Calibri" w:hAnsi="Calibri"/>
          <w:color w:val="E91E63"/>
          <w:sz w:val="20"/>
          <w:szCs w:val="20"/>
        </w:rPr>
        <w:t xml:space="preserve">CJCE, 11 décembre 2007, Viking, C-438/05</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18 décembre 2007, Laval, C-341/05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Depuis quand le délit de coalition est-il abrogé ?</w:t>
      </w:r>
      <w:r>
        <w:rPr>
          <w:rFonts w:ascii="Calibri" w:cs="Calibri" w:eastAsia="Calibri" w:hAnsi="Calibri"/>
          <w:color w:val="1A1A1A"/>
          <w:sz w:val="20"/>
          <w:szCs w:val="20"/>
        </w:rPr>
        <w:t xml:space="preserve"> — Depuis la </w:t>
      </w:r>
      <w:r>
        <w:rPr>
          <w:rFonts w:ascii="Calibri" w:cs="Calibri" w:eastAsia="Calibri" w:hAnsi="Calibri"/>
          <w:color w:val="1E88E5"/>
          <w:sz w:val="20"/>
          <w:szCs w:val="20"/>
        </w:rPr>
        <w:t xml:space="preserve">loi Ollivier du 25 mai 1864</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51 — LE DROIT AU LOGEMENT</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1er février 1954, en plein hiver, l’abbé Pierre lance à la radio : « Mes amis, au secours… Une femme vient de mourir gelée. » En décembre 2006, les Enfants de Don Quichotte installent des tentes le long du canal Saint-Martin ; trois mois plus tard, la loi du 5 mars 2007 crée le </w:t>
      </w:r>
      <w:r>
        <w:rPr>
          <w:rFonts w:ascii="Calibri" w:cs="Calibri" w:eastAsia="Calibri" w:hAnsi="Calibri"/>
          <w:b/>
          <w:bCs/>
          <w:color w:val="1A1A1A"/>
          <w:sz w:val="20"/>
          <w:szCs w:val="20"/>
        </w:rPr>
        <w:t xml:space="preserve">droit au logement opposable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Le droit au logement progresse par l’indignation et se heurte à la pénurie.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pour le Conseil constitutionnel, la « possibilité pour toute personne de disposer d’un logement décent » n’est pas un droit mais un </w:t>
      </w:r>
      <w:r>
        <w:rPr>
          <w:rFonts w:ascii="Calibri" w:cs="Calibri" w:eastAsia="Calibri" w:hAnsi="Calibri"/>
          <w:b/>
          <w:bCs/>
          <w:color w:val="1A1A1A"/>
          <w:sz w:val="20"/>
          <w:szCs w:val="20"/>
        </w:rPr>
        <w:t xml:space="preserve">objectif de valeur constitutionnelle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94-359 DC</w:t>
      </w:r>
      <w:r>
        <w:rPr>
          <w:rFonts w:ascii="Calibri" w:cs="Calibri" w:eastAsia="Calibri" w:hAnsi="Calibri"/>
          <w:color w:val="1A1A1A"/>
          <w:sz w:val="20"/>
          <w:szCs w:val="20"/>
        </w:rPr>
        <w:t xml:space="preserve">) — catégorie que </w:t>
      </w:r>
      <w:r>
        <w:rPr>
          <w:rFonts w:ascii="Calibri" w:cs="Calibri" w:eastAsia="Calibri" w:hAnsi="Calibri"/>
          <w:color w:val="2E7D32"/>
          <w:sz w:val="20"/>
          <w:szCs w:val="20"/>
        </w:rPr>
        <w:t xml:space="preserve">Louis Favoreu</w:t>
      </w:r>
      <w:r>
        <w:rPr>
          <w:rFonts w:ascii="Calibri" w:cs="Calibri" w:eastAsia="Calibri" w:hAnsi="Calibri"/>
          <w:color w:val="1A1A1A"/>
          <w:sz w:val="20"/>
          <w:szCs w:val="20"/>
        </w:rPr>
        <w:t xml:space="preserve"> qualifiait de « droits fondamentaux de second rang ».</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au logement est le droit de toute personne d’accéder à un logement décent et indépendant et de s’y maintenir, avec l’aide de la collectivité si nécessaire (</w:t>
      </w:r>
      <w:r>
        <w:rPr>
          <w:rFonts w:ascii="Calibri" w:cs="Calibri" w:eastAsia="Calibri" w:hAnsi="Calibri"/>
          <w:color w:val="1E88E5"/>
          <w:sz w:val="20"/>
          <w:szCs w:val="20"/>
        </w:rPr>
        <w:t xml:space="preserve">art. 1er loi Besson du 31 mai 1990</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En droit constitutionnel, c’est un </w:t>
      </w:r>
      <w:r>
        <w:rPr>
          <w:rFonts w:ascii="Calibri" w:cs="Calibri" w:eastAsia="Calibri" w:hAnsi="Calibri"/>
          <w:b/>
          <w:bCs/>
          <w:color w:val="1A1A1A"/>
          <w:sz w:val="20"/>
          <w:szCs w:val="20"/>
        </w:rPr>
        <w:t xml:space="preserve">objectif de valeur constitutionnelle</w:t>
      </w:r>
      <w:r>
        <w:rPr>
          <w:rFonts w:ascii="Calibri" w:cs="Calibri" w:eastAsia="Calibri" w:hAnsi="Calibri"/>
          <w:color w:val="1A1A1A"/>
          <w:sz w:val="20"/>
          <w:szCs w:val="20"/>
        </w:rPr>
        <w:t xml:space="preserve"> fondé sur la dignité et les </w:t>
      </w:r>
      <w:r>
        <w:rPr>
          <w:rFonts w:ascii="Calibri" w:cs="Calibri" w:eastAsia="Calibri" w:hAnsi="Calibri"/>
          <w:color w:val="1E88E5"/>
          <w:sz w:val="20"/>
          <w:szCs w:val="20"/>
        </w:rPr>
        <w:t xml:space="preserve">al. 10 et 11</w:t>
      </w:r>
      <w:r>
        <w:rPr>
          <w:rFonts w:ascii="Calibri" w:cs="Calibri" w:eastAsia="Calibri" w:hAnsi="Calibri"/>
          <w:color w:val="1A1A1A"/>
          <w:sz w:val="20"/>
          <w:szCs w:val="20"/>
        </w:rPr>
        <w:t xml:space="preserve"> du Préambule, qui justifie des limitations au droit de propriété mais n’est pas directement invocable ; la loi DALO l’a rendu partiellement </w:t>
      </w:r>
      <w:r>
        <w:rPr>
          <w:rFonts w:ascii="Calibri" w:cs="Calibri" w:eastAsia="Calibri" w:hAnsi="Calibri"/>
          <w:b/>
          <w:bCs/>
          <w:color w:val="1A1A1A"/>
          <w:sz w:val="20"/>
          <w:szCs w:val="20"/>
        </w:rPr>
        <w:t xml:space="preserve">opposable</w:t>
      </w:r>
      <w:r>
        <w:rPr>
          <w:rFonts w:ascii="Calibri" w:cs="Calibri" w:eastAsia="Calibri" w:hAnsi="Calibri"/>
          <w:color w:val="1A1A1A"/>
          <w:sz w:val="20"/>
          <w:szCs w:val="20"/>
        </w:rPr>
        <w:t xml:space="preserve"> à l’État, et le droit à l’</w:t>
      </w:r>
      <w:r>
        <w:rPr>
          <w:rFonts w:ascii="Calibri" w:cs="Calibri" w:eastAsia="Calibri" w:hAnsi="Calibri"/>
          <w:b/>
          <w:bCs/>
          <w:color w:val="1A1A1A"/>
          <w:sz w:val="20"/>
          <w:szCs w:val="20"/>
        </w:rPr>
        <w:t xml:space="preserve">hébergement d’urgence</w:t>
      </w:r>
      <w:r>
        <w:rPr>
          <w:rFonts w:ascii="Calibri" w:cs="Calibri" w:eastAsia="Calibri" w:hAnsi="Calibri"/>
          <w:color w:val="1A1A1A"/>
          <w:sz w:val="20"/>
          <w:szCs w:val="20"/>
        </w:rPr>
        <w:t xml:space="preserve"> est une liberté fondamentale.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25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11 PIDESC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31 Charte sociale européenne révisée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34 § 3 CDFUE</w:t>
      </w:r>
      <w:r>
        <w:rPr>
          <w:rFonts w:ascii="Calibri" w:cs="Calibri" w:eastAsia="Calibri" w:hAnsi="Calibri"/>
          <w:color w:val="1A1A1A"/>
          <w:sz w:val="20"/>
          <w:szCs w:val="20"/>
        </w:rPr>
        <w:t xml:space="preserve"> (aide au logement) ; </w:t>
      </w:r>
      <w:r>
        <w:rPr>
          <w:rFonts w:ascii="Calibri" w:cs="Calibri" w:eastAsia="Calibri" w:hAnsi="Calibri"/>
          <w:color w:val="1E88E5"/>
          <w:sz w:val="20"/>
          <w:szCs w:val="20"/>
        </w:rPr>
        <w:t xml:space="preserve">loi du 6 juillet 1989</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Besson du 31 mai 1990</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DALO du 5 mars 2007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94-359 DC, 19 janvier 1995, Diversité de l’habitat</w:t>
      </w:r>
      <w:r>
        <w:rPr>
          <w:rFonts w:ascii="Calibri" w:cs="Calibri" w:eastAsia="Calibri" w:hAnsi="Calibri"/>
          <w:color w:val="1A1A1A"/>
          <w:sz w:val="20"/>
          <w:szCs w:val="20"/>
        </w:rPr>
        <w:t xml:space="preserve"> : la possibilité pour toute personne de disposer d’un logement décent est un </w:t>
      </w:r>
      <w:r>
        <w:rPr>
          <w:rFonts w:ascii="Calibri" w:cs="Calibri" w:eastAsia="Calibri" w:hAnsi="Calibri"/>
          <w:b/>
          <w:bCs/>
          <w:color w:val="1A1A1A"/>
          <w:sz w:val="20"/>
          <w:szCs w:val="20"/>
        </w:rPr>
        <w:t xml:space="preserve">objectif de valeur constitutionnelle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10 février 2012, Fofana, n° 356456</w:t>
      </w:r>
      <w:r>
        <w:rPr>
          <w:rFonts w:ascii="Calibri" w:cs="Calibri" w:eastAsia="Calibri" w:hAnsi="Calibri"/>
          <w:color w:val="1A1A1A"/>
          <w:sz w:val="20"/>
          <w:szCs w:val="20"/>
        </w:rPr>
        <w:t xml:space="preserve"> : une carence caractérisée de l’État dans la mise en œuvre du droit à l’</w:t>
      </w:r>
      <w:r>
        <w:rPr>
          <w:rFonts w:ascii="Calibri" w:cs="Calibri" w:eastAsia="Calibri" w:hAnsi="Calibri"/>
          <w:b/>
          <w:bCs/>
          <w:color w:val="1A1A1A"/>
          <w:sz w:val="20"/>
          <w:szCs w:val="20"/>
        </w:rPr>
        <w:t xml:space="preserve">hébergement d’urgence</w:t>
      </w:r>
      <w:r>
        <w:rPr>
          <w:rFonts w:ascii="Calibri" w:cs="Calibri" w:eastAsia="Calibri" w:hAnsi="Calibri"/>
          <w:color w:val="1A1A1A"/>
          <w:sz w:val="20"/>
          <w:szCs w:val="20"/>
        </w:rPr>
        <w:t xml:space="preserve"> peut porter une atteinte grave et manifestement illégale à une liberté fondamentale.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9 avril 2015, Tchokontio Happi c. France, n° 65829/12</w:t>
      </w:r>
      <w:r>
        <w:rPr>
          <w:rFonts w:ascii="Calibri" w:cs="Calibri" w:eastAsia="Calibri" w:hAnsi="Calibri"/>
          <w:color w:val="1A1A1A"/>
          <w:sz w:val="20"/>
          <w:szCs w:val="20"/>
        </w:rPr>
        <w:t xml:space="preserve"> : l’inexécution pendant plus de trois ans d’un jugement DALO viole l’</w:t>
      </w:r>
      <w:r>
        <w:rPr>
          <w:rFonts w:ascii="Calibri" w:cs="Calibri" w:eastAsia="Calibri" w:hAnsi="Calibri"/>
          <w:color w:val="1E88E5"/>
          <w:sz w:val="20"/>
          <w:szCs w:val="20"/>
        </w:rPr>
        <w:t xml:space="preserve">art. 6 § 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CEDS, 5 décembre 2007, FEANTSA c. France</w:t>
      </w:r>
      <w:r>
        <w:rPr>
          <w:rFonts w:ascii="Calibri" w:cs="Calibri" w:eastAsia="Calibri" w:hAnsi="Calibri"/>
          <w:color w:val="1A1A1A"/>
          <w:sz w:val="20"/>
          <w:szCs w:val="20"/>
        </w:rPr>
        <w:t xml:space="preserve"> : violation de l’</w:t>
      </w:r>
      <w:r>
        <w:rPr>
          <w:rFonts w:ascii="Calibri" w:cs="Calibri" w:eastAsia="Calibri" w:hAnsi="Calibri"/>
          <w:color w:val="1E88E5"/>
          <w:sz w:val="20"/>
          <w:szCs w:val="20"/>
        </w:rPr>
        <w:t xml:space="preserve">art. 31</w:t>
      </w:r>
      <w:r>
        <w:rPr>
          <w:rFonts w:ascii="Calibri" w:cs="Calibri" w:eastAsia="Calibri" w:hAnsi="Calibri"/>
          <w:color w:val="1A1A1A"/>
          <w:sz w:val="20"/>
          <w:szCs w:val="20"/>
        </w:rPr>
        <w:t xml:space="preserve"> de la Charte sociale (insuffisance de logements sociaux, sans-abrisme, logements indignes).</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au logement est-il un droit fondamental ? »</w:t>
      </w:r>
      <w:r>
        <w:rPr>
          <w:rFonts w:ascii="Calibri" w:cs="Calibri" w:eastAsia="Calibri" w:hAnsi="Calibri"/>
          <w:color w:val="1A1A1A"/>
          <w:sz w:val="20"/>
          <w:szCs w:val="20"/>
        </w:rPr>
        <w:t xml:space="preserve"> (sujet « Pour s’entraîner ») — </w:t>
      </w:r>
      <w:r>
        <w:rPr>
          <w:rFonts w:ascii="Calibri" w:cs="Calibri" w:eastAsia="Calibri" w:hAnsi="Calibri"/>
          <w:b/>
          <w:bCs/>
          <w:color w:val="1A1A1A"/>
          <w:sz w:val="20"/>
          <w:szCs w:val="20"/>
        </w:rPr>
        <w:t xml:space="preserve">I. Un droit faiblement consacré</w:t>
      </w:r>
      <w:r>
        <w:rPr>
          <w:rFonts w:ascii="Calibri" w:cs="Calibri" w:eastAsia="Calibri" w:hAnsi="Calibri"/>
          <w:color w:val="1A1A1A"/>
          <w:sz w:val="20"/>
          <w:szCs w:val="20"/>
        </w:rPr>
        <w:t xml:space="preserve"> (A. Des sources disparates : DUDH, PIDESC, Charte sociale ; B. Un simple objectif de valeur constitutionnelle : </w:t>
      </w:r>
      <w:r>
        <w:rPr>
          <w:rFonts w:ascii="Calibri" w:cs="Calibri" w:eastAsia="Calibri" w:hAnsi="Calibri"/>
          <w:color w:val="E91E63"/>
          <w:sz w:val="20"/>
          <w:szCs w:val="20"/>
        </w:rPr>
        <w:t xml:space="preserve">94-359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ord., 3 mai 2002</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Un droit progressivement justiciable</w:t>
      </w:r>
      <w:r>
        <w:rPr>
          <w:rFonts w:ascii="Calibri" w:cs="Calibri" w:eastAsia="Calibri" w:hAnsi="Calibri"/>
          <w:color w:val="1A1A1A"/>
          <w:sz w:val="20"/>
          <w:szCs w:val="20"/>
        </w:rPr>
        <w:t xml:space="preserve"> (A. L’opposabilité : DALO, responsabilité de l’État, </w:t>
      </w:r>
      <w:r>
        <w:rPr>
          <w:rFonts w:ascii="Calibri" w:cs="Calibri" w:eastAsia="Calibri" w:hAnsi="Calibri"/>
          <w:color w:val="E91E63"/>
          <w:sz w:val="20"/>
          <w:szCs w:val="20"/>
        </w:rPr>
        <w:t xml:space="preserve">Tchokontio Happi</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6 novembre 2025</w:t>
      </w:r>
      <w:r>
        <w:rPr>
          <w:rFonts w:ascii="Calibri" w:cs="Calibri" w:eastAsia="Calibri" w:hAnsi="Calibri"/>
          <w:color w:val="1A1A1A"/>
          <w:sz w:val="20"/>
          <w:szCs w:val="20"/>
        </w:rPr>
        <w:t xml:space="preserve"> ; B. L’hébergement d’urgence, liberté fondamentale : </w:t>
      </w:r>
      <w:r>
        <w:rPr>
          <w:rFonts w:ascii="Calibri" w:cs="Calibri" w:eastAsia="Calibri" w:hAnsi="Calibri"/>
          <w:color w:val="E91E63"/>
          <w:sz w:val="20"/>
          <w:szCs w:val="20"/>
        </w:rPr>
        <w:t xml:space="preserve">Fofana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31 juillet 2017, Calais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Droit au logement et droit de propriété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Le logement, limite à la propriété</w:t>
      </w:r>
      <w:r>
        <w:rPr>
          <w:rFonts w:ascii="Calibri" w:cs="Calibri" w:eastAsia="Calibri" w:hAnsi="Calibri"/>
          <w:color w:val="1A1A1A"/>
          <w:sz w:val="20"/>
          <w:szCs w:val="20"/>
        </w:rPr>
        <w:t xml:space="preserve"> (A. L’objectif de valeur constitutionnelle comme justification : taxe sur les logements vacants (</w:t>
      </w:r>
      <w:r>
        <w:rPr>
          <w:rFonts w:ascii="Calibri" w:cs="Calibri" w:eastAsia="Calibri" w:hAnsi="Calibri"/>
          <w:color w:val="E91E63"/>
          <w:sz w:val="20"/>
          <w:szCs w:val="20"/>
        </w:rPr>
        <w:t xml:space="preserve">98-403 DC</w:t>
      </w:r>
      <w:r>
        <w:rPr>
          <w:rFonts w:ascii="Calibri" w:cs="Calibri" w:eastAsia="Calibri" w:hAnsi="Calibri"/>
          <w:color w:val="1A1A1A"/>
          <w:sz w:val="20"/>
          <w:szCs w:val="20"/>
        </w:rPr>
        <w:t xml:space="preserve">), réquisitions (</w:t>
      </w:r>
      <w:r>
        <w:rPr>
          <w:rFonts w:ascii="Calibri" w:cs="Calibri" w:eastAsia="Calibri" w:hAnsi="Calibri"/>
          <w:color w:val="E91E63"/>
          <w:sz w:val="20"/>
          <w:szCs w:val="20"/>
        </w:rPr>
        <w:t xml:space="preserve">2009-578 DC</w:t>
      </w:r>
      <w:r>
        <w:rPr>
          <w:rFonts w:ascii="Calibri" w:cs="Calibri" w:eastAsia="Calibri" w:hAnsi="Calibri"/>
          <w:color w:val="1A1A1A"/>
          <w:sz w:val="20"/>
          <w:szCs w:val="20"/>
        </w:rPr>
        <w:t xml:space="preserve">), encadrement des loyers (</w:t>
      </w:r>
      <w:r>
        <w:rPr>
          <w:rFonts w:ascii="Calibri" w:cs="Calibri" w:eastAsia="Calibri" w:hAnsi="Calibri"/>
          <w:color w:val="E91E63"/>
          <w:sz w:val="20"/>
          <w:szCs w:val="20"/>
        </w:rPr>
        <w:t xml:space="preserve">2014-691 DC</w:t>
      </w:r>
      <w:r>
        <w:rPr>
          <w:rFonts w:ascii="Calibri" w:cs="Calibri" w:eastAsia="Calibri" w:hAnsi="Calibri"/>
          <w:color w:val="1A1A1A"/>
          <w:sz w:val="20"/>
          <w:szCs w:val="20"/>
        </w:rPr>
        <w:t xml:space="preserve">) ; B. La protection du locataire : trêve hivernale, décence énergétique (</w:t>
      </w:r>
      <w:r>
        <w:rPr>
          <w:rFonts w:ascii="Calibri" w:cs="Calibri" w:eastAsia="Calibri" w:hAnsi="Calibri"/>
          <w:color w:val="E91E63"/>
          <w:sz w:val="20"/>
          <w:szCs w:val="20"/>
        </w:rPr>
        <w:t xml:space="preserve">CE, 21 décembre 2023</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II. La propriété, limite au logement</w:t>
      </w:r>
      <w:r>
        <w:rPr>
          <w:rFonts w:ascii="Calibri" w:cs="Calibri" w:eastAsia="Calibri" w:hAnsi="Calibri"/>
          <w:color w:val="1A1A1A"/>
          <w:sz w:val="20"/>
          <w:szCs w:val="20"/>
        </w:rPr>
        <w:t xml:space="preserve"> (A. La protection contre l’occupation illicite : </w:t>
      </w:r>
      <w:r>
        <w:rPr>
          <w:rFonts w:ascii="Calibri" w:cs="Calibri" w:eastAsia="Calibri" w:hAnsi="Calibri"/>
          <w:color w:val="1E88E5"/>
          <w:sz w:val="20"/>
          <w:szCs w:val="20"/>
        </w:rPr>
        <w:t xml:space="preserve">loi du 27 juillet 2023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2023-853 DC</w:t>
      </w:r>
      <w:r>
        <w:rPr>
          <w:rFonts w:ascii="Calibri" w:cs="Calibri" w:eastAsia="Calibri" w:hAnsi="Calibri"/>
          <w:color w:val="1A1A1A"/>
          <w:sz w:val="20"/>
          <w:szCs w:val="20"/>
        </w:rPr>
        <w:t xml:space="preserve"> ; B. La proportionnalité des expulsions : </w:t>
      </w:r>
      <w:r>
        <w:rPr>
          <w:rFonts w:ascii="Calibri" w:cs="Calibri" w:eastAsia="Calibri" w:hAnsi="Calibri"/>
          <w:color w:val="E91E63"/>
          <w:sz w:val="20"/>
          <w:szCs w:val="20"/>
        </w:rPr>
        <w:t xml:space="preserve">McCann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Yordanova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Winterstein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Logement ≠ hébergement</w:t>
      </w:r>
      <w:r>
        <w:rPr>
          <w:rFonts w:ascii="Calibri" w:cs="Calibri" w:eastAsia="Calibri" w:hAnsi="Calibri"/>
          <w:color w:val="1A1A1A"/>
          <w:sz w:val="20"/>
          <w:szCs w:val="20"/>
        </w:rPr>
        <w:t xml:space="preserve"> : le droit au logement (objectif constitutionnel, DALO) n’est pas une liberté fondamentale du référé ; le droit à l’</w:t>
      </w:r>
      <w:r>
        <w:rPr>
          <w:rFonts w:ascii="Calibri" w:cs="Calibri" w:eastAsia="Calibri" w:hAnsi="Calibri"/>
          <w:b/>
          <w:bCs/>
          <w:color w:val="1A1A1A"/>
          <w:sz w:val="20"/>
          <w:szCs w:val="20"/>
        </w:rPr>
        <w:t xml:space="preserve">hébergement d’urgence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345-2-2 CASF</w:t>
      </w:r>
      <w:r>
        <w:rPr>
          <w:rFonts w:ascii="Calibri" w:cs="Calibri" w:eastAsia="Calibri" w:hAnsi="Calibri"/>
          <w:color w:val="1A1A1A"/>
          <w:sz w:val="20"/>
          <w:szCs w:val="20"/>
        </w:rPr>
        <w:t xml:space="preserve">), inconditionnel et fondé sur la dignité, peut l’être (</w:t>
      </w:r>
      <w:r>
        <w:rPr>
          <w:rFonts w:ascii="Calibri" w:cs="Calibri" w:eastAsia="Calibri" w:hAnsi="Calibri"/>
          <w:color w:val="E91E63"/>
          <w:sz w:val="20"/>
          <w:szCs w:val="20"/>
        </w:rPr>
        <w:t xml:space="preserve">Fofana</w:t>
      </w:r>
      <w:r>
        <w:rPr>
          <w:rFonts w:ascii="Calibri" w:cs="Calibri" w:eastAsia="Calibri" w:hAnsi="Calibri"/>
          <w:color w:val="1A1A1A"/>
          <w:sz w:val="20"/>
          <w:szCs w:val="20"/>
        </w:rPr>
        <w:t xml:space="preserve">, 2012).</w:t>
      </w:r>
    </w:p>
    <w:p>
      <w:pPr>
        <w:pStyle w:val="ListParagraph"/>
        <w:numPr>
          <w:ilvl w:val="0"/>
          <w:numId w:val="2"/>
        </w:numPr>
        <w:spacing w:after="70" w:line="264"/>
        <w:jc w:val="both"/>
      </w:pPr>
      <w:r>
        <w:rPr>
          <w:rFonts w:ascii="Calibri" w:cs="Calibri" w:eastAsia="Calibri" w:hAnsi="Calibri"/>
          <w:b/>
          <w:bCs/>
          <w:color w:val="1A1A1A"/>
          <w:sz w:val="20"/>
          <w:szCs w:val="20"/>
        </w:rPr>
        <w:t xml:space="preserve">La décision de 1995 est la 94-359 DC</w:t>
      </w:r>
      <w:r>
        <w:rPr>
          <w:rFonts w:ascii="Calibri" w:cs="Calibri" w:eastAsia="Calibri" w:hAnsi="Calibri"/>
          <w:color w:val="1A1A1A"/>
          <w:sz w:val="20"/>
          <w:szCs w:val="20"/>
        </w:rPr>
        <w:t xml:space="preserve"> (19 janvier 1995), non « 95-359 DC » ; et la loi Besson est du </w:t>
      </w:r>
      <w:r>
        <w:rPr>
          <w:rFonts w:ascii="Calibri" w:cs="Calibri" w:eastAsia="Calibri" w:hAnsi="Calibri"/>
          <w:b/>
          <w:bCs/>
          <w:color w:val="1A1A1A"/>
          <w:sz w:val="20"/>
          <w:szCs w:val="20"/>
        </w:rPr>
        <w:t xml:space="preserve">31 mai</w:t>
      </w:r>
      <w:r>
        <w:rPr>
          <w:rFonts w:ascii="Calibri" w:cs="Calibri" w:eastAsia="Calibri" w:hAnsi="Calibri"/>
          <w:color w:val="1A1A1A"/>
          <w:sz w:val="20"/>
          <w:szCs w:val="20"/>
        </w:rPr>
        <w:t xml:space="preserve"> 1990 (le fascicule écrit aussi « 31 mars »).</w:t>
      </w:r>
    </w:p>
    <w:p>
      <w:pPr>
        <w:pStyle w:val="ListParagraph"/>
        <w:numPr>
          <w:ilvl w:val="0"/>
          <w:numId w:val="2"/>
        </w:numPr>
        <w:spacing w:after="70" w:line="264"/>
        <w:jc w:val="both"/>
      </w:pPr>
      <w:r>
        <w:rPr>
          <w:rFonts w:ascii="Calibri" w:cs="Calibri" w:eastAsia="Calibri" w:hAnsi="Calibri"/>
          <w:b/>
          <w:bCs/>
          <w:color w:val="1A1A1A"/>
          <w:sz w:val="20"/>
          <w:szCs w:val="20"/>
        </w:rPr>
        <w:t xml:space="preserve">DALO = droit à une procédure et à une indemnisation</w:t>
      </w:r>
      <w:r>
        <w:rPr>
          <w:rFonts w:ascii="Calibri" w:cs="Calibri" w:eastAsia="Calibri" w:hAnsi="Calibri"/>
          <w:color w:val="1A1A1A"/>
          <w:sz w:val="20"/>
          <w:szCs w:val="20"/>
        </w:rPr>
        <w:t xml:space="preserve">, non à un logement immédiat : la commission de médiation reconnaît le caractère prioritaire, le préfet doit reloger, et la carence ouvre une </w:t>
      </w:r>
      <w:r>
        <w:rPr>
          <w:rFonts w:ascii="Calibri" w:cs="Calibri" w:eastAsia="Calibri" w:hAnsi="Calibri"/>
          <w:b/>
          <w:bCs/>
          <w:color w:val="1A1A1A"/>
          <w:sz w:val="20"/>
          <w:szCs w:val="20"/>
        </w:rPr>
        <w:t xml:space="preserve">injonction</w:t>
      </w:r>
      <w:r>
        <w:rPr>
          <w:rFonts w:ascii="Calibri" w:cs="Calibri" w:eastAsia="Calibri" w:hAnsi="Calibri"/>
          <w:color w:val="1A1A1A"/>
          <w:sz w:val="20"/>
          <w:szCs w:val="20"/>
        </w:rPr>
        <w:t xml:space="preserve"> du juge et une </w:t>
      </w:r>
      <w:r>
        <w:rPr>
          <w:rFonts w:ascii="Calibri" w:cs="Calibri" w:eastAsia="Calibri" w:hAnsi="Calibri"/>
          <w:b/>
          <w:bCs/>
          <w:color w:val="1A1A1A"/>
          <w:sz w:val="20"/>
          <w:szCs w:val="20"/>
        </w:rPr>
        <w:t xml:space="preserve">responsabilité</w:t>
      </w:r>
      <w:r>
        <w:rPr>
          <w:rFonts w:ascii="Calibri" w:cs="Calibri" w:eastAsia="Calibri" w:hAnsi="Calibri"/>
          <w:color w:val="1A1A1A"/>
          <w:sz w:val="20"/>
          <w:szCs w:val="20"/>
        </w:rPr>
        <w:t xml:space="preserve"> de l’État — non un titre d’occupation.</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25 § 1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11 § 1 PIDESC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Observation générale n° 4 (1991)</w:t>
      </w:r>
      <w:r>
        <w:rPr>
          <w:rFonts w:ascii="Calibri" w:cs="Calibri" w:eastAsia="Calibri" w:hAnsi="Calibri"/>
          <w:color w:val="1A1A1A"/>
          <w:sz w:val="20"/>
          <w:szCs w:val="20"/>
        </w:rPr>
        <w:t xml:space="preserve"> (sept critères du logement suffisant : sécurité d’occupation, services, coût abordable, habitabilité, accessibilité, emplacement, adéquation culturelle) et </w:t>
      </w:r>
      <w:r>
        <w:rPr>
          <w:rFonts w:ascii="Calibri" w:cs="Calibri" w:eastAsia="Calibri" w:hAnsi="Calibri"/>
          <w:color w:val="1E88E5"/>
          <w:sz w:val="20"/>
          <w:szCs w:val="20"/>
        </w:rPr>
        <w:t xml:space="preserve">n° 7 (1997)</w:t>
      </w:r>
      <w:r>
        <w:rPr>
          <w:rFonts w:ascii="Calibri" w:cs="Calibri" w:eastAsia="Calibri" w:hAnsi="Calibri"/>
          <w:color w:val="1A1A1A"/>
          <w:sz w:val="20"/>
          <w:szCs w:val="20"/>
        </w:rPr>
        <w:t xml:space="preserve"> (expulsions forcées).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pas de droit au logement dans la </w:t>
      </w:r>
      <w:r>
        <w:rPr>
          <w:rFonts w:ascii="Calibri" w:cs="Calibri" w:eastAsia="Calibri" w:hAnsi="Calibri"/>
          <w:color w:val="1E88E5"/>
          <w:sz w:val="20"/>
          <w:szCs w:val="20"/>
        </w:rPr>
        <w:t xml:space="preserve">CEDH</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18 janvier 2001, Chapman c. Royaume-Uni</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ne garantit pas un droit à se voir fournir un domicile) ; protection du </w:t>
      </w:r>
      <w:r>
        <w:rPr>
          <w:rFonts w:ascii="Calibri" w:cs="Calibri" w:eastAsia="Calibri" w:hAnsi="Calibri"/>
          <w:b/>
          <w:bCs/>
          <w:color w:val="1A1A1A"/>
          <w:sz w:val="20"/>
          <w:szCs w:val="20"/>
        </w:rPr>
        <w:t xml:space="preserve">domicile</w:t>
      </w:r>
      <w:r>
        <w:rPr>
          <w:rFonts w:ascii="Calibri" w:cs="Calibri" w:eastAsia="Calibri" w:hAnsi="Calibri"/>
          <w:color w:val="1A1A1A"/>
          <w:sz w:val="20"/>
          <w:szCs w:val="20"/>
        </w:rPr>
        <w:t xml:space="preserve"> existant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31 Charte sociale révisée</w:t>
      </w:r>
      <w:r>
        <w:rPr>
          <w:rFonts w:ascii="Calibri" w:cs="Calibri" w:eastAsia="Calibri" w:hAnsi="Calibri"/>
          <w:color w:val="1A1A1A"/>
          <w:sz w:val="20"/>
          <w:szCs w:val="20"/>
        </w:rPr>
        <w:t xml:space="preserve"> (accès au logement, prévention du sans-abrisme, coût accessible), accepté par la France ; </w:t>
      </w:r>
      <w:r>
        <w:rPr>
          <w:rFonts w:ascii="Calibri" w:cs="Calibri" w:eastAsia="Calibri" w:hAnsi="Calibri"/>
          <w:color w:val="1E88E5"/>
          <w:sz w:val="20"/>
          <w:szCs w:val="20"/>
        </w:rPr>
        <w:t xml:space="preserve">art. 34 § 3 CDFUE</w:t>
      </w:r>
      <w:r>
        <w:rPr>
          <w:rFonts w:ascii="Calibri" w:cs="Calibri" w:eastAsia="Calibri" w:hAnsi="Calibri"/>
          <w:color w:val="1A1A1A"/>
          <w:sz w:val="20"/>
          <w:szCs w:val="20"/>
        </w:rPr>
        <w:t xml:space="preserve"> (aide au logement).</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objectif de valeur constitutionnelle — </w:t>
      </w:r>
      <w:r>
        <w:rPr>
          <w:rFonts w:ascii="Calibri" w:cs="Calibri" w:eastAsia="Calibri" w:hAnsi="Calibri"/>
          <w:color w:val="E91E63"/>
          <w:sz w:val="20"/>
          <w:szCs w:val="20"/>
        </w:rPr>
        <w:t xml:space="preserve">90-274 DC, 29 mai 1990</w:t>
      </w:r>
      <w:r>
        <w:rPr>
          <w:rFonts w:ascii="Calibri" w:cs="Calibri" w:eastAsia="Calibri" w:hAnsi="Calibri"/>
          <w:color w:val="1A1A1A"/>
          <w:sz w:val="20"/>
          <w:szCs w:val="20"/>
        </w:rPr>
        <w:t xml:space="preserve"> (loi Besson : la promotion du logement des personnes défavorisées répond à une exigence d’intérêt national) ; </w:t>
      </w:r>
      <w:r>
        <w:rPr>
          <w:rFonts w:ascii="Calibri" w:cs="Calibri" w:eastAsia="Calibri" w:hAnsi="Calibri"/>
          <w:color w:val="E91E63"/>
          <w:sz w:val="20"/>
          <w:szCs w:val="20"/>
        </w:rPr>
        <w:t xml:space="preserve">94-359 DC, 19 janvier 1995</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98-403 DC, 29 juillet 1998</w:t>
      </w:r>
      <w:r>
        <w:rPr>
          <w:rFonts w:ascii="Calibri" w:cs="Calibri" w:eastAsia="Calibri" w:hAnsi="Calibri"/>
          <w:color w:val="1A1A1A"/>
          <w:sz w:val="20"/>
          <w:szCs w:val="20"/>
        </w:rPr>
        <w:t xml:space="preserve"> (taxe sur les logements vacants) ; </w:t>
      </w:r>
      <w:r>
        <w:rPr>
          <w:rFonts w:ascii="Calibri" w:cs="Calibri" w:eastAsia="Calibri" w:hAnsi="Calibri"/>
          <w:color w:val="E91E63"/>
          <w:sz w:val="20"/>
          <w:szCs w:val="20"/>
        </w:rPr>
        <w:t xml:space="preserve">2009-578 DC, 18 mars 2009</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2014-691 DC, 20 mars 2014</w:t>
      </w:r>
      <w:r>
        <w:rPr>
          <w:rFonts w:ascii="Calibri" w:cs="Calibri" w:eastAsia="Calibri" w:hAnsi="Calibri"/>
          <w:color w:val="1A1A1A"/>
          <w:sz w:val="20"/>
          <w:szCs w:val="20"/>
        </w:rPr>
        <w:t xml:space="preserve"> (ALUR).</w:t>
      </w:r>
    </w:p>
    <w:p>
      <w:pPr>
        <w:pStyle w:val="ListParagraph"/>
        <w:numPr>
          <w:ilvl w:val="0"/>
          <w:numId w:val="2"/>
        </w:numPr>
        <w:spacing w:after="70" w:line="264"/>
        <w:jc w:val="both"/>
      </w:pPr>
      <w:r>
        <w:rPr>
          <w:rFonts w:ascii="Calibri" w:cs="Calibri" w:eastAsia="Calibri" w:hAnsi="Calibri"/>
          <w:b/>
          <w:bCs/>
          <w:color w:val="1A1A1A"/>
          <w:sz w:val="20"/>
          <w:szCs w:val="20"/>
        </w:rPr>
        <w:t xml:space="preserve">Droit législatif</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Quilliot du 22 juin 1982</w:t>
      </w:r>
      <w:r>
        <w:rPr>
          <w:rFonts w:ascii="Calibri" w:cs="Calibri" w:eastAsia="Calibri" w:hAnsi="Calibri"/>
          <w:color w:val="1A1A1A"/>
          <w:sz w:val="20"/>
          <w:szCs w:val="20"/>
        </w:rPr>
        <w:t xml:space="preserve"> (« droit à l’habitat ») ; </w:t>
      </w:r>
      <w:r>
        <w:rPr>
          <w:rFonts w:ascii="Calibri" w:cs="Calibri" w:eastAsia="Calibri" w:hAnsi="Calibri"/>
          <w:color w:val="1E88E5"/>
          <w:sz w:val="20"/>
          <w:szCs w:val="20"/>
        </w:rPr>
        <w:t xml:space="preserve">loi du 6 juillet 1989</w:t>
      </w:r>
      <w:r>
        <w:rPr>
          <w:rFonts w:ascii="Calibri" w:cs="Calibri" w:eastAsia="Calibri" w:hAnsi="Calibri"/>
          <w:color w:val="1A1A1A"/>
          <w:sz w:val="20"/>
          <w:szCs w:val="20"/>
        </w:rPr>
        <w:t xml:space="preserve"> (rapports locatifs ; logement décent, art. 6) ; </w:t>
      </w:r>
      <w:r>
        <w:rPr>
          <w:rFonts w:ascii="Calibri" w:cs="Calibri" w:eastAsia="Calibri" w:hAnsi="Calibri"/>
          <w:color w:val="1E88E5"/>
          <w:sz w:val="20"/>
          <w:szCs w:val="20"/>
        </w:rPr>
        <w:t xml:space="preserve">loi Besson du 31 mai 1990</w:t>
      </w:r>
      <w:r>
        <w:rPr>
          <w:rFonts w:ascii="Calibri" w:cs="Calibri" w:eastAsia="Calibri" w:hAnsi="Calibri"/>
          <w:color w:val="1A1A1A"/>
          <w:sz w:val="20"/>
          <w:szCs w:val="20"/>
        </w:rPr>
        <w:t xml:space="preserve"> (fonds de solidarité logement) ; </w:t>
      </w:r>
      <w:r>
        <w:rPr>
          <w:rFonts w:ascii="Calibri" w:cs="Calibri" w:eastAsia="Calibri" w:hAnsi="Calibri"/>
          <w:color w:val="1E88E5"/>
          <w:sz w:val="20"/>
          <w:szCs w:val="20"/>
        </w:rPr>
        <w:t xml:space="preserve">loi SRU du 13 décembre 2000</w:t>
      </w:r>
      <w:r>
        <w:rPr>
          <w:rFonts w:ascii="Calibri" w:cs="Calibri" w:eastAsia="Calibri" w:hAnsi="Calibri"/>
          <w:color w:val="1A1A1A"/>
          <w:sz w:val="20"/>
          <w:szCs w:val="20"/>
        </w:rPr>
        <w:t xml:space="preserve"> (quota de logements sociaux) ; </w:t>
      </w:r>
      <w:r>
        <w:rPr>
          <w:rFonts w:ascii="Calibri" w:cs="Calibri" w:eastAsia="Calibri" w:hAnsi="Calibri"/>
          <w:color w:val="1E88E5"/>
          <w:sz w:val="20"/>
          <w:szCs w:val="20"/>
        </w:rPr>
        <w:t xml:space="preserve">loi DALO du 5 mars 2007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ALUR du 24 mars 2014</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Climat et résilience du 22 août 2021</w:t>
      </w:r>
      <w:r>
        <w:rPr>
          <w:rFonts w:ascii="Calibri" w:cs="Calibri" w:eastAsia="Calibri" w:hAnsi="Calibri"/>
          <w:color w:val="1A1A1A"/>
          <w:sz w:val="20"/>
          <w:szCs w:val="20"/>
        </w:rPr>
        <w:t xml:space="preserve"> (décence énergétique) ; </w:t>
      </w:r>
      <w:r>
        <w:rPr>
          <w:rFonts w:ascii="Calibri" w:cs="Calibri" w:eastAsia="Calibri" w:hAnsi="Calibri"/>
          <w:color w:val="1E88E5"/>
          <w:sz w:val="20"/>
          <w:szCs w:val="20"/>
        </w:rPr>
        <w:t xml:space="preserve">loi du 27 juillet 2023 visant à protéger les logements contre l’occupation illicite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l’objectif de valeur constitutionnelle fonctionne surtout comme un </w:t>
      </w:r>
      <w:r>
        <w:rPr>
          <w:rFonts w:ascii="Calibri" w:cs="Calibri" w:eastAsia="Calibri" w:hAnsi="Calibri"/>
          <w:b/>
          <w:bCs/>
          <w:color w:val="1A1A1A"/>
          <w:sz w:val="20"/>
          <w:szCs w:val="20"/>
        </w:rPr>
        <w:t xml:space="preserve">bouclier</w:t>
      </w:r>
      <w:r>
        <w:rPr>
          <w:rFonts w:ascii="Calibri" w:cs="Calibri" w:eastAsia="Calibri" w:hAnsi="Calibri"/>
          <w:color w:val="1A1A1A"/>
          <w:sz w:val="20"/>
          <w:szCs w:val="20"/>
        </w:rPr>
        <w:t xml:space="preserve"> pour la loi (il justifie les atteintes à la propriété et à la liberté contractuelle) plutôt que comme une </w:t>
      </w:r>
      <w:r>
        <w:rPr>
          <w:rFonts w:ascii="Calibri" w:cs="Calibri" w:eastAsia="Calibri" w:hAnsi="Calibri"/>
          <w:b/>
          <w:bCs/>
          <w:color w:val="1A1A1A"/>
          <w:sz w:val="20"/>
          <w:szCs w:val="20"/>
        </w:rPr>
        <w:t xml:space="preserve">épée</w:t>
      </w:r>
      <w:r>
        <w:rPr>
          <w:rFonts w:ascii="Calibri" w:cs="Calibri" w:eastAsia="Calibri" w:hAnsi="Calibri"/>
          <w:color w:val="1A1A1A"/>
          <w:sz w:val="20"/>
          <w:szCs w:val="20"/>
        </w:rPr>
        <w:t xml:space="preserve"> pour le justiciable.</w:t>
      </w:r>
    </w:p>
    <w:p>
      <w:pPr>
        <w:pStyle w:val="Heading2"/>
        <w:spacing w:after="120" w:before="280"/>
      </w:pPr>
      <w:r>
        <w:rPr>
          <w:rFonts w:ascii="Calibri" w:cs="Calibri" w:eastAsia="Calibri" w:hAnsi="Calibri"/>
          <w:b/>
          <w:bCs/>
          <w:color w:val="1A1A1A"/>
          <w:sz w:val="24"/>
          <w:szCs w:val="24"/>
        </w:rPr>
        <w:t xml:space="preserve">2. La dimension horizontale : bailleurs et locataires</w:t>
      </w:r>
    </w:p>
    <w:p>
      <w:pPr>
        <w:pStyle w:val="ListParagraph"/>
        <w:numPr>
          <w:ilvl w:val="0"/>
          <w:numId w:val="2"/>
        </w:numPr>
        <w:spacing w:after="70" w:line="264"/>
        <w:jc w:val="both"/>
      </w:pPr>
      <w:r>
        <w:rPr>
          <w:rFonts w:ascii="Calibri" w:cs="Calibri" w:eastAsia="Calibri" w:hAnsi="Calibri"/>
          <w:b/>
          <w:bCs/>
          <w:color w:val="1A1A1A"/>
          <w:sz w:val="20"/>
          <w:szCs w:val="20"/>
        </w:rPr>
        <w:t xml:space="preserve">Non-discrimination</w:t>
      </w:r>
      <w:r>
        <w:rPr>
          <w:rFonts w:ascii="Calibri" w:cs="Calibri" w:eastAsia="Calibri" w:hAnsi="Calibri"/>
          <w:color w:val="1A1A1A"/>
          <w:sz w:val="20"/>
          <w:szCs w:val="20"/>
        </w:rPr>
        <w:t xml:space="preserve"> dans l’accès à la location (</w:t>
      </w:r>
      <w:r>
        <w:rPr>
          <w:rFonts w:ascii="Calibri" w:cs="Calibri" w:eastAsia="Calibri" w:hAnsi="Calibri"/>
          <w:color w:val="1E88E5"/>
          <w:sz w:val="20"/>
          <w:szCs w:val="20"/>
        </w:rPr>
        <w:t xml:space="preserve">art. 1er loi de 1989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17 janvier 2002</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décence</w:t>
      </w:r>
      <w:r>
        <w:rPr>
          <w:rFonts w:ascii="Calibri" w:cs="Calibri" w:eastAsia="Calibri" w:hAnsi="Calibri"/>
          <w:color w:val="1A1A1A"/>
          <w:sz w:val="20"/>
          <w:szCs w:val="20"/>
        </w:rPr>
        <w:t xml:space="preserve"> — logement sans risque pour la sécurité ou la santé, puis critère de performance énergétique minimal (</w:t>
      </w:r>
      <w:r>
        <w:rPr>
          <w:rFonts w:ascii="Calibri" w:cs="Calibri" w:eastAsia="Calibri" w:hAnsi="Calibri"/>
          <w:color w:val="1E88E5"/>
          <w:sz w:val="20"/>
          <w:szCs w:val="20"/>
        </w:rPr>
        <w:t xml:space="preserve">loi du 22 août 2021</w:t>
      </w:r>
      <w:r>
        <w:rPr>
          <w:rFonts w:ascii="Calibri" w:cs="Calibri" w:eastAsia="Calibri" w:hAnsi="Calibri"/>
          <w:color w:val="1A1A1A"/>
          <w:sz w:val="20"/>
          <w:szCs w:val="20"/>
        </w:rPr>
        <w:t xml:space="preserve">), dont le coût pour les propriétaires a été jugé proportionné (</w:t>
      </w:r>
      <w:r>
        <w:rPr>
          <w:rFonts w:ascii="Calibri" w:cs="Calibri" w:eastAsia="Calibri" w:hAnsi="Calibri"/>
          <w:color w:val="E91E63"/>
          <w:sz w:val="20"/>
          <w:szCs w:val="20"/>
        </w:rPr>
        <w:t xml:space="preserve">CE, 21 décembre 2023, n° 488900</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encadrement des loyers</w:t>
      </w:r>
      <w:r>
        <w:rPr>
          <w:rFonts w:ascii="Calibri" w:cs="Calibri" w:eastAsia="Calibri" w:hAnsi="Calibri"/>
          <w:color w:val="1A1A1A"/>
          <w:sz w:val="20"/>
          <w:szCs w:val="20"/>
        </w:rPr>
        <w:t xml:space="preserve"> en zone tendue ; </w:t>
      </w:r>
      <w:r>
        <w:rPr>
          <w:rFonts w:ascii="Calibri" w:cs="Calibri" w:eastAsia="Calibri" w:hAnsi="Calibri"/>
          <w:b/>
          <w:bCs/>
          <w:color w:val="1A1A1A"/>
          <w:sz w:val="20"/>
          <w:szCs w:val="20"/>
        </w:rPr>
        <w:t xml:space="preserve">trêve hivernale</w:t>
      </w:r>
      <w:r>
        <w:rPr>
          <w:rFonts w:ascii="Calibri" w:cs="Calibri" w:eastAsia="Calibri" w:hAnsi="Calibri"/>
          <w:color w:val="1A1A1A"/>
          <w:sz w:val="20"/>
          <w:szCs w:val="20"/>
        </w:rPr>
        <w:t xml:space="preserve"> du 1er novembre au 31 mars (</w:t>
      </w:r>
      <w:r>
        <w:rPr>
          <w:rFonts w:ascii="Calibri" w:cs="Calibri" w:eastAsia="Calibri" w:hAnsi="Calibri"/>
          <w:color w:val="1E88E5"/>
          <w:sz w:val="20"/>
          <w:szCs w:val="20"/>
        </w:rPr>
        <w:t xml:space="preserve">art. L. 412-6 CPCE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Loi « Kasbarian-Bergé » du 27 juillet 2023</w:t>
      </w:r>
      <w:r>
        <w:rPr>
          <w:rFonts w:ascii="Calibri" w:cs="Calibri" w:eastAsia="Calibri" w:hAnsi="Calibri"/>
          <w:color w:val="1A1A1A"/>
          <w:sz w:val="20"/>
          <w:szCs w:val="20"/>
        </w:rPr>
        <w:t xml:space="preserve"> : clause résolutoire obligatoire, délais réduits, répression accrue du squat et des locataires en impayés se maintenant dans les lieux ; censure de l’exonération de responsabilité du propriétaire pour défaut d’entretien du bien squatté (</w:t>
      </w:r>
      <w:r>
        <w:rPr>
          <w:rFonts w:ascii="Calibri" w:cs="Calibri" w:eastAsia="Calibri" w:hAnsi="Calibri"/>
          <w:color w:val="E91E63"/>
          <w:sz w:val="20"/>
          <w:szCs w:val="20"/>
        </w:rPr>
        <w:t xml:space="preserve">2023-853 DC, 26 juillet 2023</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Expulsions et proportionnalité à Strasbourg</w:t>
      </w:r>
      <w:r>
        <w:rPr>
          <w:rFonts w:ascii="Calibri" w:cs="Calibri" w:eastAsia="Calibri" w:hAnsi="Calibri"/>
          <w:color w:val="1A1A1A"/>
          <w:sz w:val="20"/>
          <w:szCs w:val="20"/>
        </w:rPr>
        <w:t xml:space="preserve"> : l’expulsion d’un occupant doit pouvoir faire l’objet d’un examen de proportionnalité par un tribunal indépendant (</w:t>
      </w:r>
      <w:r>
        <w:rPr>
          <w:rFonts w:ascii="Calibri" w:cs="Calibri" w:eastAsia="Calibri" w:hAnsi="Calibri"/>
          <w:color w:val="E91E63"/>
          <w:sz w:val="20"/>
          <w:szCs w:val="20"/>
        </w:rPr>
        <w:t xml:space="preserve">CEDH, 13 mai 2008, McCann c. Royaume-Uni</w:t>
      </w:r>
      <w:r>
        <w:rPr>
          <w:rFonts w:ascii="Calibri" w:cs="Calibri" w:eastAsia="Calibri" w:hAnsi="Calibri"/>
          <w:color w:val="1A1A1A"/>
          <w:sz w:val="20"/>
          <w:szCs w:val="20"/>
        </w:rPr>
        <w:t xml:space="preserve">) ; expulsion d’un campement rom sans considération du relogement (</w:t>
      </w:r>
      <w:r>
        <w:rPr>
          <w:rFonts w:ascii="Calibri" w:cs="Calibri" w:eastAsia="Calibri" w:hAnsi="Calibri"/>
          <w:color w:val="E91E63"/>
          <w:sz w:val="20"/>
          <w:szCs w:val="20"/>
        </w:rPr>
        <w:t xml:space="preserve">CEDH, 24 avril 2012, Yordanova c. Bulgarie</w:t>
      </w:r>
      <w:r>
        <w:rPr>
          <w:rFonts w:ascii="Calibri" w:cs="Calibri" w:eastAsia="Calibri" w:hAnsi="Calibri"/>
          <w:color w:val="1A1A1A"/>
          <w:sz w:val="20"/>
          <w:szCs w:val="20"/>
        </w:rPr>
        <w:t xml:space="preserve">) ; expulsion de gens du voyage installés de longue date (</w:t>
      </w:r>
      <w:r>
        <w:rPr>
          <w:rFonts w:ascii="Calibri" w:cs="Calibri" w:eastAsia="Calibri" w:hAnsi="Calibri"/>
          <w:color w:val="E91E63"/>
          <w:sz w:val="20"/>
          <w:szCs w:val="20"/>
        </w:rPr>
        <w:t xml:space="preserve">CEDH, 17 octobre 2013, Winterstein c. France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Caravanes</w:t>
      </w:r>
      <w:r>
        <w:rPr>
          <w:rFonts w:ascii="Calibri" w:cs="Calibri" w:eastAsia="Calibri" w:hAnsi="Calibri"/>
          <w:color w:val="1A1A1A"/>
          <w:sz w:val="20"/>
          <w:szCs w:val="20"/>
        </w:rPr>
        <w:t xml:space="preserve"> : non reconnues comme domicile en droit français (</w:t>
      </w:r>
      <w:r>
        <w:rPr>
          <w:rFonts w:ascii="Calibri" w:cs="Calibri" w:eastAsia="Calibri" w:hAnsi="Calibri"/>
          <w:color w:val="E91E63"/>
          <w:sz w:val="20"/>
          <w:szCs w:val="20"/>
        </w:rPr>
        <w:t xml:space="preserve">CEDS, 19 octobre 2009, Centre européen des droits des Roms c. France</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La dimension verticale : politiques publiques et opposabilité</w:t>
      </w:r>
    </w:p>
    <w:p>
      <w:pPr>
        <w:pStyle w:val="Heading3"/>
        <w:spacing w:after="90" w:before="200"/>
      </w:pPr>
      <w:r>
        <w:rPr>
          <w:rFonts w:ascii="Calibri" w:cs="Calibri" w:eastAsia="Calibri" w:hAnsi="Calibri"/>
          <w:b/>
          <w:bCs/>
          <w:i/>
          <w:iCs/>
          <w:color w:val="5A5A5A"/>
          <w:sz w:val="21"/>
          <w:szCs w:val="21"/>
        </w:rPr>
        <w:t xml:space="preserve">3.1. Le droit au logement opposable</w:t>
      </w:r>
    </w:p>
    <w:p>
      <w:pPr>
        <w:pStyle w:val="ListParagraph"/>
        <w:numPr>
          <w:ilvl w:val="0"/>
          <w:numId w:val="2"/>
        </w:numPr>
        <w:spacing w:after="70" w:line="264"/>
        <w:jc w:val="both"/>
      </w:pPr>
      <w:r>
        <w:rPr>
          <w:rFonts w:ascii="Calibri" w:cs="Calibri" w:eastAsia="Calibri" w:hAnsi="Calibri"/>
          <w:b/>
          <w:bCs/>
          <w:color w:val="1A1A1A"/>
          <w:sz w:val="20"/>
          <w:szCs w:val="20"/>
        </w:rPr>
        <w:t xml:space="preserve">Mécanisme</w:t>
      </w:r>
      <w:r>
        <w:rPr>
          <w:rFonts w:ascii="Calibri" w:cs="Calibri" w:eastAsia="Calibri" w:hAnsi="Calibri"/>
          <w:color w:val="1A1A1A"/>
          <w:sz w:val="20"/>
          <w:szCs w:val="20"/>
        </w:rPr>
        <w:t xml:space="preserve"> : droit garanti par l’État à toute personne résidant régulièrement et de façon permanente qui ne peut accéder par ses propres moyens à un logement décent ; commission de médiation départementale (sept critères de priorité : sans domicile, menace d’expulsion sans relogement, hébergement prolongé, logement insalubre ou indécent, suroccupation avec enfant ou handicap, délai anormalement long, logement inadapté au handicap) ; désignation au préfet ; recours contentieux devant le tribunal administratif (depuis décembre 2008 pour les publics prioritaires, depuis 2012 pour tous).</w:t>
      </w:r>
    </w:p>
    <w:p>
      <w:pPr>
        <w:pStyle w:val="ListParagraph"/>
        <w:numPr>
          <w:ilvl w:val="0"/>
          <w:numId w:val="2"/>
        </w:numPr>
        <w:spacing w:after="70" w:line="264"/>
        <w:jc w:val="both"/>
      </w:pPr>
      <w:r>
        <w:rPr>
          <w:rFonts w:ascii="Calibri" w:cs="Calibri" w:eastAsia="Calibri" w:hAnsi="Calibri"/>
          <w:b/>
          <w:bCs/>
          <w:color w:val="1A1A1A"/>
          <w:sz w:val="20"/>
          <w:szCs w:val="20"/>
        </w:rPr>
        <w:t xml:space="preserve">Sanctions de la carence</w:t>
      </w:r>
      <w:r>
        <w:rPr>
          <w:rFonts w:ascii="Calibri" w:cs="Calibri" w:eastAsia="Calibri" w:hAnsi="Calibri"/>
          <w:color w:val="1A1A1A"/>
          <w:sz w:val="20"/>
          <w:szCs w:val="20"/>
        </w:rPr>
        <w:t xml:space="preserve"> : injonction sous astreinte versée à un fonds ; responsabilité de l’État pour troubles dans les conditions d’existence (</w:t>
      </w:r>
      <w:r>
        <w:rPr>
          <w:rFonts w:ascii="Calibri" w:cs="Calibri" w:eastAsia="Calibri" w:hAnsi="Calibri"/>
          <w:color w:val="E91E63"/>
          <w:sz w:val="20"/>
          <w:szCs w:val="20"/>
        </w:rPr>
        <w:t xml:space="preserve">CAA Paris, 20 septembre 2012, Bel Hyad</w:t>
      </w:r>
      <w:r>
        <w:rPr>
          <w:rFonts w:ascii="Calibri" w:cs="Calibri" w:eastAsia="Calibri" w:hAnsi="Calibri"/>
          <w:color w:val="1A1A1A"/>
          <w:sz w:val="20"/>
          <w:szCs w:val="20"/>
        </w:rPr>
        <w:t xml:space="preserve">) ; maintien de la responsabilité malgré la perte ultérieure du droit au séjour d’un membre du foyer, qui n’est plus pris en compte pour l’indemnisation (</w:t>
      </w:r>
      <w:r>
        <w:rPr>
          <w:rFonts w:ascii="Calibri" w:cs="Calibri" w:eastAsia="Calibri" w:hAnsi="Calibri"/>
          <w:color w:val="E91E63"/>
          <w:sz w:val="20"/>
          <w:szCs w:val="20"/>
        </w:rPr>
        <w:t xml:space="preserve">CE, 6 novembre 2025, n° 491346</w:t>
      </w:r>
      <w:r>
        <w:rPr>
          <w:rFonts w:ascii="Calibri" w:cs="Calibri" w:eastAsia="Calibri" w:hAnsi="Calibri"/>
          <w:color w:val="1A1A1A"/>
          <w:sz w:val="20"/>
          <w:szCs w:val="20"/>
        </w:rPr>
        <w:t xml:space="preserve">) ; inexécution : violation de l’</w:t>
      </w:r>
      <w:r>
        <w:rPr>
          <w:rFonts w:ascii="Calibri" w:cs="Calibri" w:eastAsia="Calibri" w:hAnsi="Calibri"/>
          <w:color w:val="1E88E5"/>
          <w:sz w:val="20"/>
          <w:szCs w:val="20"/>
        </w:rPr>
        <w:t xml:space="preserve">art. 6 § 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Tchokontio Happi</w:t>
      </w:r>
      <w:r>
        <w:rPr>
          <w:rFonts w:ascii="Calibri" w:cs="Calibri" w:eastAsia="Calibri" w:hAnsi="Calibri"/>
          <w:color w:val="1A1A1A"/>
          <w:sz w:val="20"/>
          <w:szCs w:val="20"/>
        </w:rPr>
        <w:t xml:space="preserve">, 2015).</w:t>
      </w:r>
    </w:p>
    <w:p>
      <w:pPr>
        <w:pStyle w:val="ListParagraph"/>
        <w:numPr>
          <w:ilvl w:val="0"/>
          <w:numId w:val="2"/>
        </w:numPr>
        <w:spacing w:after="70" w:line="264"/>
        <w:jc w:val="both"/>
      </w:pPr>
      <w:r>
        <w:rPr>
          <w:rFonts w:ascii="Calibri" w:cs="Calibri" w:eastAsia="Calibri" w:hAnsi="Calibri"/>
          <w:b/>
          <w:bCs/>
          <w:color w:val="1A1A1A"/>
          <w:sz w:val="20"/>
          <w:szCs w:val="20"/>
        </w:rPr>
        <w:t xml:space="preserve">Limites</w:t>
      </w:r>
      <w:r>
        <w:rPr>
          <w:rFonts w:ascii="Calibri" w:cs="Calibri" w:eastAsia="Calibri" w:hAnsi="Calibri"/>
          <w:color w:val="1A1A1A"/>
          <w:sz w:val="20"/>
          <w:szCs w:val="20"/>
        </w:rPr>
        <w:t xml:space="preserve"> : objectif de valeur constitutionnelle non invocable en référé-liberté et ne fondant pas une obligation de réquisition (</w:t>
      </w:r>
      <w:r>
        <w:rPr>
          <w:rFonts w:ascii="Calibri" w:cs="Calibri" w:eastAsia="Calibri" w:hAnsi="Calibri"/>
          <w:color w:val="E91E63"/>
          <w:sz w:val="20"/>
          <w:szCs w:val="20"/>
        </w:rPr>
        <w:t xml:space="preserve">CE, ord., 3 mai 2002, Association de réinsertion sociale du Limousin</w:t>
      </w:r>
      <w:r>
        <w:rPr>
          <w:rFonts w:ascii="Calibri" w:cs="Calibri" w:eastAsia="Calibri" w:hAnsi="Calibri"/>
          <w:color w:val="1A1A1A"/>
          <w:sz w:val="20"/>
          <w:szCs w:val="20"/>
        </w:rPr>
        <w:t xml:space="preserve">) ; le droit au logement n’est pas une liberté fondamentale au sens de l’</w:t>
      </w:r>
      <w:r>
        <w:rPr>
          <w:rFonts w:ascii="Calibri" w:cs="Calibri" w:eastAsia="Calibri" w:hAnsi="Calibri"/>
          <w:color w:val="1E88E5"/>
          <w:sz w:val="20"/>
          <w:szCs w:val="20"/>
        </w:rPr>
        <w:t xml:space="preserve">art. L. 521-2 CJA</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3.2. L’hébergement d’urgence</w:t>
      </w:r>
    </w:p>
    <w:p>
      <w:pPr>
        <w:pStyle w:val="ListParagraph"/>
        <w:numPr>
          <w:ilvl w:val="0"/>
          <w:numId w:val="2"/>
        </w:numPr>
        <w:spacing w:after="70" w:line="264"/>
        <w:jc w:val="both"/>
      </w:pPr>
      <w:r>
        <w:rPr>
          <w:rFonts w:ascii="Calibri" w:cs="Calibri" w:eastAsia="Calibri" w:hAnsi="Calibri"/>
          <w:b/>
          <w:bCs/>
          <w:color w:val="1A1A1A"/>
          <w:sz w:val="20"/>
          <w:szCs w:val="20"/>
        </w:rPr>
        <w:t xml:space="preserve">Principe d’accueil inconditionnel</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345-2-2 CASF</w:t>
      </w:r>
      <w:r>
        <w:rPr>
          <w:rFonts w:ascii="Calibri" w:cs="Calibri" w:eastAsia="Calibri" w:hAnsi="Calibri"/>
          <w:color w:val="1A1A1A"/>
          <w:sz w:val="20"/>
          <w:szCs w:val="20"/>
        </w:rPr>
        <w:t xml:space="preserve">) de toute personne sans abri en situation de détresse médicale, psychique et sociale, quelle que soit sa situation administrative ; carence caractérisée = atteinte à une liberté fondamentale (</w:t>
      </w:r>
      <w:r>
        <w:rPr>
          <w:rFonts w:ascii="Calibri" w:cs="Calibri" w:eastAsia="Calibri" w:hAnsi="Calibri"/>
          <w:color w:val="E91E63"/>
          <w:sz w:val="20"/>
          <w:szCs w:val="20"/>
        </w:rPr>
        <w:t xml:space="preserve">Fofana</w:t>
      </w:r>
      <w:r>
        <w:rPr>
          <w:rFonts w:ascii="Calibri" w:cs="Calibri" w:eastAsia="Calibri" w:hAnsi="Calibri"/>
          <w:color w:val="1A1A1A"/>
          <w:sz w:val="20"/>
          <w:szCs w:val="20"/>
        </w:rPr>
        <w:t xml:space="preserve">, 2012), appréciée au regard des moyens de l’administration, de l’âge, de l’état de santé et de la situation de famille ; conditions de vie indignes dans la « jungle » de Calais : injonction de créer des points d’eau et des sanitaires (</w:t>
      </w:r>
      <w:r>
        <w:rPr>
          <w:rFonts w:ascii="Calibri" w:cs="Calibri" w:eastAsia="Calibri" w:hAnsi="Calibri"/>
          <w:color w:val="E91E63"/>
          <w:sz w:val="20"/>
          <w:szCs w:val="20"/>
        </w:rPr>
        <w:t xml:space="preserve">CE, 31 juillet 2017, n° 412125</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Enfants</w:t>
      </w:r>
      <w:r>
        <w:rPr>
          <w:rFonts w:ascii="Calibri" w:cs="Calibri" w:eastAsia="Calibri" w:hAnsi="Calibri"/>
          <w:color w:val="1A1A1A"/>
          <w:sz w:val="20"/>
          <w:szCs w:val="20"/>
        </w:rPr>
        <w:t xml:space="preserve"> : obligation d’abri même pour les mineurs en situation irrégulière (</w:t>
      </w:r>
      <w:r>
        <w:rPr>
          <w:rFonts w:ascii="Calibri" w:cs="Calibri" w:eastAsia="Calibri" w:hAnsi="Calibri"/>
          <w:color w:val="E91E63"/>
          <w:sz w:val="20"/>
          <w:szCs w:val="20"/>
        </w:rPr>
        <w:t xml:space="preserve">CEDS, 20 octobre 2009, Defence for Children International c. Pays-Bas</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Objectifs de valeur constitutionnelle : droits sans titulaire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Louis Favoreu</w:t>
      </w:r>
      <w:r>
        <w:rPr>
          <w:rFonts w:ascii="Calibri" w:cs="Calibri" w:eastAsia="Calibri" w:hAnsi="Calibri"/>
          <w:color w:val="1A1A1A"/>
          <w:sz w:val="20"/>
          <w:szCs w:val="20"/>
        </w:rPr>
        <w:t xml:space="preserve"> y voit des « droits fondamentaux de second rang », d’autres de simples instruments de « sauvetage » des lois ; le logement illustre la difficulté de transformer un objectif en droit subjectif.</w:t>
      </w:r>
    </w:p>
    <w:p>
      <w:pPr>
        <w:pStyle w:val="ListParagraph"/>
        <w:numPr>
          <w:ilvl w:val="0"/>
          <w:numId w:val="2"/>
        </w:numPr>
        <w:spacing w:after="70" w:line="264"/>
        <w:jc w:val="both"/>
      </w:pPr>
      <w:r>
        <w:rPr>
          <w:rFonts w:ascii="Calibri" w:cs="Calibri" w:eastAsia="Calibri" w:hAnsi="Calibri"/>
          <w:b/>
          <w:bCs/>
          <w:color w:val="1A1A1A"/>
          <w:sz w:val="20"/>
          <w:szCs w:val="20"/>
        </w:rPr>
        <w:t xml:space="preserve">L’opposabilité sans logements</w:t>
      </w:r>
      <w:r>
        <w:rPr>
          <w:rFonts w:ascii="Calibri" w:cs="Calibri" w:eastAsia="Calibri" w:hAnsi="Calibri"/>
          <w:color w:val="1A1A1A"/>
          <w:sz w:val="20"/>
          <w:szCs w:val="20"/>
        </w:rPr>
        <w:t xml:space="preserve"> — la loi DALO a déplacé la question de la proclamation vers celle de l’offre : un droit opposable à un État qui ne dispose pas des logements se mue en </w:t>
      </w:r>
      <w:r>
        <w:rPr>
          <w:rFonts w:ascii="Calibri" w:cs="Calibri" w:eastAsia="Calibri" w:hAnsi="Calibri"/>
          <w:b/>
          <w:bCs/>
          <w:color w:val="1A1A1A"/>
          <w:sz w:val="20"/>
          <w:szCs w:val="20"/>
        </w:rPr>
        <w:t xml:space="preserve">droit à indemnisation</w:t>
      </w:r>
      <w:r>
        <w:rPr>
          <w:rFonts w:ascii="Calibri" w:cs="Calibri" w:eastAsia="Calibri" w:hAnsi="Calibri"/>
          <w:color w:val="1A1A1A"/>
          <w:sz w:val="20"/>
          <w:szCs w:val="20"/>
        </w:rPr>
        <w:t xml:space="preserve">, ce que les associations qualifient de « droit au guichet ».</w:t>
      </w:r>
    </w:p>
    <w:p>
      <w:pPr>
        <w:pStyle w:val="ListParagraph"/>
        <w:numPr>
          <w:ilvl w:val="0"/>
          <w:numId w:val="2"/>
        </w:numPr>
        <w:spacing w:after="70" w:line="264"/>
        <w:jc w:val="both"/>
      </w:pPr>
      <w:r>
        <w:rPr>
          <w:rFonts w:ascii="Calibri" w:cs="Calibri" w:eastAsia="Calibri" w:hAnsi="Calibri"/>
          <w:b/>
          <w:bCs/>
          <w:color w:val="1A1A1A"/>
          <w:sz w:val="20"/>
          <w:szCs w:val="20"/>
        </w:rPr>
        <w:t xml:space="preserve">Propriété contre logement</w:t>
      </w:r>
      <w:r>
        <w:rPr>
          <w:rFonts w:ascii="Calibri" w:cs="Calibri" w:eastAsia="Calibri" w:hAnsi="Calibri"/>
          <w:color w:val="1A1A1A"/>
          <w:sz w:val="20"/>
          <w:szCs w:val="20"/>
        </w:rPr>
        <w:t xml:space="preserve"> — de la réquisition (ordonnance de 1945) à la loi de 2023 contre les squats, le législateur oscille ; le Conseil constitutionnel arbitre au cas par cas entre l’</w:t>
      </w:r>
      <w:r>
        <w:rPr>
          <w:rFonts w:ascii="Calibri" w:cs="Calibri" w:eastAsia="Calibri" w:hAnsi="Calibri"/>
          <w:color w:val="1E88E5"/>
          <w:sz w:val="20"/>
          <w:szCs w:val="20"/>
        </w:rPr>
        <w:t xml:space="preserve">art. 17 DDHC</w:t>
      </w:r>
      <w:r>
        <w:rPr>
          <w:rFonts w:ascii="Calibri" w:cs="Calibri" w:eastAsia="Calibri" w:hAnsi="Calibri"/>
          <w:color w:val="1A1A1A"/>
          <w:sz w:val="20"/>
          <w:szCs w:val="20"/>
        </w:rPr>
        <w:t xml:space="preserve"> et l’objectif de logement décent.</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Un sans-abri peut-il saisir le juge des référés pour obtenir un hébergement ? »</w:t>
      </w:r>
      <w:r>
        <w:rPr>
          <w:rFonts w:ascii="Calibri" w:cs="Calibri" w:eastAsia="Calibri" w:hAnsi="Calibri"/>
          <w:color w:val="1A1A1A"/>
          <w:sz w:val="20"/>
          <w:szCs w:val="20"/>
        </w:rPr>
        <w:t xml:space="preserve"> — Oui, sur le fondement du droit à l’hébergement d’urgence, s’il établit une carence caractérisée de l’État eu égard à sa situation (</w:t>
      </w:r>
      <w:r>
        <w:rPr>
          <w:rFonts w:ascii="Calibri" w:cs="Calibri" w:eastAsia="Calibri" w:hAnsi="Calibri"/>
          <w:color w:val="E91E63"/>
          <w:sz w:val="20"/>
          <w:szCs w:val="20"/>
        </w:rPr>
        <w:t xml:space="preserve">Fofana</w:t>
      </w:r>
      <w:r>
        <w:rPr>
          <w:rFonts w:ascii="Calibri" w:cs="Calibri" w:eastAsia="Calibri" w:hAnsi="Calibri"/>
          <w:color w:val="1A1A1A"/>
          <w:sz w:val="20"/>
          <w:szCs w:val="20"/>
        </w:rPr>
        <w:t xml:space="preserve">) ; non sur le seul fondement du droit au logement.</w:t>
      </w:r>
    </w:p>
    <w:p>
      <w:pPr>
        <w:pStyle w:val="ListParagraph"/>
        <w:numPr>
          <w:ilvl w:val="0"/>
          <w:numId w:val="2"/>
        </w:numPr>
        <w:spacing w:after="70" w:line="264"/>
        <w:jc w:val="both"/>
      </w:pPr>
      <w:r>
        <w:rPr>
          <w:rFonts w:ascii="Calibri" w:cs="Calibri" w:eastAsia="Calibri" w:hAnsi="Calibri"/>
          <w:b/>
          <w:bCs/>
          <w:color w:val="1A1A1A"/>
          <w:sz w:val="20"/>
          <w:szCs w:val="20"/>
        </w:rPr>
        <w:t xml:space="preserve">« La trêve hivernale protège-t-elle les squatteurs ? »</w:t>
      </w:r>
      <w:r>
        <w:rPr>
          <w:rFonts w:ascii="Calibri" w:cs="Calibri" w:eastAsia="Calibri" w:hAnsi="Calibri"/>
          <w:color w:val="1A1A1A"/>
          <w:sz w:val="20"/>
          <w:szCs w:val="20"/>
        </w:rPr>
        <w:t xml:space="preserve"> — Non depuis la loi de 2023 pour les occupants entrés par voie de fait dans un domicile, et le juge peut la supprimer ; elle protège les locataires et occupants de bonne foi.</w:t>
      </w:r>
    </w:p>
    <w:p>
      <w:pPr>
        <w:pStyle w:val="ListParagraph"/>
        <w:numPr>
          <w:ilvl w:val="0"/>
          <w:numId w:val="2"/>
        </w:numPr>
        <w:spacing w:after="70" w:line="264"/>
        <w:jc w:val="both"/>
      </w:pPr>
      <w:r>
        <w:rPr>
          <w:rFonts w:ascii="Calibri" w:cs="Calibri" w:eastAsia="Calibri" w:hAnsi="Calibri"/>
          <w:b/>
          <w:bCs/>
          <w:color w:val="1A1A1A"/>
          <w:sz w:val="20"/>
          <w:szCs w:val="20"/>
        </w:rPr>
        <w:t xml:space="preserve">« La Convention européenne garantit-elle un droit au logement ? »</w:t>
      </w:r>
      <w:r>
        <w:rPr>
          <w:rFonts w:ascii="Calibri" w:cs="Calibri" w:eastAsia="Calibri" w:hAnsi="Calibri"/>
          <w:color w:val="1A1A1A"/>
          <w:sz w:val="20"/>
          <w:szCs w:val="20"/>
        </w:rPr>
        <w:t xml:space="preserve"> — Non (</w:t>
      </w:r>
      <w:r>
        <w:rPr>
          <w:rFonts w:ascii="Calibri" w:cs="Calibri" w:eastAsia="Calibri" w:hAnsi="Calibri"/>
          <w:color w:val="E91E63"/>
          <w:sz w:val="20"/>
          <w:szCs w:val="20"/>
        </w:rPr>
        <w:t xml:space="preserve">Chapman</w:t>
      </w:r>
      <w:r>
        <w:rPr>
          <w:rFonts w:ascii="Calibri" w:cs="Calibri" w:eastAsia="Calibri" w:hAnsi="Calibri"/>
          <w:color w:val="1A1A1A"/>
          <w:sz w:val="20"/>
          <w:szCs w:val="20"/>
        </w:rPr>
        <w:t xml:space="preserve">, 2001) : elle protège le domicile existant et impose un examen de proportionnalité des expulsions (</w:t>
      </w:r>
      <w:r>
        <w:rPr>
          <w:rFonts w:ascii="Calibri" w:cs="Calibri" w:eastAsia="Calibri" w:hAnsi="Calibri"/>
          <w:color w:val="E91E63"/>
          <w:sz w:val="20"/>
          <w:szCs w:val="20"/>
        </w:rPr>
        <w:t xml:space="preserve">McCann</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Winterstein</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au logement est-il un droit fondamental ? (sujet « Pour s’entraîner » du fascicule) — Logement et propriété — Le droit au logement opposable — L’hébergement d’urgence — Les objectifs de valeur constitutionnelle — Commentaire : </w:t>
      </w:r>
      <w:r>
        <w:rPr>
          <w:rFonts w:ascii="Calibri" w:cs="Calibri" w:eastAsia="Calibri" w:hAnsi="Calibri"/>
          <w:color w:val="E91E63"/>
          <w:sz w:val="20"/>
          <w:szCs w:val="20"/>
        </w:rPr>
        <w:t xml:space="preserve">94-359 DC</w:t>
      </w:r>
      <w:r>
        <w:rPr>
          <w:rFonts w:ascii="Calibri" w:cs="Calibri" w:eastAsia="Calibri" w:hAnsi="Calibri"/>
          <w:color w:val="1A1A1A"/>
          <w:sz w:val="20"/>
          <w:szCs w:val="20"/>
        </w:rPr>
        <w:t xml:space="preserve"> — Commentaire : </w:t>
      </w:r>
      <w:r>
        <w:rPr>
          <w:rFonts w:ascii="Calibri" w:cs="Calibri" w:eastAsia="Calibri" w:hAnsi="Calibri"/>
          <w:color w:val="E91E63"/>
          <w:sz w:val="20"/>
          <w:szCs w:val="20"/>
        </w:rPr>
        <w:t xml:space="preserve">CE, ord., 10 février 2012, Fofana</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Quelle loi impose 20 à 25 % de logements sociaux aux communes ?</w:t>
      </w:r>
      <w:r>
        <w:rPr>
          <w:rFonts w:ascii="Calibri" w:cs="Calibri" w:eastAsia="Calibri" w:hAnsi="Calibri"/>
          <w:color w:val="1A1A1A"/>
          <w:sz w:val="20"/>
          <w:szCs w:val="20"/>
        </w:rPr>
        <w:t xml:space="preserve"> — La </w:t>
      </w:r>
      <w:r>
        <w:rPr>
          <w:rFonts w:ascii="Calibri" w:cs="Calibri" w:eastAsia="Calibri" w:hAnsi="Calibri"/>
          <w:color w:val="1E88E5"/>
          <w:sz w:val="20"/>
          <w:szCs w:val="20"/>
        </w:rPr>
        <w:t xml:space="preserve">loi SRU du 13 décembre 2000</w:t>
      </w:r>
      <w:r>
        <w:rPr>
          <w:rFonts w:ascii="Calibri" w:cs="Calibri" w:eastAsia="Calibri" w:hAnsi="Calibri"/>
          <w:color w:val="1A1A1A"/>
          <w:sz w:val="20"/>
          <w:szCs w:val="20"/>
        </w:rPr>
        <w:t xml:space="preserve"> (art. 55), relevée à 25 % par la loi du 18 janvier 2013.</w:t>
      </w:r>
    </w:p>
    <w:p>
      <w:pPr>
        <w:pStyle w:val="ListParagraph"/>
        <w:numPr>
          <w:ilvl w:val="0"/>
          <w:numId w:val="2"/>
        </w:numPr>
        <w:spacing w:after="70" w:line="264"/>
        <w:jc w:val="both"/>
      </w:pPr>
      <w:r>
        <w:rPr>
          <w:rFonts w:ascii="Calibri" w:cs="Calibri" w:eastAsia="Calibri" w:hAnsi="Calibri"/>
          <w:b/>
          <w:bCs/>
          <w:color w:val="1A1A1A"/>
          <w:sz w:val="20"/>
          <w:szCs w:val="20"/>
        </w:rPr>
        <w:t xml:space="preserve">Q. Quand commence et finit la trêve hivernale ?</w:t>
      </w:r>
      <w:r>
        <w:rPr>
          <w:rFonts w:ascii="Calibri" w:cs="Calibri" w:eastAsia="Calibri" w:hAnsi="Calibri"/>
          <w:color w:val="1A1A1A"/>
          <w:sz w:val="20"/>
          <w:szCs w:val="20"/>
        </w:rPr>
        <w:t xml:space="preserve"> — Du </w:t>
      </w:r>
      <w:r>
        <w:rPr>
          <w:rFonts w:ascii="Calibri" w:cs="Calibri" w:eastAsia="Calibri" w:hAnsi="Calibri"/>
          <w:b/>
          <w:bCs/>
          <w:color w:val="1A1A1A"/>
          <w:sz w:val="20"/>
          <w:szCs w:val="20"/>
        </w:rPr>
        <w:t xml:space="preserve">1er novembre au 31 mars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le fonds de solidarité pour le logement ?</w:t>
      </w:r>
      <w:r>
        <w:rPr>
          <w:rFonts w:ascii="Calibri" w:cs="Calibri" w:eastAsia="Calibri" w:hAnsi="Calibri"/>
          <w:color w:val="1A1A1A"/>
          <w:sz w:val="20"/>
          <w:szCs w:val="20"/>
        </w:rPr>
        <w:t xml:space="preserve"> — Un dispositif départemental d’aides financières à l’accès et au maintien dans le logement créé par la loi Besson de 1990.</w:t>
      </w:r>
    </w:p>
    <w:p>
      <w:pPr>
        <w:pStyle w:val="ListParagraph"/>
        <w:numPr>
          <w:ilvl w:val="0"/>
          <w:numId w:val="2"/>
        </w:numPr>
        <w:spacing w:after="70" w:line="264"/>
        <w:jc w:val="both"/>
      </w:pPr>
      <w:r>
        <w:rPr>
          <w:rFonts w:ascii="Calibri" w:cs="Calibri" w:eastAsia="Calibri" w:hAnsi="Calibri"/>
          <w:b/>
          <w:bCs/>
          <w:color w:val="1A1A1A"/>
          <w:sz w:val="20"/>
          <w:szCs w:val="20"/>
        </w:rPr>
        <w:t xml:space="preserve">Q. La France a-t-elle accepté l’article 31 de la Charte sociale révisée ?</w:t>
      </w:r>
      <w:r>
        <w:rPr>
          <w:rFonts w:ascii="Calibri" w:cs="Calibri" w:eastAsia="Calibri" w:hAnsi="Calibri"/>
          <w:color w:val="1A1A1A"/>
          <w:sz w:val="20"/>
          <w:szCs w:val="20"/>
        </w:rPr>
        <w:t xml:space="preserve"> — Oui ; elle a été condamnée sur ce fondement (</w:t>
      </w:r>
      <w:r>
        <w:rPr>
          <w:rFonts w:ascii="Calibri" w:cs="Calibri" w:eastAsia="Calibri" w:hAnsi="Calibri"/>
          <w:color w:val="E91E63"/>
          <w:sz w:val="20"/>
          <w:szCs w:val="20"/>
        </w:rPr>
        <w:t xml:space="preserve">FEANTSA c. France</w:t>
      </w:r>
      <w:r>
        <w:rPr>
          <w:rFonts w:ascii="Calibri" w:cs="Calibri" w:eastAsia="Calibri" w:hAnsi="Calibri"/>
          <w:color w:val="1A1A1A"/>
          <w:sz w:val="20"/>
          <w:szCs w:val="20"/>
        </w:rPr>
        <w:t xml:space="preserve">, 2007).</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qu’un logement « décent » ?</w:t>
      </w:r>
      <w:r>
        <w:rPr>
          <w:rFonts w:ascii="Calibri" w:cs="Calibri" w:eastAsia="Calibri" w:hAnsi="Calibri"/>
          <w:color w:val="1A1A1A"/>
          <w:sz w:val="20"/>
          <w:szCs w:val="20"/>
        </w:rPr>
        <w:t xml:space="preserve"> — Un logement ne laissant pas apparaître de risques manifestes pour la sécurité ou la santé, doté des équipements le rendant conforme à l’habitation et répondant à un critère de performance énergétique minimale (</w:t>
      </w:r>
      <w:r>
        <w:rPr>
          <w:rFonts w:ascii="Calibri" w:cs="Calibri" w:eastAsia="Calibri" w:hAnsi="Calibri"/>
          <w:color w:val="1E88E5"/>
          <w:sz w:val="20"/>
          <w:szCs w:val="20"/>
        </w:rPr>
        <w:t xml:space="preserve">art. 6 loi de 1989</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52 — LE DROIT À LA CULTURE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Le 28 novembre 2017 à Ouagadougou, le président de la République annonce vouloir réunir les conditions de restitutions du patrimoine africain ; en 2020, une loi d’espèce rend au Bénin vingt-six objets du trésor de Béhanzin et au Sénégal le sabre attribué à El Hadj Omar. La </w:t>
      </w:r>
      <w:r>
        <w:rPr>
          <w:rFonts w:ascii="Calibri" w:cs="Calibri" w:eastAsia="Calibri" w:hAnsi="Calibri"/>
          <w:color w:val="1E88E5"/>
          <w:sz w:val="20"/>
          <w:szCs w:val="20"/>
        </w:rPr>
        <w:t xml:space="preserve">loi du 9 mai 2026</w:t>
      </w:r>
      <w:r>
        <w:rPr>
          <w:rFonts w:ascii="Calibri" w:cs="Calibri" w:eastAsia="Calibri" w:hAnsi="Calibri"/>
          <w:color w:val="1A1A1A"/>
          <w:sz w:val="20"/>
          <w:szCs w:val="20"/>
        </w:rPr>
        <w:t xml:space="preserve"> crée enfin un cadre général fondé sur la « réappropriation par son peuple d’éléments fondamentaux de son patrimoine » : </w:t>
      </w:r>
      <w:r>
        <w:rPr>
          <w:rFonts w:ascii="Calibri" w:cs="Calibri" w:eastAsia="Calibri" w:hAnsi="Calibri"/>
          <w:b/>
          <w:bCs/>
          <w:color w:val="1A1A1A"/>
          <w:sz w:val="20"/>
          <w:szCs w:val="20"/>
        </w:rPr>
        <w:t xml:space="preserve">le droit à la culture passe d’une logique de conservation à une logique d’identité</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en 1959, le décret fondateur du ministère d’</w:t>
      </w:r>
      <w:r>
        <w:rPr>
          <w:rFonts w:ascii="Calibri" w:cs="Calibri" w:eastAsia="Calibri" w:hAnsi="Calibri"/>
          <w:color w:val="2E7D32"/>
          <w:sz w:val="20"/>
          <w:szCs w:val="20"/>
        </w:rPr>
        <w:t xml:space="preserve">André Malraux</w:t>
      </w:r>
      <w:r>
        <w:rPr>
          <w:rFonts w:ascii="Calibri" w:cs="Calibri" w:eastAsia="Calibri" w:hAnsi="Calibri"/>
          <w:color w:val="1A1A1A"/>
          <w:sz w:val="20"/>
          <w:szCs w:val="20"/>
        </w:rPr>
        <w:t xml:space="preserve"> lui assigne de « rendre accessibles les œuvres capitales de l’humanité, et d’abord de la France, au plus grand nombre » — formule reprise mot pour mot en 2017. Le droit à la culture est né comme </w:t>
      </w:r>
      <w:r>
        <w:rPr>
          <w:rFonts w:ascii="Calibri" w:cs="Calibri" w:eastAsia="Calibri" w:hAnsi="Calibri"/>
          <w:b/>
          <w:bCs/>
          <w:color w:val="1A1A1A"/>
          <w:sz w:val="20"/>
          <w:szCs w:val="20"/>
        </w:rPr>
        <w:t xml:space="preserve">politique publique</w:t>
      </w:r>
      <w:r>
        <w:rPr>
          <w:rFonts w:ascii="Calibri" w:cs="Calibri" w:eastAsia="Calibri" w:hAnsi="Calibri"/>
          <w:color w:val="1A1A1A"/>
          <w:sz w:val="20"/>
          <w:szCs w:val="20"/>
        </w:rPr>
        <w:t xml:space="preserve"> avant d’être revendiqué comme </w:t>
      </w:r>
      <w:r>
        <w:rPr>
          <w:rFonts w:ascii="Calibri" w:cs="Calibri" w:eastAsia="Calibri" w:hAnsi="Calibri"/>
          <w:b/>
          <w:bCs/>
          <w:color w:val="1A1A1A"/>
          <w:sz w:val="20"/>
          <w:szCs w:val="20"/>
        </w:rPr>
        <w:t xml:space="preserve">droit</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à la culture est le droit de toute personne d’accéder à la culture et de participer à la vie culturelle (</w:t>
      </w:r>
      <w:r>
        <w:rPr>
          <w:rFonts w:ascii="Calibri" w:cs="Calibri" w:eastAsia="Calibri" w:hAnsi="Calibri"/>
          <w:color w:val="1E88E5"/>
          <w:sz w:val="20"/>
          <w:szCs w:val="20"/>
        </w:rPr>
        <w:t xml:space="preserve">art. 27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15 PIDESC</w:t>
      </w:r>
      <w:r>
        <w:rPr>
          <w:rFonts w:ascii="Calibri" w:cs="Calibri" w:eastAsia="Calibri" w:hAnsi="Calibri"/>
          <w:color w:val="1A1A1A"/>
          <w:sz w:val="20"/>
          <w:szCs w:val="20"/>
        </w:rPr>
        <w:t xml:space="preserve">) ; il se distingue du </w:t>
      </w:r>
      <w:r>
        <w:rPr>
          <w:rFonts w:ascii="Calibri" w:cs="Calibri" w:eastAsia="Calibri" w:hAnsi="Calibri"/>
          <w:b/>
          <w:bCs/>
          <w:color w:val="1A1A1A"/>
          <w:sz w:val="20"/>
          <w:szCs w:val="20"/>
        </w:rPr>
        <w:t xml:space="preserve">droit de la culture</w:t>
      </w:r>
      <w:r>
        <w:rPr>
          <w:rFonts w:ascii="Calibri" w:cs="Calibri" w:eastAsia="Calibri" w:hAnsi="Calibri"/>
          <w:color w:val="1A1A1A"/>
          <w:sz w:val="20"/>
          <w:szCs w:val="20"/>
        </w:rPr>
        <w:t xml:space="preserve">, ensemble des règles organisant la création, la protection du patrimoine et les industries culturelles.</w:t>
      </w:r>
    </w:p>
    <w:p>
      <w:pPr>
        <w:pStyle w:val="ListParagraph"/>
        <w:numPr>
          <w:ilvl w:val="0"/>
          <w:numId w:val="2"/>
        </w:numPr>
        <w:spacing w:after="70" w:line="264"/>
        <w:jc w:val="both"/>
      </w:pPr>
      <w:r>
        <w:rPr>
          <w:rFonts w:ascii="Calibri" w:cs="Calibri" w:eastAsia="Calibri" w:hAnsi="Calibri"/>
          <w:color w:val="1A1A1A"/>
          <w:sz w:val="20"/>
          <w:szCs w:val="20"/>
        </w:rPr>
        <w:t xml:space="preserve">En droit interne, il repose sur l’</w:t>
      </w:r>
      <w:r>
        <w:rPr>
          <w:rFonts w:ascii="Calibri" w:cs="Calibri" w:eastAsia="Calibri" w:hAnsi="Calibri"/>
          <w:color w:val="1E88E5"/>
          <w:sz w:val="20"/>
          <w:szCs w:val="20"/>
        </w:rPr>
        <w:t xml:space="preserve">al. 13 du Préambule de 1946</w:t>
      </w:r>
      <w:r>
        <w:rPr>
          <w:rFonts w:ascii="Calibri" w:cs="Calibri" w:eastAsia="Calibri" w:hAnsi="Calibri"/>
          <w:color w:val="1A1A1A"/>
          <w:sz w:val="20"/>
          <w:szCs w:val="20"/>
        </w:rPr>
        <w:t xml:space="preserve"> (égal accès à la culture) mais a une </w:t>
      </w:r>
      <w:r>
        <w:rPr>
          <w:rFonts w:ascii="Calibri" w:cs="Calibri" w:eastAsia="Calibri" w:hAnsi="Calibri"/>
          <w:b/>
          <w:bCs/>
          <w:color w:val="1A1A1A"/>
          <w:sz w:val="20"/>
          <w:szCs w:val="20"/>
        </w:rPr>
        <w:t xml:space="preserve">faible normativité</w:t>
      </w:r>
      <w:r>
        <w:rPr>
          <w:rFonts w:ascii="Calibri" w:cs="Calibri" w:eastAsia="Calibri" w:hAnsi="Calibri"/>
          <w:color w:val="1A1A1A"/>
          <w:sz w:val="20"/>
          <w:szCs w:val="20"/>
        </w:rPr>
        <w:t xml:space="preserve"> : il sert surtout d’</w:t>
      </w:r>
      <w:r>
        <w:rPr>
          <w:rFonts w:ascii="Calibri" w:cs="Calibri" w:eastAsia="Calibri" w:hAnsi="Calibri"/>
          <w:b/>
          <w:bCs/>
          <w:color w:val="1A1A1A"/>
          <w:sz w:val="20"/>
          <w:szCs w:val="20"/>
        </w:rPr>
        <w:t xml:space="preserve">objectif d’intérêt général</w:t>
      </w:r>
      <w:r>
        <w:rPr>
          <w:rFonts w:ascii="Calibri" w:cs="Calibri" w:eastAsia="Calibri" w:hAnsi="Calibri"/>
          <w:color w:val="1A1A1A"/>
          <w:sz w:val="20"/>
          <w:szCs w:val="20"/>
        </w:rPr>
        <w:t xml:space="preserve"> justifiant des atteintes à la propriété et au droit d’auteur ; les </w:t>
      </w:r>
      <w:r>
        <w:rPr>
          <w:rFonts w:ascii="Calibri" w:cs="Calibri" w:eastAsia="Calibri" w:hAnsi="Calibri"/>
          <w:b/>
          <w:bCs/>
          <w:color w:val="1A1A1A"/>
          <w:sz w:val="20"/>
          <w:szCs w:val="20"/>
        </w:rPr>
        <w:t xml:space="preserve">droits culturels</w:t>
      </w:r>
      <w:r>
        <w:rPr>
          <w:rFonts w:ascii="Calibri" w:cs="Calibri" w:eastAsia="Calibri" w:hAnsi="Calibri"/>
          <w:color w:val="1A1A1A"/>
          <w:sz w:val="20"/>
          <w:szCs w:val="20"/>
        </w:rPr>
        <w:t xml:space="preserve"> (identité, diversité) se fondamentalisent surtout en droit international.</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13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27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15 PIDESC</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Observation générale n° 21 (2009)</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Conventions de l’UNESCO de 2003</w:t>
      </w:r>
      <w:r>
        <w:rPr>
          <w:rFonts w:ascii="Calibri" w:cs="Calibri" w:eastAsia="Calibri" w:hAnsi="Calibri"/>
          <w:color w:val="1A1A1A"/>
          <w:sz w:val="20"/>
          <w:szCs w:val="20"/>
        </w:rPr>
        <w:t xml:space="preserve"> (patrimoine culturel immatériel) </w:t>
      </w:r>
      <w:r>
        <w:rPr>
          <w:rFonts w:ascii="Calibri" w:cs="Calibri" w:eastAsia="Calibri" w:hAnsi="Calibri"/>
          <w:color w:val="1E88E5"/>
          <w:sz w:val="20"/>
          <w:szCs w:val="20"/>
        </w:rPr>
        <w:t xml:space="preserve">et de 2005</w:t>
      </w:r>
      <w:r>
        <w:rPr>
          <w:rFonts w:ascii="Calibri" w:cs="Calibri" w:eastAsia="Calibri" w:hAnsi="Calibri"/>
          <w:color w:val="1A1A1A"/>
          <w:sz w:val="20"/>
          <w:szCs w:val="20"/>
        </w:rPr>
        <w:t xml:space="preserve"> (diversité des expressions culturelles) ; </w:t>
      </w:r>
      <w:r>
        <w:rPr>
          <w:rFonts w:ascii="Calibri" w:cs="Calibri" w:eastAsia="Calibri" w:hAnsi="Calibri"/>
          <w:color w:val="1E88E5"/>
          <w:sz w:val="20"/>
          <w:szCs w:val="20"/>
        </w:rPr>
        <w:t xml:space="preserve">art. 103 loi NOTRe du 7 août 2015</w:t>
      </w:r>
      <w:r>
        <w:rPr>
          <w:rFonts w:ascii="Calibri" w:cs="Calibri" w:eastAsia="Calibri" w:hAnsi="Calibri"/>
          <w:color w:val="1A1A1A"/>
          <w:sz w:val="20"/>
          <w:szCs w:val="20"/>
        </w:rPr>
        <w:t xml:space="preserve"> (droits culturels).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2011-207 QPC, 16 décembre 2011, Grande Brasserie Patrie Schutzenberger</w:t>
      </w:r>
      <w:r>
        <w:rPr>
          <w:rFonts w:ascii="Calibri" w:cs="Calibri" w:eastAsia="Calibri" w:hAnsi="Calibri"/>
          <w:color w:val="1A1A1A"/>
          <w:sz w:val="20"/>
          <w:szCs w:val="20"/>
        </w:rPr>
        <w:t xml:space="preserve"> : le classement d’office d’un immeuble comme monument historique est une limitation de la propriété justifiée par la protection du patrimoine, assortie d’une indemnisation du préjudice direct, matériel et certain.</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2013-370 QPC, 28 février 2014, Marc S.</w:t>
      </w:r>
      <w:r>
        <w:rPr>
          <w:rFonts w:ascii="Calibri" w:cs="Calibri" w:eastAsia="Calibri" w:hAnsi="Calibri"/>
          <w:color w:val="1A1A1A"/>
          <w:sz w:val="20"/>
          <w:szCs w:val="20"/>
        </w:rPr>
        <w:t xml:space="preserve"> : l’exploitation numérique des livres indisponibles poursuit un objectif d’intérêt général d’accès à la culture — solution contredite par la Cour de justice (</w:t>
      </w:r>
      <w:r>
        <w:rPr>
          <w:rFonts w:ascii="Calibri" w:cs="Calibri" w:eastAsia="Calibri" w:hAnsi="Calibri"/>
          <w:color w:val="E91E63"/>
          <w:sz w:val="20"/>
          <w:szCs w:val="20"/>
        </w:rPr>
        <w:t xml:space="preserve">CJUE, 16 novembre 2016, Soulier et Doke, C-301/15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5 janvier 2000, Beyeler c. Italie</w:t>
      </w:r>
      <w:r>
        <w:rPr>
          <w:rFonts w:ascii="Calibri" w:cs="Calibri" w:eastAsia="Calibri" w:hAnsi="Calibri"/>
          <w:color w:val="1A1A1A"/>
          <w:sz w:val="20"/>
          <w:szCs w:val="20"/>
        </w:rPr>
        <w:t xml:space="preserve"> : le contrôle du marché des œuvres d’art pour faciliter l’accès du public à la « culture universelle » est un but légitime au regard de l’</w:t>
      </w:r>
      <w:r>
        <w:rPr>
          <w:rFonts w:ascii="Calibri" w:cs="Calibri" w:eastAsia="Calibri" w:hAnsi="Calibri"/>
          <w:color w:val="1E88E5"/>
          <w:sz w:val="20"/>
          <w:szCs w:val="20"/>
        </w:rPr>
        <w:t xml:space="preserve">art. 1er Prot. 1</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n° 2026-351 du 9 mai 2026 relative à la restitution de biens culturels ayant fait l’objet d’une appropriation illicite</w:t>
      </w:r>
      <w:r>
        <w:rPr>
          <w:rFonts w:ascii="Calibri" w:cs="Calibri" w:eastAsia="Calibri" w:hAnsi="Calibri"/>
          <w:color w:val="1A1A1A"/>
          <w:sz w:val="20"/>
          <w:szCs w:val="20"/>
        </w:rPr>
        <w:t xml:space="preserve"> : cadre général de sortie du domaine public, par dérogation à l’inaliénabilité.</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Droit à la culture et droit de la culture »</w:t>
      </w:r>
      <w:r>
        <w:rPr>
          <w:rFonts w:ascii="Calibri" w:cs="Calibri" w:eastAsia="Calibri" w:hAnsi="Calibri"/>
          <w:color w:val="1A1A1A"/>
          <w:sz w:val="20"/>
          <w:szCs w:val="20"/>
        </w:rPr>
        <w:t xml:space="preserve"> (sujet « Pour s’entraîner ») — </w:t>
      </w:r>
      <w:r>
        <w:rPr>
          <w:rFonts w:ascii="Calibri" w:cs="Calibri" w:eastAsia="Calibri" w:hAnsi="Calibri"/>
          <w:b/>
          <w:bCs/>
          <w:color w:val="1A1A1A"/>
          <w:sz w:val="20"/>
          <w:szCs w:val="20"/>
        </w:rPr>
        <w:t xml:space="preserve">I. Le droit à la culture, fondement du droit de la culture</w:t>
      </w:r>
      <w:r>
        <w:rPr>
          <w:rFonts w:ascii="Calibri" w:cs="Calibri" w:eastAsia="Calibri" w:hAnsi="Calibri"/>
          <w:color w:val="1A1A1A"/>
          <w:sz w:val="20"/>
          <w:szCs w:val="20"/>
        </w:rPr>
        <w:t xml:space="preserve"> (A. Une consécration surtout internationale : </w:t>
      </w:r>
      <w:r>
        <w:rPr>
          <w:rFonts w:ascii="Calibri" w:cs="Calibri" w:eastAsia="Calibri" w:hAnsi="Calibri"/>
          <w:color w:val="1E88E5"/>
          <w:sz w:val="20"/>
          <w:szCs w:val="20"/>
        </w:rPr>
        <w:t xml:space="preserve">art. 27 DUDH</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15 PIDESC</w:t>
      </w:r>
      <w:r>
        <w:rPr>
          <w:rFonts w:ascii="Calibri" w:cs="Calibri" w:eastAsia="Calibri" w:hAnsi="Calibri"/>
          <w:color w:val="1A1A1A"/>
          <w:sz w:val="20"/>
          <w:szCs w:val="20"/>
        </w:rPr>
        <w:t xml:space="preserve">, UNESCO ; B. Une traduction interne modeste : </w:t>
      </w:r>
      <w:r>
        <w:rPr>
          <w:rFonts w:ascii="Calibri" w:cs="Calibri" w:eastAsia="Calibri" w:hAnsi="Calibri"/>
          <w:color w:val="1E88E5"/>
          <w:sz w:val="20"/>
          <w:szCs w:val="20"/>
        </w:rPr>
        <w:t xml:space="preserve">al. 13</w:t>
      </w:r>
      <w:r>
        <w:rPr>
          <w:rFonts w:ascii="Calibri" w:cs="Calibri" w:eastAsia="Calibri" w:hAnsi="Calibri"/>
          <w:color w:val="1A1A1A"/>
          <w:sz w:val="20"/>
          <w:szCs w:val="20"/>
        </w:rPr>
        <w:t xml:space="preserve">, droits culturels de la loi NOTRe) / </w:t>
      </w:r>
      <w:r>
        <w:rPr>
          <w:rFonts w:ascii="Calibri" w:cs="Calibri" w:eastAsia="Calibri" w:hAnsi="Calibri"/>
          <w:b/>
          <w:bCs/>
          <w:color w:val="1A1A1A"/>
          <w:sz w:val="20"/>
          <w:szCs w:val="20"/>
        </w:rPr>
        <w:t xml:space="preserve">II. Le droit de la culture, condition et limite du droit à la culture</w:t>
      </w:r>
      <w:r>
        <w:rPr>
          <w:rFonts w:ascii="Calibri" w:cs="Calibri" w:eastAsia="Calibri" w:hAnsi="Calibri"/>
          <w:color w:val="1A1A1A"/>
          <w:sz w:val="20"/>
          <w:szCs w:val="20"/>
        </w:rPr>
        <w:t xml:space="preserve"> (A. Les instruments de l’accès : démocratisation, patrimoine, numérisation, restitutions ; B. Les conflits : propriété (</w:t>
      </w:r>
      <w:r>
        <w:rPr>
          <w:rFonts w:ascii="Calibri" w:cs="Calibri" w:eastAsia="Calibri" w:hAnsi="Calibri"/>
          <w:color w:val="E91E63"/>
          <w:sz w:val="20"/>
          <w:szCs w:val="20"/>
        </w:rPr>
        <w:t xml:space="preserve">2011-207 QPC</w:t>
      </w:r>
      <w:r>
        <w:rPr>
          <w:rFonts w:ascii="Calibri" w:cs="Calibri" w:eastAsia="Calibri" w:hAnsi="Calibri"/>
          <w:color w:val="1A1A1A"/>
          <w:sz w:val="20"/>
          <w:szCs w:val="20"/>
        </w:rPr>
        <w:t xml:space="preserve">), droit d’auteur (</w:t>
      </w:r>
      <w:r>
        <w:rPr>
          <w:rFonts w:ascii="Calibri" w:cs="Calibri" w:eastAsia="Calibri" w:hAnsi="Calibri"/>
          <w:color w:val="E91E63"/>
          <w:sz w:val="20"/>
          <w:szCs w:val="20"/>
        </w:rPr>
        <w:t xml:space="preserve">2013-370 QPC</w:t>
      </w:r>
      <w:r>
        <w:rPr>
          <w:rFonts w:ascii="Calibri" w:cs="Calibri" w:eastAsia="Calibri" w:hAnsi="Calibri"/>
          <w:color w:val="1A1A1A"/>
          <w:sz w:val="20"/>
          <w:szCs w:val="20"/>
        </w:rPr>
        <w:t xml:space="preserve"> contre </w:t>
      </w:r>
      <w:r>
        <w:rPr>
          <w:rFonts w:ascii="Calibri" w:cs="Calibri" w:eastAsia="Calibri" w:hAnsi="Calibri"/>
          <w:color w:val="E91E63"/>
          <w:sz w:val="20"/>
          <w:szCs w:val="20"/>
        </w:rPr>
        <w:t xml:space="preserve">Soulier et Doke</w:t>
      </w:r>
      <w:r>
        <w:rPr>
          <w:rFonts w:ascii="Calibri" w:cs="Calibri" w:eastAsia="Calibri" w:hAnsi="Calibri"/>
          <w:color w:val="1A1A1A"/>
          <w:sz w:val="20"/>
          <w:szCs w:val="20"/>
        </w:rPr>
        <w:t xml:space="preserve">), données (</w:t>
      </w:r>
      <w:r>
        <w:rPr>
          <w:rFonts w:ascii="Calibri" w:cs="Calibri" w:eastAsia="Calibri" w:hAnsi="Calibri"/>
          <w:color w:val="E91E63"/>
          <w:sz w:val="20"/>
          <w:szCs w:val="20"/>
        </w:rPr>
        <w:t xml:space="preserve">CE, 23 décembre 2025, Musée Rodin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La restitution des biens culturels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Le verrou de l’inaliénabilité</w:t>
      </w:r>
      <w:r>
        <w:rPr>
          <w:rFonts w:ascii="Calibri" w:cs="Calibri" w:eastAsia="Calibri" w:hAnsi="Calibri"/>
          <w:color w:val="1A1A1A"/>
          <w:sz w:val="20"/>
          <w:szCs w:val="20"/>
        </w:rPr>
        <w:t xml:space="preserve"> (A. Un principe du domaine public (</w:t>
      </w:r>
      <w:r>
        <w:rPr>
          <w:rFonts w:ascii="Calibri" w:cs="Calibri" w:eastAsia="Calibri" w:hAnsi="Calibri"/>
          <w:color w:val="1E88E5"/>
          <w:sz w:val="20"/>
          <w:szCs w:val="20"/>
        </w:rPr>
        <w:t xml:space="preserve">art. L. 451-5 C. patr.</w:t>
      </w:r>
      <w:r>
        <w:rPr>
          <w:rFonts w:ascii="Calibri" w:cs="Calibri" w:eastAsia="Calibri" w:hAnsi="Calibri"/>
          <w:color w:val="1A1A1A"/>
          <w:sz w:val="20"/>
          <w:szCs w:val="20"/>
        </w:rPr>
        <w:t xml:space="preserve">) ; B. Des lois d’espèce : Saartjie Baartman (2002), têtes maories (2010), Bénin et Sénégal (2020)) / </w:t>
      </w:r>
      <w:r>
        <w:rPr>
          <w:rFonts w:ascii="Calibri" w:cs="Calibri" w:eastAsia="Calibri" w:hAnsi="Calibri"/>
          <w:b/>
          <w:bCs/>
          <w:color w:val="1A1A1A"/>
          <w:sz w:val="20"/>
          <w:szCs w:val="20"/>
        </w:rPr>
        <w:t xml:space="preserve">II. L’ouverture d’un cadre général</w:t>
      </w:r>
      <w:r>
        <w:rPr>
          <w:rFonts w:ascii="Calibri" w:cs="Calibri" w:eastAsia="Calibri" w:hAnsi="Calibri"/>
          <w:color w:val="1A1A1A"/>
          <w:sz w:val="20"/>
          <w:szCs w:val="20"/>
        </w:rPr>
        <w:t xml:space="preserve"> (A. Les lois de 2023 : biens spoliés entre 1933 et 1945, restes humains ; B. La loi du 9 mai 2026 : période 1815-1972, comité scientifique, commission nationale, décret en Conseil d’État).</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à la culture ≠ liberté de création</w:t>
      </w:r>
      <w:r>
        <w:rPr>
          <w:rFonts w:ascii="Calibri" w:cs="Calibri" w:eastAsia="Calibri" w:hAnsi="Calibri"/>
          <w:color w:val="1A1A1A"/>
          <w:sz w:val="20"/>
          <w:szCs w:val="20"/>
        </w:rPr>
        <w:t xml:space="preserve"> : la liberté de création artistique relève de la liberté d’expression (</w:t>
      </w:r>
      <w:r>
        <w:rPr>
          <w:rFonts w:ascii="Calibri" w:cs="Calibri" w:eastAsia="Calibri" w:hAnsi="Calibri"/>
          <w:color w:val="1E88E5"/>
          <w:sz w:val="20"/>
          <w:szCs w:val="20"/>
        </w:rPr>
        <w:t xml:space="preserve">art. 11 DDHC</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10 CEDH</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24 mai 1988, Müller c. Suisse</w:t>
      </w:r>
      <w:r>
        <w:rPr>
          <w:rFonts w:ascii="Calibri" w:cs="Calibri" w:eastAsia="Calibri" w:hAnsi="Calibri"/>
          <w:color w:val="1A1A1A"/>
          <w:sz w:val="20"/>
          <w:szCs w:val="20"/>
        </w:rPr>
        <w:t xml:space="preserve">) et de la loi du </w:t>
      </w:r>
      <w:r>
        <w:rPr>
          <w:rFonts w:ascii="Calibri" w:cs="Calibri" w:eastAsia="Calibri" w:hAnsi="Calibri"/>
          <w:color w:val="1E88E5"/>
          <w:sz w:val="20"/>
          <w:szCs w:val="20"/>
        </w:rPr>
        <w:t xml:space="preserve">7 juillet 2016</w:t>
      </w:r>
      <w:r>
        <w:rPr>
          <w:rFonts w:ascii="Calibri" w:cs="Calibri" w:eastAsia="Calibri" w:hAnsi="Calibri"/>
          <w:color w:val="1A1A1A"/>
          <w:sz w:val="20"/>
          <w:szCs w:val="20"/>
        </w:rPr>
        <w:t xml:space="preserve"> (« La création artistique est libre ») ; le droit à la culture est un droit d’</w:t>
      </w:r>
      <w:r>
        <w:rPr>
          <w:rFonts w:ascii="Calibri" w:cs="Calibri" w:eastAsia="Calibri" w:hAnsi="Calibri"/>
          <w:b/>
          <w:bCs/>
          <w:color w:val="1A1A1A"/>
          <w:sz w:val="20"/>
          <w:szCs w:val="20"/>
        </w:rPr>
        <w:t xml:space="preserve">accès</w:t>
      </w:r>
      <w:r>
        <w:rPr>
          <w:rFonts w:ascii="Calibri" w:cs="Calibri" w:eastAsia="Calibri" w:hAnsi="Calibri"/>
          <w:color w:val="1A1A1A"/>
          <w:sz w:val="20"/>
          <w:szCs w:val="20"/>
        </w:rPr>
        <w:t xml:space="preserve"> et de </w:t>
      </w:r>
      <w:r>
        <w:rPr>
          <w:rFonts w:ascii="Calibri" w:cs="Calibri" w:eastAsia="Calibri" w:hAnsi="Calibri"/>
          <w:b/>
          <w:bCs/>
          <w:color w:val="1A1A1A"/>
          <w:sz w:val="20"/>
          <w:szCs w:val="20"/>
        </w:rPr>
        <w:t xml:space="preserve">participation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 Conseil constitutionnel et la Cour de justice divergent</w:t>
      </w:r>
      <w:r>
        <w:rPr>
          <w:rFonts w:ascii="Calibri" w:cs="Calibri" w:eastAsia="Calibri" w:hAnsi="Calibri"/>
          <w:color w:val="1A1A1A"/>
          <w:sz w:val="20"/>
          <w:szCs w:val="20"/>
        </w:rPr>
        <w:t xml:space="preserve"> : l’accès à la culture justifie en droit interne des exceptions au droit d’auteur (</w:t>
      </w:r>
      <w:r>
        <w:rPr>
          <w:rFonts w:ascii="Calibri" w:cs="Calibri" w:eastAsia="Calibri" w:hAnsi="Calibri"/>
          <w:color w:val="E91E63"/>
          <w:sz w:val="20"/>
          <w:szCs w:val="20"/>
        </w:rPr>
        <w:t xml:space="preserve">2013-370 QPC</w:t>
      </w:r>
      <w:r>
        <w:rPr>
          <w:rFonts w:ascii="Calibri" w:cs="Calibri" w:eastAsia="Calibri" w:hAnsi="Calibri"/>
          <w:color w:val="1A1A1A"/>
          <w:sz w:val="20"/>
          <w:szCs w:val="20"/>
        </w:rPr>
        <w:t xml:space="preserve">) que le droit de l’Union refuse si elles ne sont pas prévues par la </w:t>
      </w:r>
      <w:r>
        <w:rPr>
          <w:rFonts w:ascii="Calibri" w:cs="Calibri" w:eastAsia="Calibri" w:hAnsi="Calibri"/>
          <w:color w:val="1E88E5"/>
          <w:sz w:val="20"/>
          <w:szCs w:val="20"/>
        </w:rPr>
        <w:t xml:space="preserve">directive 2001/29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Soulier et Doke</w:t>
      </w:r>
      <w:r>
        <w:rPr>
          <w:rFonts w:ascii="Calibri" w:cs="Calibri" w:eastAsia="Calibri" w:hAnsi="Calibri"/>
          <w:color w:val="1A1A1A"/>
          <w:sz w:val="20"/>
          <w:szCs w:val="20"/>
        </w:rPr>
        <w:t xml:space="preserve">, 2016).</w:t>
      </w:r>
    </w:p>
    <w:p>
      <w:pPr>
        <w:pStyle w:val="ListParagraph"/>
        <w:numPr>
          <w:ilvl w:val="0"/>
          <w:numId w:val="2"/>
        </w:numPr>
        <w:spacing w:after="70" w:line="264"/>
        <w:jc w:val="both"/>
      </w:pPr>
      <w:r>
        <w:rPr>
          <w:rFonts w:ascii="Calibri" w:cs="Calibri" w:eastAsia="Calibri" w:hAnsi="Calibri"/>
          <w:b/>
          <w:bCs/>
          <w:color w:val="1A1A1A"/>
          <w:sz w:val="20"/>
          <w:szCs w:val="20"/>
        </w:rPr>
        <w:t xml:space="preserve">Le fascicule cite à tort la décision 2001-450 DC</w:t>
      </w:r>
      <w:r>
        <w:rPr>
          <w:rFonts w:ascii="Calibri" w:cs="Calibri" w:eastAsia="Calibri" w:hAnsi="Calibri"/>
          <w:color w:val="1A1A1A"/>
          <w:sz w:val="20"/>
          <w:szCs w:val="20"/>
        </w:rPr>
        <w:t xml:space="preserve"> comme relative à la « liberté de communication » : c’est la loi portant diverses dispositions d’ordre social, éducatif et culturel (Sciences Po, fiche 47).</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27 DUDH</w:t>
      </w:r>
      <w:r>
        <w:rPr>
          <w:rFonts w:ascii="Calibri" w:cs="Calibri" w:eastAsia="Calibri" w:hAnsi="Calibri"/>
          <w:color w:val="1A1A1A"/>
          <w:sz w:val="20"/>
          <w:szCs w:val="20"/>
        </w:rPr>
        <w:t xml:space="preserve"> (prendre part librement à la vie culturelle, jouir des arts, protection des intérêts moraux et matériels de l’auteur) ; </w:t>
      </w:r>
      <w:r>
        <w:rPr>
          <w:rFonts w:ascii="Calibri" w:cs="Calibri" w:eastAsia="Calibri" w:hAnsi="Calibri"/>
          <w:color w:val="1E88E5"/>
          <w:sz w:val="20"/>
          <w:szCs w:val="20"/>
        </w:rPr>
        <w:t xml:space="preserve">art. 15 PIDESC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27 PIDCP</w:t>
      </w:r>
      <w:r>
        <w:rPr>
          <w:rFonts w:ascii="Calibri" w:cs="Calibri" w:eastAsia="Calibri" w:hAnsi="Calibri"/>
          <w:color w:val="1A1A1A"/>
          <w:sz w:val="20"/>
          <w:szCs w:val="20"/>
        </w:rPr>
        <w:t xml:space="preserve"> (minorités) ; </w:t>
      </w:r>
      <w:r>
        <w:rPr>
          <w:rFonts w:ascii="Calibri" w:cs="Calibri" w:eastAsia="Calibri" w:hAnsi="Calibri"/>
          <w:color w:val="1E88E5"/>
          <w:sz w:val="20"/>
          <w:szCs w:val="20"/>
        </w:rPr>
        <w:t xml:space="preserve">Recommandation de l’UNESCO du 26 novembre 1976</w:t>
      </w:r>
      <w:r>
        <w:rPr>
          <w:rFonts w:ascii="Calibri" w:cs="Calibri" w:eastAsia="Calibri" w:hAnsi="Calibri"/>
          <w:color w:val="1A1A1A"/>
          <w:sz w:val="20"/>
          <w:szCs w:val="20"/>
        </w:rPr>
        <w:t xml:space="preserve"> (participation à la vie culturelle) ; </w:t>
      </w:r>
      <w:r>
        <w:rPr>
          <w:rFonts w:ascii="Calibri" w:cs="Calibri" w:eastAsia="Calibri" w:hAnsi="Calibri"/>
          <w:color w:val="1E88E5"/>
          <w:sz w:val="20"/>
          <w:szCs w:val="20"/>
        </w:rPr>
        <w:t xml:space="preserve">Conventions UNESCO de 1970</w:t>
      </w:r>
      <w:r>
        <w:rPr>
          <w:rFonts w:ascii="Calibri" w:cs="Calibri" w:eastAsia="Calibri" w:hAnsi="Calibri"/>
          <w:color w:val="1A1A1A"/>
          <w:sz w:val="20"/>
          <w:szCs w:val="20"/>
        </w:rPr>
        <w:t xml:space="preserve"> (trafic illicite), </w:t>
      </w:r>
      <w:r>
        <w:rPr>
          <w:rFonts w:ascii="Calibri" w:cs="Calibri" w:eastAsia="Calibri" w:hAnsi="Calibri"/>
          <w:color w:val="1E88E5"/>
          <w:sz w:val="20"/>
          <w:szCs w:val="20"/>
        </w:rPr>
        <w:t xml:space="preserve">1972</w:t>
      </w:r>
      <w:r>
        <w:rPr>
          <w:rFonts w:ascii="Calibri" w:cs="Calibri" w:eastAsia="Calibri" w:hAnsi="Calibri"/>
          <w:color w:val="1A1A1A"/>
          <w:sz w:val="20"/>
          <w:szCs w:val="20"/>
        </w:rPr>
        <w:t xml:space="preserve"> (patrimoine mondial), </w:t>
      </w:r>
      <w:r>
        <w:rPr>
          <w:rFonts w:ascii="Calibri" w:cs="Calibri" w:eastAsia="Calibri" w:hAnsi="Calibri"/>
          <w:color w:val="1E88E5"/>
          <w:sz w:val="20"/>
          <w:szCs w:val="20"/>
        </w:rPr>
        <w:t xml:space="preserve">2003</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2005</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Déclaration de Fribourg sur les droits culturels (7 mai 2007)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31 et 11 Déclaration des Nations unies sur les droits des peuples autochtones (2007)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pas de droit à la culture dans la </w:t>
      </w:r>
      <w:r>
        <w:rPr>
          <w:rFonts w:ascii="Calibri" w:cs="Calibri" w:eastAsia="Calibri" w:hAnsi="Calibri"/>
          <w:color w:val="1E88E5"/>
          <w:sz w:val="20"/>
          <w:szCs w:val="20"/>
        </w:rPr>
        <w:t xml:space="preserve">CEDH</w:t>
      </w:r>
      <w:r>
        <w:rPr>
          <w:rFonts w:ascii="Calibri" w:cs="Calibri" w:eastAsia="Calibri" w:hAnsi="Calibri"/>
          <w:color w:val="1A1A1A"/>
          <w:sz w:val="20"/>
          <w:szCs w:val="20"/>
        </w:rPr>
        <w:t xml:space="preserve"> — protection indirecte par les </w:t>
      </w:r>
      <w:r>
        <w:rPr>
          <w:rFonts w:ascii="Calibri" w:cs="Calibri" w:eastAsia="Calibri" w:hAnsi="Calibri"/>
          <w:color w:val="1E88E5"/>
          <w:sz w:val="20"/>
          <w:szCs w:val="20"/>
        </w:rPr>
        <w:t xml:space="preserve">art. 8, 10</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1er Prot. 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de Faro (2005)</w:t>
      </w:r>
      <w:r>
        <w:rPr>
          <w:rFonts w:ascii="Calibri" w:cs="Calibri" w:eastAsia="Calibri" w:hAnsi="Calibri"/>
          <w:color w:val="1A1A1A"/>
          <w:sz w:val="20"/>
          <w:szCs w:val="20"/>
        </w:rPr>
        <w:t xml:space="preserve"> sur la valeur du patrimoine culturel ; </w:t>
      </w:r>
      <w:r>
        <w:rPr>
          <w:rFonts w:ascii="Calibri" w:cs="Calibri" w:eastAsia="Calibri" w:hAnsi="Calibri"/>
          <w:color w:val="1E88E5"/>
          <w:sz w:val="20"/>
          <w:szCs w:val="20"/>
        </w:rPr>
        <w:t xml:space="preserve">art. 13 CDFUE</w:t>
      </w:r>
      <w:r>
        <w:rPr>
          <w:rFonts w:ascii="Calibri" w:cs="Calibri" w:eastAsia="Calibri" w:hAnsi="Calibri"/>
          <w:color w:val="1A1A1A"/>
          <w:sz w:val="20"/>
          <w:szCs w:val="20"/>
        </w:rPr>
        <w:t xml:space="preserve"> (arts libres), </w:t>
      </w:r>
      <w:r>
        <w:rPr>
          <w:rFonts w:ascii="Calibri" w:cs="Calibri" w:eastAsia="Calibri" w:hAnsi="Calibri"/>
          <w:color w:val="1E88E5"/>
          <w:sz w:val="20"/>
          <w:szCs w:val="20"/>
        </w:rPr>
        <w:t xml:space="preserve">art. 22</w:t>
      </w:r>
      <w:r>
        <w:rPr>
          <w:rFonts w:ascii="Calibri" w:cs="Calibri" w:eastAsia="Calibri" w:hAnsi="Calibri"/>
          <w:color w:val="1A1A1A"/>
          <w:sz w:val="20"/>
          <w:szCs w:val="20"/>
        </w:rPr>
        <w:t xml:space="preserve"> (diversité culturelle), </w:t>
      </w:r>
      <w:r>
        <w:rPr>
          <w:rFonts w:ascii="Calibri" w:cs="Calibri" w:eastAsia="Calibri" w:hAnsi="Calibri"/>
          <w:color w:val="1E88E5"/>
          <w:sz w:val="20"/>
          <w:szCs w:val="20"/>
        </w:rPr>
        <w:t xml:space="preserve">art. 25</w:t>
      </w:r>
      <w:r>
        <w:rPr>
          <w:rFonts w:ascii="Calibri" w:cs="Calibri" w:eastAsia="Calibri" w:hAnsi="Calibri"/>
          <w:color w:val="1A1A1A"/>
          <w:sz w:val="20"/>
          <w:szCs w:val="20"/>
        </w:rPr>
        <w:t xml:space="preserve"> (participation des personnes âgées à la vie culturelle) ; </w:t>
      </w:r>
      <w:r>
        <w:rPr>
          <w:rFonts w:ascii="Calibri" w:cs="Calibri" w:eastAsia="Calibri" w:hAnsi="Calibri"/>
          <w:color w:val="1E88E5"/>
          <w:sz w:val="20"/>
          <w:szCs w:val="20"/>
        </w:rPr>
        <w:t xml:space="preserve">art. 167 TFUE</w:t>
      </w:r>
      <w:r>
        <w:rPr>
          <w:rFonts w:ascii="Calibri" w:cs="Calibri" w:eastAsia="Calibri" w:hAnsi="Calibri"/>
          <w:color w:val="1A1A1A"/>
          <w:sz w:val="20"/>
          <w:szCs w:val="20"/>
        </w:rPr>
        <w:t xml:space="preserve"> (culture).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13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75-1 C.</w:t>
      </w:r>
      <w:r>
        <w:rPr>
          <w:rFonts w:ascii="Calibri" w:cs="Calibri" w:eastAsia="Calibri" w:hAnsi="Calibri"/>
          <w:color w:val="1A1A1A"/>
          <w:sz w:val="20"/>
          <w:szCs w:val="20"/>
        </w:rPr>
        <w:t xml:space="preserve"> (langues régionales, patrimoine de la France). </w:t>
      </w:r>
      <w:r>
        <w:rPr>
          <w:rFonts w:ascii="Calibri" w:cs="Calibri" w:eastAsia="Calibri" w:hAnsi="Calibri"/>
          <w:b/>
          <w:bCs/>
          <w:color w:val="1A1A1A"/>
          <w:sz w:val="20"/>
          <w:szCs w:val="20"/>
        </w:rPr>
        <w:t xml:space="preserve">Droit législatif</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code du patrimoine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1</w:t>
      </w:r>
      <w:r>
        <w:rPr>
          <w:rFonts w:ascii="Calibri" w:cs="Calibri" w:eastAsia="Calibri" w:hAnsi="Calibri"/>
          <w:color w:val="1A1A1A"/>
          <w:sz w:val="20"/>
          <w:szCs w:val="20"/>
        </w:rPr>
        <w:t xml:space="preserve">, patrimoine immatériel inclus) ; </w:t>
      </w:r>
      <w:r>
        <w:rPr>
          <w:rFonts w:ascii="Calibri" w:cs="Calibri" w:eastAsia="Calibri" w:hAnsi="Calibri"/>
          <w:color w:val="1E88E5"/>
          <w:sz w:val="20"/>
          <w:szCs w:val="20"/>
        </w:rPr>
        <w:t xml:space="preserve">loi du 29 juillet 1998</w:t>
      </w:r>
      <w:r>
        <w:rPr>
          <w:rFonts w:ascii="Calibri" w:cs="Calibri" w:eastAsia="Calibri" w:hAnsi="Calibri"/>
          <w:color w:val="1A1A1A"/>
          <w:sz w:val="20"/>
          <w:szCs w:val="20"/>
        </w:rPr>
        <w:t xml:space="preserve"> (accès de tous à la culture, objectif national) ; </w:t>
      </w:r>
      <w:r>
        <w:rPr>
          <w:rFonts w:ascii="Calibri" w:cs="Calibri" w:eastAsia="Calibri" w:hAnsi="Calibri"/>
          <w:color w:val="1E88E5"/>
          <w:sz w:val="20"/>
          <w:szCs w:val="20"/>
        </w:rPr>
        <w:t xml:space="preserve">loi NOTRe du 7 août 2015, art. 103</w:t>
      </w:r>
      <w:r>
        <w:rPr>
          <w:rFonts w:ascii="Calibri" w:cs="Calibri" w:eastAsia="Calibri" w:hAnsi="Calibri"/>
          <w:color w:val="1A1A1A"/>
          <w:sz w:val="20"/>
          <w:szCs w:val="20"/>
        </w:rPr>
        <w:t xml:space="preserve"> (responsabilité partagée en matière culturelle dans le respect des droits culturels) ; </w:t>
      </w:r>
      <w:r>
        <w:rPr>
          <w:rFonts w:ascii="Calibri" w:cs="Calibri" w:eastAsia="Calibri" w:hAnsi="Calibri"/>
          <w:color w:val="1E88E5"/>
          <w:sz w:val="20"/>
          <w:szCs w:val="20"/>
        </w:rPr>
        <w:t xml:space="preserve">loi LCAP du 7 juillet 2016</w:t>
      </w:r>
      <w:r>
        <w:rPr>
          <w:rFonts w:ascii="Calibri" w:cs="Calibri" w:eastAsia="Calibri" w:hAnsi="Calibri"/>
          <w:color w:val="1A1A1A"/>
          <w:sz w:val="20"/>
          <w:szCs w:val="20"/>
        </w:rPr>
        <w:t xml:space="preserve"> (liberté de création).</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le droit à la culture vit surtout comme </w:t>
      </w:r>
      <w:r>
        <w:rPr>
          <w:rFonts w:ascii="Calibri" w:cs="Calibri" w:eastAsia="Calibri" w:hAnsi="Calibri"/>
          <w:b/>
          <w:bCs/>
          <w:color w:val="1A1A1A"/>
          <w:sz w:val="20"/>
          <w:szCs w:val="20"/>
        </w:rPr>
        <w:t xml:space="preserve">justification</w:t>
      </w:r>
      <w:r>
        <w:rPr>
          <w:rFonts w:ascii="Calibri" w:cs="Calibri" w:eastAsia="Calibri" w:hAnsi="Calibri"/>
          <w:color w:val="1A1A1A"/>
          <w:sz w:val="20"/>
          <w:szCs w:val="20"/>
        </w:rPr>
        <w:t xml:space="preserve"> — il fonde les servitudes patrimoniales, les licences légales et les exceptions au droit d’auteur — et commence seulement à vivre comme </w:t>
      </w:r>
      <w:r>
        <w:rPr>
          <w:rFonts w:ascii="Calibri" w:cs="Calibri" w:eastAsia="Calibri" w:hAnsi="Calibri"/>
          <w:b/>
          <w:bCs/>
          <w:color w:val="1A1A1A"/>
          <w:sz w:val="20"/>
          <w:szCs w:val="20"/>
        </w:rPr>
        <w:t xml:space="preserve">prétention</w:t>
      </w:r>
      <w:r>
        <w:rPr>
          <w:rFonts w:ascii="Calibri" w:cs="Calibri" w:eastAsia="Calibri" w:hAnsi="Calibri"/>
          <w:color w:val="1A1A1A"/>
          <w:sz w:val="20"/>
          <w:szCs w:val="20"/>
        </w:rPr>
        <w:t xml:space="preserve"> (restitutions, droits culturels des minorités).</w:t>
      </w:r>
    </w:p>
    <w:p>
      <w:pPr>
        <w:pStyle w:val="Heading2"/>
        <w:spacing w:after="120" w:before="280"/>
      </w:pPr>
      <w:r>
        <w:rPr>
          <w:rFonts w:ascii="Calibri" w:cs="Calibri" w:eastAsia="Calibri" w:hAnsi="Calibri"/>
          <w:b/>
          <w:bCs/>
          <w:color w:val="1A1A1A"/>
          <w:sz w:val="24"/>
          <w:szCs w:val="24"/>
        </w:rPr>
        <w:t xml:space="preserve">2. Un droit en tension avec d’autres droits</w:t>
      </w:r>
    </w:p>
    <w:p>
      <w:pPr>
        <w:pStyle w:val="ListParagraph"/>
        <w:numPr>
          <w:ilvl w:val="0"/>
          <w:numId w:val="2"/>
        </w:numPr>
        <w:spacing w:after="70" w:line="264"/>
        <w:jc w:val="both"/>
      </w:pPr>
      <w:r>
        <w:rPr>
          <w:rFonts w:ascii="Calibri" w:cs="Calibri" w:eastAsia="Calibri" w:hAnsi="Calibri"/>
          <w:b/>
          <w:bCs/>
          <w:color w:val="1A1A1A"/>
          <w:sz w:val="20"/>
          <w:szCs w:val="20"/>
        </w:rPr>
        <w:t xml:space="preserve">Propriété</w:t>
      </w:r>
      <w:r>
        <w:rPr>
          <w:rFonts w:ascii="Calibri" w:cs="Calibri" w:eastAsia="Calibri" w:hAnsi="Calibri"/>
          <w:color w:val="1A1A1A"/>
          <w:sz w:val="20"/>
          <w:szCs w:val="20"/>
        </w:rPr>
        <w:t xml:space="preserve"> : classement d’office comme monument historique, conforme (</w:t>
      </w:r>
      <w:r>
        <w:rPr>
          <w:rFonts w:ascii="Calibri" w:cs="Calibri" w:eastAsia="Calibri" w:hAnsi="Calibri"/>
          <w:color w:val="E91E63"/>
          <w:sz w:val="20"/>
          <w:szCs w:val="20"/>
        </w:rPr>
        <w:t xml:space="preserve">2011-207 QPC</w:t>
      </w:r>
      <w:r>
        <w:rPr>
          <w:rFonts w:ascii="Calibri" w:cs="Calibri" w:eastAsia="Calibri" w:hAnsi="Calibri"/>
          <w:color w:val="1A1A1A"/>
          <w:sz w:val="20"/>
          <w:szCs w:val="20"/>
        </w:rPr>
        <w:t xml:space="preserve">) ; expropriation pour sauvegarde du patrimoine (</w:t>
      </w:r>
      <w:r>
        <w:rPr>
          <w:rFonts w:ascii="Calibri" w:cs="Calibri" w:eastAsia="Calibri" w:hAnsi="Calibri"/>
          <w:color w:val="E91E63"/>
          <w:sz w:val="20"/>
          <w:szCs w:val="20"/>
        </w:rPr>
        <w:t xml:space="preserve">CEDH, 11 octobre 2011, Helly c. France</w:t>
      </w:r>
      <w:r>
        <w:rPr>
          <w:rFonts w:ascii="Calibri" w:cs="Calibri" w:eastAsia="Calibri" w:hAnsi="Calibri"/>
          <w:color w:val="1A1A1A"/>
          <w:sz w:val="20"/>
          <w:szCs w:val="20"/>
        </w:rPr>
        <w:t xml:space="preserve">, but légitime d’utilité publique) ; droit de préemption de l’État sur les œuvres (</w:t>
      </w:r>
      <w:r>
        <w:rPr>
          <w:rFonts w:ascii="Calibri" w:cs="Calibri" w:eastAsia="Calibri" w:hAnsi="Calibri"/>
          <w:color w:val="E91E63"/>
          <w:sz w:val="20"/>
          <w:szCs w:val="20"/>
        </w:rPr>
        <w:t xml:space="preserve">Beyeler</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d’auteur</w:t>
      </w:r>
      <w:r>
        <w:rPr>
          <w:rFonts w:ascii="Calibri" w:cs="Calibri" w:eastAsia="Calibri" w:hAnsi="Calibri"/>
          <w:color w:val="1A1A1A"/>
          <w:sz w:val="20"/>
          <w:szCs w:val="20"/>
        </w:rPr>
        <w:t xml:space="preserve"> : extension de la licence légale aux webradios — objectif d’accès du public à une offre culturelle diversifiée (</w:t>
      </w:r>
      <w:r>
        <w:rPr>
          <w:rFonts w:ascii="Calibri" w:cs="Calibri" w:eastAsia="Calibri" w:hAnsi="Calibri"/>
          <w:color w:val="E91E63"/>
          <w:sz w:val="20"/>
          <w:szCs w:val="20"/>
        </w:rPr>
        <w:t xml:space="preserve">2017-649 QPC, 4 août 2017</w:t>
      </w:r>
      <w:r>
        <w:rPr>
          <w:rFonts w:ascii="Calibri" w:cs="Calibri" w:eastAsia="Calibri" w:hAnsi="Calibri"/>
          <w:color w:val="1A1A1A"/>
          <w:sz w:val="20"/>
          <w:szCs w:val="20"/>
        </w:rPr>
        <w:t xml:space="preserve">) ; livres indisponibles (</w:t>
      </w:r>
      <w:r>
        <w:rPr>
          <w:rFonts w:ascii="Calibri" w:cs="Calibri" w:eastAsia="Calibri" w:hAnsi="Calibri"/>
          <w:color w:val="E91E63"/>
          <w:sz w:val="20"/>
          <w:szCs w:val="20"/>
        </w:rPr>
        <w:t xml:space="preserve">2013-370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Soulier et Doke</w:t>
      </w:r>
      <w:r>
        <w:rPr>
          <w:rFonts w:ascii="Calibri" w:cs="Calibri" w:eastAsia="Calibri" w:hAnsi="Calibri"/>
          <w:color w:val="1A1A1A"/>
          <w:sz w:val="20"/>
          <w:szCs w:val="20"/>
        </w:rPr>
        <w:t xml:space="preserve">). Cour de justice : prêt numérique par les bibliothèques admis sous conditions (</w:t>
      </w:r>
      <w:r>
        <w:rPr>
          <w:rFonts w:ascii="Calibri" w:cs="Calibri" w:eastAsia="Calibri" w:hAnsi="Calibri"/>
          <w:color w:val="E91E63"/>
          <w:sz w:val="20"/>
          <w:szCs w:val="20"/>
        </w:rPr>
        <w:t xml:space="preserve">CJUE, 10 novembre 2016, Vereniging Openbare Bibliotheken, C-174/15</w:t>
      </w:r>
      <w:r>
        <w:rPr>
          <w:rFonts w:ascii="Calibri" w:cs="Calibri" w:eastAsia="Calibri" w:hAnsi="Calibri"/>
          <w:color w:val="1A1A1A"/>
          <w:sz w:val="20"/>
          <w:szCs w:val="20"/>
        </w:rPr>
        <w:t xml:space="preserve">) ; communication au public par une plateforme de partage (</w:t>
      </w:r>
      <w:r>
        <w:rPr>
          <w:rFonts w:ascii="Calibri" w:cs="Calibri" w:eastAsia="Calibri" w:hAnsi="Calibri"/>
          <w:color w:val="E91E63"/>
          <w:sz w:val="20"/>
          <w:szCs w:val="20"/>
        </w:rPr>
        <w:t xml:space="preserve">CJUE, 14 juin 2017, Stichting Brein c. Ziggo, C-610/15</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Archives</w:t>
      </w:r>
      <w:r>
        <w:rPr>
          <w:rFonts w:ascii="Calibri" w:cs="Calibri" w:eastAsia="Calibri" w:hAnsi="Calibri"/>
          <w:color w:val="1A1A1A"/>
          <w:sz w:val="20"/>
          <w:szCs w:val="20"/>
        </w:rPr>
        <w:t xml:space="preserve"> : accès aux archives présidentielles et gouvernementales — protocole de remise et délais de communicabilité conformes (</w:t>
      </w:r>
      <w:r>
        <w:rPr>
          <w:rFonts w:ascii="Calibri" w:cs="Calibri" w:eastAsia="Calibri" w:hAnsi="Calibri"/>
          <w:color w:val="E91E63"/>
          <w:sz w:val="20"/>
          <w:szCs w:val="20"/>
        </w:rPr>
        <w:t xml:space="preserve">2017-655 QPC, 15 septembre 2017</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Numérisation</w:t>
      </w:r>
      <w:r>
        <w:rPr>
          <w:rFonts w:ascii="Calibri" w:cs="Calibri" w:eastAsia="Calibri" w:hAnsi="Calibri"/>
          <w:color w:val="1A1A1A"/>
          <w:sz w:val="20"/>
          <w:szCs w:val="20"/>
        </w:rPr>
        <w:t xml:space="preserve"> : les reproductions numériques d’œuvres d’un musée ne sont pas des documents administratifs librement communicables (</w:t>
      </w:r>
      <w:r>
        <w:rPr>
          <w:rFonts w:ascii="Calibri" w:cs="Calibri" w:eastAsia="Calibri" w:hAnsi="Calibri"/>
          <w:color w:val="E91E63"/>
          <w:sz w:val="20"/>
          <w:szCs w:val="20"/>
        </w:rPr>
        <w:t xml:space="preserve">CE, 23 décembre 2025, Musée Rodin, n° 487950</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Accès à l’information culturelle</w:t>
      </w:r>
      <w:r>
        <w:rPr>
          <w:rFonts w:ascii="Calibri" w:cs="Calibri" w:eastAsia="Calibri" w:hAnsi="Calibri"/>
          <w:color w:val="1A1A1A"/>
          <w:sz w:val="20"/>
          <w:szCs w:val="20"/>
        </w:rPr>
        <w:t xml:space="preserve"> : refus d’exécuter un jugement ordonnant la communication d’informations d’intérêt public (</w:t>
      </w:r>
      <w:r>
        <w:rPr>
          <w:rFonts w:ascii="Calibri" w:cs="Calibri" w:eastAsia="Calibri" w:hAnsi="Calibri"/>
          <w:color w:val="E91E63"/>
          <w:sz w:val="20"/>
          <w:szCs w:val="20"/>
        </w:rPr>
        <w:t xml:space="preserve">CEDH, 17 février 2015, Guseva c. Bulgarie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Intelligence artificielle</w:t>
      </w:r>
      <w:r>
        <w:rPr>
          <w:rFonts w:ascii="Calibri" w:cs="Calibri" w:eastAsia="Calibri" w:hAnsi="Calibri"/>
          <w:color w:val="1A1A1A"/>
          <w:sz w:val="20"/>
          <w:szCs w:val="20"/>
        </w:rPr>
        <w:t xml:space="preserve"> : la directive (UE) 2019/790 autorise la fouille de textes et de données, sauf réserve des titulaires ; le </w:t>
      </w:r>
      <w:r>
        <w:rPr>
          <w:rFonts w:ascii="Calibri" w:cs="Calibri" w:eastAsia="Calibri" w:hAnsi="Calibri"/>
          <w:color w:val="1E88E5"/>
          <w:sz w:val="20"/>
          <w:szCs w:val="20"/>
        </w:rPr>
        <w:t xml:space="preserve">règlement (UE) 2024/1689</w:t>
      </w:r>
      <w:r>
        <w:rPr>
          <w:rFonts w:ascii="Calibri" w:cs="Calibri" w:eastAsia="Calibri" w:hAnsi="Calibri"/>
          <w:color w:val="1A1A1A"/>
          <w:sz w:val="20"/>
          <w:szCs w:val="20"/>
        </w:rPr>
        <w:t xml:space="preserve"> impose aux fournisseurs de modèles d’usage général une transparence sur les contenus d’entraînement ; proposition de loi instaurant une </w:t>
      </w:r>
      <w:r>
        <w:rPr>
          <w:rFonts w:ascii="Calibri" w:cs="Calibri" w:eastAsia="Calibri" w:hAnsi="Calibri"/>
          <w:b/>
          <w:bCs/>
          <w:color w:val="1A1A1A"/>
          <w:sz w:val="20"/>
          <w:szCs w:val="20"/>
        </w:rPr>
        <w:t xml:space="preserve">présomption d’utilisation</w:t>
      </w:r>
      <w:r>
        <w:rPr>
          <w:rFonts w:ascii="Calibri" w:cs="Calibri" w:eastAsia="Calibri" w:hAnsi="Calibri"/>
          <w:color w:val="1A1A1A"/>
          <w:sz w:val="20"/>
          <w:szCs w:val="20"/>
        </w:rPr>
        <w:t xml:space="preserve"> des œuvres par les fournisseurs d’IA, adoptée par le Sénat le 8 avril 2026 (réfragable — compatible avec le droit de l’Union selon le Conseil d’État) — état d’avancement à vérifier.</w:t>
      </w:r>
    </w:p>
    <w:p>
      <w:pPr>
        <w:pStyle w:val="Heading2"/>
        <w:spacing w:after="120" w:before="280"/>
      </w:pPr>
      <w:r>
        <w:rPr>
          <w:rFonts w:ascii="Calibri" w:cs="Calibri" w:eastAsia="Calibri" w:hAnsi="Calibri"/>
          <w:b/>
          <w:bCs/>
          <w:color w:val="1A1A1A"/>
          <w:sz w:val="24"/>
          <w:szCs w:val="24"/>
        </w:rPr>
        <w:t xml:space="preserve">3. La fondamentalisation des droits culturels</w:t>
      </w:r>
    </w:p>
    <w:p>
      <w:pPr>
        <w:pStyle w:val="ListParagraph"/>
        <w:numPr>
          <w:ilvl w:val="0"/>
          <w:numId w:val="2"/>
        </w:numPr>
        <w:spacing w:after="70" w:line="264"/>
        <w:jc w:val="both"/>
      </w:pPr>
      <w:r>
        <w:rPr>
          <w:rFonts w:ascii="Calibri" w:cs="Calibri" w:eastAsia="Calibri" w:hAnsi="Calibri"/>
          <w:b/>
          <w:bCs/>
          <w:color w:val="1A1A1A"/>
          <w:sz w:val="20"/>
          <w:szCs w:val="20"/>
        </w:rPr>
        <w:t xml:space="preserve">Conception anthropologique</w:t>
      </w:r>
      <w:r>
        <w:rPr>
          <w:rFonts w:ascii="Calibri" w:cs="Calibri" w:eastAsia="Calibri" w:hAnsi="Calibri"/>
          <w:color w:val="1A1A1A"/>
          <w:sz w:val="20"/>
          <w:szCs w:val="20"/>
        </w:rPr>
        <w:t xml:space="preserve"> : la culture comme mode de vie, langue, croyances et pratiques (</w:t>
      </w:r>
      <w:r>
        <w:rPr>
          <w:rFonts w:ascii="Calibri" w:cs="Calibri" w:eastAsia="Calibri" w:hAnsi="Calibri"/>
          <w:color w:val="1E88E5"/>
          <w:sz w:val="20"/>
          <w:szCs w:val="20"/>
        </w:rPr>
        <w:t xml:space="preserve">Observation générale n° 21</w:t>
      </w:r>
      <w:r>
        <w:rPr>
          <w:rFonts w:ascii="Calibri" w:cs="Calibri" w:eastAsia="Calibri" w:hAnsi="Calibri"/>
          <w:color w:val="1A1A1A"/>
          <w:sz w:val="20"/>
          <w:szCs w:val="20"/>
        </w:rPr>
        <w:t xml:space="preserve">, 2009 ; </w:t>
      </w:r>
      <w:r>
        <w:rPr>
          <w:rFonts w:ascii="Calibri" w:cs="Calibri" w:eastAsia="Calibri" w:hAnsi="Calibri"/>
          <w:color w:val="1E88E5"/>
          <w:sz w:val="20"/>
          <w:szCs w:val="20"/>
        </w:rPr>
        <w:t xml:space="preserve">Déclaration de Fribourg</w:t>
      </w:r>
      <w:r>
        <w:rPr>
          <w:rFonts w:ascii="Calibri" w:cs="Calibri" w:eastAsia="Calibri" w:hAnsi="Calibri"/>
          <w:color w:val="1A1A1A"/>
          <w:sz w:val="20"/>
          <w:szCs w:val="20"/>
        </w:rPr>
        <w:t xml:space="preserve">) ; droit collectif des peuples autochtones sur leurs terres ancestrales, en raison du lien spirituel et culturel (</w:t>
      </w:r>
      <w:r>
        <w:rPr>
          <w:rFonts w:ascii="Calibri" w:cs="Calibri" w:eastAsia="Calibri" w:hAnsi="Calibri"/>
          <w:color w:val="E91E63"/>
          <w:sz w:val="20"/>
          <w:szCs w:val="20"/>
        </w:rPr>
        <w:t xml:space="preserve">Cour IDH, 31 août 2001, Communauté Mayagna (Sumo) Awas Tingni c. Nicaragua</w:t>
      </w:r>
      <w:r>
        <w:rPr>
          <w:rFonts w:ascii="Calibri" w:cs="Calibri" w:eastAsia="Calibri" w:hAnsi="Calibri"/>
          <w:color w:val="1A1A1A"/>
          <w:sz w:val="20"/>
          <w:szCs w:val="20"/>
        </w:rPr>
        <w:t xml:space="preserve">). Rapporteuse spéciale des Nations unies dans le domaine des droits culturels (</w:t>
      </w:r>
      <w:r>
        <w:rPr>
          <w:rFonts w:ascii="Calibri" w:cs="Calibri" w:eastAsia="Calibri" w:hAnsi="Calibri"/>
          <w:color w:val="2E7D32"/>
          <w:sz w:val="20"/>
          <w:szCs w:val="20"/>
        </w:rPr>
        <w:t xml:space="preserve">Farida Shaheed</w:t>
      </w:r>
      <w:r>
        <w:rPr>
          <w:rFonts w:ascii="Calibri" w:cs="Calibri" w:eastAsia="Calibri" w:hAnsi="Calibri"/>
          <w:color w:val="1A1A1A"/>
          <w:sz w:val="20"/>
          <w:szCs w:val="20"/>
        </w:rPr>
        <w:t xml:space="preserve">, 2011 : droit d’accès au patrimoine culturel).</w:t>
      </w:r>
    </w:p>
    <w:p>
      <w:pPr>
        <w:pStyle w:val="ListParagraph"/>
        <w:numPr>
          <w:ilvl w:val="0"/>
          <w:numId w:val="2"/>
        </w:numPr>
        <w:spacing w:after="70" w:line="264"/>
        <w:jc w:val="both"/>
      </w:pPr>
      <w:r>
        <w:rPr>
          <w:rFonts w:ascii="Calibri" w:cs="Calibri" w:eastAsia="Calibri" w:hAnsi="Calibri"/>
          <w:b/>
          <w:bCs/>
          <w:color w:val="1A1A1A"/>
          <w:sz w:val="20"/>
          <w:szCs w:val="20"/>
        </w:rPr>
        <w:t xml:space="preserve">Restitutions</w:t>
      </w:r>
      <w:r>
        <w:rPr>
          <w:rFonts w:ascii="Calibri" w:cs="Calibri" w:eastAsia="Calibri" w:hAnsi="Calibri"/>
          <w:color w:val="1A1A1A"/>
          <w:sz w:val="20"/>
          <w:szCs w:val="20"/>
        </w:rPr>
        <w:t xml:space="preserve"> : lois d’espèce — Saartjie Baartman (</w:t>
      </w:r>
      <w:r>
        <w:rPr>
          <w:rFonts w:ascii="Calibri" w:cs="Calibri" w:eastAsia="Calibri" w:hAnsi="Calibri"/>
          <w:color w:val="1E88E5"/>
          <w:sz w:val="20"/>
          <w:szCs w:val="20"/>
        </w:rPr>
        <w:t xml:space="preserve">loi du 6 mars 2002</w:t>
      </w:r>
      <w:r>
        <w:rPr>
          <w:rFonts w:ascii="Calibri" w:cs="Calibri" w:eastAsia="Calibri" w:hAnsi="Calibri"/>
          <w:color w:val="1A1A1A"/>
          <w:sz w:val="20"/>
          <w:szCs w:val="20"/>
        </w:rPr>
        <w:t xml:space="preserve">), têtes maories (</w:t>
      </w:r>
      <w:r>
        <w:rPr>
          <w:rFonts w:ascii="Calibri" w:cs="Calibri" w:eastAsia="Calibri" w:hAnsi="Calibri"/>
          <w:color w:val="1E88E5"/>
          <w:sz w:val="20"/>
          <w:szCs w:val="20"/>
        </w:rPr>
        <w:t xml:space="preserve">loi du 18 mai 2010</w:t>
      </w:r>
      <w:r>
        <w:rPr>
          <w:rFonts w:ascii="Calibri" w:cs="Calibri" w:eastAsia="Calibri" w:hAnsi="Calibri"/>
          <w:color w:val="1A1A1A"/>
          <w:sz w:val="20"/>
          <w:szCs w:val="20"/>
        </w:rPr>
        <w:t xml:space="preserve">), Bénin et Sénégal (</w:t>
      </w:r>
      <w:r>
        <w:rPr>
          <w:rFonts w:ascii="Calibri" w:cs="Calibri" w:eastAsia="Calibri" w:hAnsi="Calibri"/>
          <w:color w:val="1E88E5"/>
          <w:sz w:val="20"/>
          <w:szCs w:val="20"/>
        </w:rPr>
        <w:t xml:space="preserve">loi du 24 décembre 2020</w:t>
      </w:r>
      <w:r>
        <w:rPr>
          <w:rFonts w:ascii="Calibri" w:cs="Calibri" w:eastAsia="Calibri" w:hAnsi="Calibri"/>
          <w:color w:val="1A1A1A"/>
          <w:sz w:val="20"/>
          <w:szCs w:val="20"/>
        </w:rPr>
        <w:t xml:space="preserve">) ; lois-cadres — biens culturels spoliés dans le contexte des persécutions antisémites entre 1933 et 1945 (</w:t>
      </w:r>
      <w:r>
        <w:rPr>
          <w:rFonts w:ascii="Calibri" w:cs="Calibri" w:eastAsia="Calibri" w:hAnsi="Calibri"/>
          <w:color w:val="1E88E5"/>
          <w:sz w:val="20"/>
          <w:szCs w:val="20"/>
        </w:rPr>
        <w:t xml:space="preserve">loi du 22 juillet 2023</w:t>
      </w:r>
      <w:r>
        <w:rPr>
          <w:rFonts w:ascii="Calibri" w:cs="Calibri" w:eastAsia="Calibri" w:hAnsi="Calibri"/>
          <w:color w:val="1A1A1A"/>
          <w:sz w:val="20"/>
          <w:szCs w:val="20"/>
        </w:rPr>
        <w:t xml:space="preserve">), restes humains (</w:t>
      </w:r>
      <w:r>
        <w:rPr>
          <w:rFonts w:ascii="Calibri" w:cs="Calibri" w:eastAsia="Calibri" w:hAnsi="Calibri"/>
          <w:color w:val="1E88E5"/>
          <w:sz w:val="20"/>
          <w:szCs w:val="20"/>
        </w:rPr>
        <w:t xml:space="preserve">loi du 26 décembre 2023</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loi du 9 mai 2026</w:t>
      </w:r>
      <w:r>
        <w:rPr>
          <w:rFonts w:ascii="Calibri" w:cs="Calibri" w:eastAsia="Calibri" w:hAnsi="Calibri"/>
          <w:color w:val="1A1A1A"/>
          <w:sz w:val="20"/>
          <w:szCs w:val="20"/>
        </w:rPr>
        <w:t xml:space="preserve"> — demande d’un État, au besoin au nom d’un groupe humain présent sur son territoire ; bien provenant du territoire actuel de l’État demandeur et acquis entre le 20 novembre 1815 et le 23 avril 1972 par vol, pillage, cession ou libéralité obtenue par contrainte ou violence ; avis d’un comité scientifique paritaire et d’une commission nationale ; sortie du domaine public par décret en Conseil d’État.</w:t>
      </w:r>
    </w:p>
    <w:p>
      <w:pPr>
        <w:pStyle w:val="ListParagraph"/>
        <w:numPr>
          <w:ilvl w:val="0"/>
          <w:numId w:val="2"/>
        </w:numPr>
        <w:spacing w:after="70" w:line="264"/>
        <w:jc w:val="both"/>
      </w:pPr>
      <w:r>
        <w:rPr>
          <w:rFonts w:ascii="Calibri" w:cs="Calibri" w:eastAsia="Calibri" w:hAnsi="Calibri"/>
          <w:b/>
          <w:bCs/>
          <w:color w:val="1A1A1A"/>
          <w:sz w:val="20"/>
          <w:szCs w:val="20"/>
        </w:rPr>
        <w:t xml:space="preserve">Démocratisation</w:t>
      </w:r>
      <w:r>
        <w:rPr>
          <w:rFonts w:ascii="Calibri" w:cs="Calibri" w:eastAsia="Calibri" w:hAnsi="Calibri"/>
          <w:color w:val="1A1A1A"/>
          <w:sz w:val="20"/>
          <w:szCs w:val="20"/>
        </w:rPr>
        <w:t xml:space="preserve"> : tarification sociale, éducation artistique et culturelle, accessibilité pour les personnes handicapées ; « Pass Culture » pour les jeunes.</w:t>
      </w:r>
    </w:p>
    <w:p>
      <w:pPr>
        <w:pStyle w:val="Heading2"/>
        <w:spacing w:after="120" w:before="280"/>
      </w:pPr>
      <w:r>
        <w:rPr>
          <w:rFonts w:ascii="Calibri" w:cs="Calibri" w:eastAsia="Calibri" w:hAnsi="Calibri"/>
          <w:b/>
          <w:bCs/>
          <w:color w:val="1A1A1A"/>
          <w:sz w:val="24"/>
          <w:szCs w:val="24"/>
        </w:rPr>
        <w:t xml:space="preserve">4.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Démocratisation ou démocratie culturelle ?</w:t>
      </w:r>
      <w:r>
        <w:rPr>
          <w:rFonts w:ascii="Calibri" w:cs="Calibri" w:eastAsia="Calibri" w:hAnsi="Calibri"/>
          <w:color w:val="1A1A1A"/>
          <w:sz w:val="20"/>
          <w:szCs w:val="20"/>
        </w:rPr>
        <w:t xml:space="preserve"> — le modèle Malraux (diffuser les chefs-d’œuvre) a été critiqué par la sociologie (</w:t>
      </w:r>
      <w:r>
        <w:rPr>
          <w:rFonts w:ascii="Calibri" w:cs="Calibri" w:eastAsia="Calibri" w:hAnsi="Calibri"/>
          <w:color w:val="2E7D32"/>
          <w:sz w:val="20"/>
          <w:szCs w:val="20"/>
        </w:rPr>
        <w:t xml:space="preserve">Pierre Bourdieu</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L’Amour de l’art</w:t>
      </w:r>
      <w:r>
        <w:rPr>
          <w:rFonts w:ascii="Calibri" w:cs="Calibri" w:eastAsia="Calibri" w:hAnsi="Calibri"/>
          <w:color w:val="1A1A1A"/>
          <w:sz w:val="20"/>
          <w:szCs w:val="20"/>
        </w:rPr>
        <w:t xml:space="preserve">, 1966 : les musées restent fréquentés par les classes cultivées) ; la « démocratie culturelle » et les </w:t>
      </w:r>
      <w:r>
        <w:rPr>
          <w:rFonts w:ascii="Calibri" w:cs="Calibri" w:eastAsia="Calibri" w:hAnsi="Calibri"/>
          <w:b/>
          <w:bCs/>
          <w:color w:val="1A1A1A"/>
          <w:sz w:val="20"/>
          <w:szCs w:val="20"/>
        </w:rPr>
        <w:t xml:space="preserve">droits culturels</w:t>
      </w:r>
      <w:r>
        <w:rPr>
          <w:rFonts w:ascii="Calibri" w:cs="Calibri" w:eastAsia="Calibri" w:hAnsi="Calibri"/>
          <w:color w:val="1A1A1A"/>
          <w:sz w:val="20"/>
          <w:szCs w:val="20"/>
        </w:rPr>
        <w:t xml:space="preserve"> valorisent la participation et la pluralité des cultures.</w:t>
      </w:r>
    </w:p>
    <w:p>
      <w:pPr>
        <w:pStyle w:val="ListParagraph"/>
        <w:numPr>
          <w:ilvl w:val="0"/>
          <w:numId w:val="2"/>
        </w:numPr>
        <w:spacing w:after="70" w:line="264"/>
        <w:jc w:val="both"/>
      </w:pPr>
      <w:r>
        <w:rPr>
          <w:rFonts w:ascii="Calibri" w:cs="Calibri" w:eastAsia="Calibri" w:hAnsi="Calibri"/>
          <w:b/>
          <w:bCs/>
          <w:color w:val="1A1A1A"/>
          <w:sz w:val="20"/>
          <w:szCs w:val="20"/>
        </w:rPr>
        <w:t xml:space="preserve">Universalisme et identités</w:t>
      </w:r>
      <w:r>
        <w:rPr>
          <w:rFonts w:ascii="Calibri" w:cs="Calibri" w:eastAsia="Calibri" w:hAnsi="Calibri"/>
          <w:color w:val="1A1A1A"/>
          <w:sz w:val="20"/>
          <w:szCs w:val="20"/>
        </w:rPr>
        <w:t xml:space="preserve"> — les droits culturels collectifs heurtent la conception française de l’indivisibilité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 fiche 44) ; la loi de 2026 les admet sous la forme du </w:t>
      </w:r>
      <w:r>
        <w:rPr>
          <w:rFonts w:ascii="Calibri" w:cs="Calibri" w:eastAsia="Calibri" w:hAnsi="Calibri"/>
          <w:b/>
          <w:bCs/>
          <w:color w:val="1A1A1A"/>
          <w:sz w:val="20"/>
          <w:szCs w:val="20"/>
        </w:rPr>
        <w:t xml:space="preserve">lien</w:t>
      </w:r>
      <w:r>
        <w:rPr>
          <w:rFonts w:ascii="Calibri" w:cs="Calibri" w:eastAsia="Calibri" w:hAnsi="Calibri"/>
          <w:color w:val="1A1A1A"/>
          <w:sz w:val="20"/>
          <w:szCs w:val="20"/>
        </w:rPr>
        <w:t xml:space="preserve"> entre un peuple et son patrimoine, sans reconnaître de droit collectif opposable.</w:t>
      </w:r>
    </w:p>
    <w:p>
      <w:pPr>
        <w:pStyle w:val="ListParagraph"/>
        <w:numPr>
          <w:ilvl w:val="0"/>
          <w:numId w:val="2"/>
        </w:numPr>
        <w:spacing w:after="70" w:line="264"/>
        <w:jc w:val="both"/>
      </w:pPr>
      <w:r>
        <w:rPr>
          <w:rFonts w:ascii="Calibri" w:cs="Calibri" w:eastAsia="Calibri" w:hAnsi="Calibri"/>
          <w:b/>
          <w:bCs/>
          <w:color w:val="1A1A1A"/>
          <w:sz w:val="20"/>
          <w:szCs w:val="20"/>
        </w:rPr>
        <w:t xml:space="preserve">Marchandisation de la culture</w:t>
      </w:r>
      <w:r>
        <w:rPr>
          <w:rFonts w:ascii="Calibri" w:cs="Calibri" w:eastAsia="Calibri" w:hAnsi="Calibri"/>
          <w:color w:val="1A1A1A"/>
          <w:sz w:val="20"/>
          <w:szCs w:val="20"/>
        </w:rPr>
        <w:t xml:space="preserve"> — l’« exception culturelle » française (quotas, prix unique du livre) défend la culture contre la logique du marché ; la jurisprudence de la Cour de justice, centrée sur le droit d’auteur, est jugée peu attentive aux droits culturels.</w:t>
      </w:r>
    </w:p>
    <w:p>
      <w:pPr>
        <w:pStyle w:val="Heading2"/>
        <w:spacing w:after="120" w:before="280"/>
      </w:pPr>
      <w:r>
        <w:rPr>
          <w:rFonts w:ascii="Calibri" w:cs="Calibri" w:eastAsia="Calibri" w:hAnsi="Calibri"/>
          <w:b/>
          <w:bCs/>
          <w:color w:val="1A1A1A"/>
          <w:sz w:val="24"/>
          <w:szCs w:val="24"/>
        </w:rPr>
        <w:t xml:space="preserve">5. Dispositif « Grand Oral »</w:t>
      </w:r>
    </w:p>
    <w:p>
      <w:pPr>
        <w:pStyle w:val="Heading3"/>
        <w:spacing w:after="90" w:before="200"/>
      </w:pPr>
      <w:r>
        <w:rPr>
          <w:rFonts w:ascii="Calibri" w:cs="Calibri" w:eastAsia="Calibri" w:hAnsi="Calibri"/>
          <w:b/>
          <w:bCs/>
          <w:i/>
          <w:iCs/>
          <w:color w:val="5A5A5A"/>
          <w:sz w:val="21"/>
          <w:szCs w:val="21"/>
        </w:rPr>
        <w:t xml:space="preserve">5.1.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Peut-on invoquer l’alinéa 13 pour obtenir la gratuité des musées ? »</w:t>
      </w:r>
      <w:r>
        <w:rPr>
          <w:rFonts w:ascii="Calibri" w:cs="Calibri" w:eastAsia="Calibri" w:hAnsi="Calibri"/>
          <w:color w:val="1A1A1A"/>
          <w:sz w:val="20"/>
          <w:szCs w:val="20"/>
        </w:rPr>
        <w:t xml:space="preserve"> — Non : la jurisprudence n’en a tiré aucun droit subjectif ; il fonde des politiques publiques et justifie des restrictions à d’autres droits.</w:t>
      </w:r>
    </w:p>
    <w:p>
      <w:pPr>
        <w:pStyle w:val="ListParagraph"/>
        <w:numPr>
          <w:ilvl w:val="0"/>
          <w:numId w:val="2"/>
        </w:numPr>
        <w:spacing w:after="70" w:line="264"/>
        <w:jc w:val="both"/>
      </w:pPr>
      <w:r>
        <w:rPr>
          <w:rFonts w:ascii="Calibri" w:cs="Calibri" w:eastAsia="Calibri" w:hAnsi="Calibri"/>
          <w:b/>
          <w:bCs/>
          <w:color w:val="1A1A1A"/>
          <w:sz w:val="20"/>
          <w:szCs w:val="20"/>
        </w:rPr>
        <w:t xml:space="preserve">« Restituer une œuvre, n’est-ce pas violer l’inaliénabilité des collections ? »</w:t>
      </w:r>
      <w:r>
        <w:rPr>
          <w:rFonts w:ascii="Calibri" w:cs="Calibri" w:eastAsia="Calibri" w:hAnsi="Calibri"/>
          <w:color w:val="1A1A1A"/>
          <w:sz w:val="20"/>
          <w:szCs w:val="20"/>
        </w:rPr>
        <w:t xml:space="preserve"> — L’inaliénabilité est un principe législatif, non constitutionnel ; le législateur peut y déroger par loi d’espèce ou loi-cadre (2023, 2026), la sortie du domaine public étant prononcée par décret en Conseil d’État.</w:t>
      </w:r>
    </w:p>
    <w:p>
      <w:pPr>
        <w:pStyle w:val="ListParagraph"/>
        <w:numPr>
          <w:ilvl w:val="0"/>
          <w:numId w:val="2"/>
        </w:numPr>
        <w:spacing w:after="70" w:line="264"/>
        <w:jc w:val="both"/>
      </w:pPr>
      <w:r>
        <w:rPr>
          <w:rFonts w:ascii="Calibri" w:cs="Calibri" w:eastAsia="Calibri" w:hAnsi="Calibri"/>
          <w:b/>
          <w:bCs/>
          <w:color w:val="1A1A1A"/>
          <w:sz w:val="20"/>
          <w:szCs w:val="20"/>
        </w:rPr>
        <w:t xml:space="preserve">« Le droit à la culture protège-t-il les minorités ? »</w:t>
      </w:r>
      <w:r>
        <w:rPr>
          <w:rFonts w:ascii="Calibri" w:cs="Calibri" w:eastAsia="Calibri" w:hAnsi="Calibri"/>
          <w:color w:val="1A1A1A"/>
          <w:sz w:val="20"/>
          <w:szCs w:val="20"/>
        </w:rPr>
        <w:t xml:space="preserve"> — En droit international oui (</w:t>
      </w:r>
      <w:r>
        <w:rPr>
          <w:rFonts w:ascii="Calibri" w:cs="Calibri" w:eastAsia="Calibri" w:hAnsi="Calibri"/>
          <w:color w:val="1E88E5"/>
          <w:sz w:val="20"/>
          <w:szCs w:val="20"/>
        </w:rPr>
        <w:t xml:space="preserve">art. 27 PIDCP</w:t>
      </w:r>
      <w:r>
        <w:rPr>
          <w:rFonts w:ascii="Calibri" w:cs="Calibri" w:eastAsia="Calibri" w:hAnsi="Calibri"/>
          <w:color w:val="1A1A1A"/>
          <w:sz w:val="20"/>
          <w:szCs w:val="20"/>
        </w:rPr>
        <w:t xml:space="preserve">, OG n° 21) ; en droit français, la protection passe par l’individu (non-discrimination, liberté d’expression), non par des droits collectifs (</w:t>
      </w:r>
      <w:r>
        <w:rPr>
          <w:rFonts w:ascii="Calibri" w:cs="Calibri" w:eastAsia="Calibri" w:hAnsi="Calibri"/>
          <w:color w:val="E91E63"/>
          <w:sz w:val="20"/>
          <w:szCs w:val="20"/>
        </w:rPr>
        <w:t xml:space="preserve">99-412 DC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Droit à la culture et droit de la culture (sujet « Pour s’entraîner » du fascicule) — La restitution des biens culturels — Patrimoine et propriété — Culture et numérique — Les droits culturels — Droit d’auteur et accès à la culture — Commentaire : </w:t>
      </w:r>
      <w:r>
        <w:rPr>
          <w:rFonts w:ascii="Calibri" w:cs="Calibri" w:eastAsia="Calibri" w:hAnsi="Calibri"/>
          <w:color w:val="1E88E5"/>
          <w:sz w:val="20"/>
          <w:szCs w:val="20"/>
        </w:rPr>
        <w:t xml:space="preserve">loi du 9 mai 2026</w:t>
      </w:r>
      <w:r>
        <w:rPr>
          <w:rFonts w:ascii="Calibri" w:cs="Calibri" w:eastAsia="Calibri" w:hAnsi="Calibri"/>
          <w:color w:val="1A1A1A"/>
          <w:sz w:val="20"/>
          <w:szCs w:val="20"/>
        </w:rPr>
        <w:t xml:space="preserve"> — Commentaire : </w:t>
      </w:r>
      <w:r>
        <w:rPr>
          <w:rFonts w:ascii="Calibri" w:cs="Calibri" w:eastAsia="Calibri" w:hAnsi="Calibri"/>
          <w:color w:val="E91E63"/>
          <w:sz w:val="20"/>
          <w:szCs w:val="20"/>
        </w:rPr>
        <w:t xml:space="preserve">2013-370 QPC</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5.3.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Quand le ministère des Affaires culturelles a-t-il été créé ?</w:t>
      </w:r>
      <w:r>
        <w:rPr>
          <w:rFonts w:ascii="Calibri" w:cs="Calibri" w:eastAsia="Calibri" w:hAnsi="Calibri"/>
          <w:color w:val="1A1A1A"/>
          <w:sz w:val="20"/>
          <w:szCs w:val="20"/>
        </w:rPr>
        <w:t xml:space="preserve"> — En </w:t>
      </w:r>
      <w:r>
        <w:rPr>
          <w:rFonts w:ascii="Calibri" w:cs="Calibri" w:eastAsia="Calibri" w:hAnsi="Calibri"/>
          <w:b/>
          <w:bCs/>
          <w:color w:val="1A1A1A"/>
          <w:sz w:val="20"/>
          <w:szCs w:val="20"/>
        </w:rPr>
        <w:t xml:space="preserve">1959</w:t>
      </w:r>
      <w:r>
        <w:rPr>
          <w:rFonts w:ascii="Calibri" w:cs="Calibri" w:eastAsia="Calibri" w:hAnsi="Calibri"/>
          <w:color w:val="1A1A1A"/>
          <w:sz w:val="20"/>
          <w:szCs w:val="20"/>
        </w:rPr>
        <w:t xml:space="preserve">, pour </w:t>
      </w:r>
      <w:r>
        <w:rPr>
          <w:rFonts w:ascii="Calibri" w:cs="Calibri" w:eastAsia="Calibri" w:hAnsi="Calibri"/>
          <w:color w:val="2E7D32"/>
          <w:sz w:val="20"/>
          <w:szCs w:val="20"/>
        </w:rPr>
        <w:t xml:space="preserve">André Malraux</w:t>
      </w:r>
      <w:r>
        <w:rPr>
          <w:rFonts w:ascii="Calibri" w:cs="Calibri" w:eastAsia="Calibri" w:hAnsi="Calibri"/>
          <w:color w:val="1A1A1A"/>
          <w:sz w:val="20"/>
          <w:szCs w:val="20"/>
        </w:rPr>
        <w:t xml:space="preserve"> (décret du 24 juillet 1959).</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Convention de 2003 ?</w:t>
      </w:r>
      <w:r>
        <w:rPr>
          <w:rFonts w:ascii="Calibri" w:cs="Calibri" w:eastAsia="Calibri" w:hAnsi="Calibri"/>
          <w:color w:val="1A1A1A"/>
          <w:sz w:val="20"/>
          <w:szCs w:val="20"/>
        </w:rPr>
        <w:t xml:space="preserve"> — La convention de l’UNESCO pour la sauvegarde du patrimoine culturel immatériel (traditions orales, pratiques sociales, savoir-faire) ; le repas gastronomique des Français y est inscrit depuis 2010.</w:t>
      </w:r>
    </w:p>
    <w:p>
      <w:pPr>
        <w:pStyle w:val="ListParagraph"/>
        <w:numPr>
          <w:ilvl w:val="0"/>
          <w:numId w:val="2"/>
        </w:numPr>
        <w:spacing w:after="70" w:line="264"/>
        <w:jc w:val="both"/>
      </w:pPr>
      <w:r>
        <w:rPr>
          <w:rFonts w:ascii="Calibri" w:cs="Calibri" w:eastAsia="Calibri" w:hAnsi="Calibri"/>
          <w:b/>
          <w:bCs/>
          <w:color w:val="1A1A1A"/>
          <w:sz w:val="20"/>
          <w:szCs w:val="20"/>
        </w:rPr>
        <w:t xml:space="preserve">Q. Qui a rédigé le rapport de 2018 sur la restitution du patrimoine africain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Felwine Sarr et Bénédicte Savoy</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La liberté de création est-elle consacrée par la loi ?</w:t>
      </w:r>
      <w:r>
        <w:rPr>
          <w:rFonts w:ascii="Calibri" w:cs="Calibri" w:eastAsia="Calibri" w:hAnsi="Calibri"/>
          <w:color w:val="1A1A1A"/>
          <w:sz w:val="20"/>
          <w:szCs w:val="20"/>
        </w:rPr>
        <w:t xml:space="preserve"> — Oui : « La création artistique est libre » (</w:t>
      </w:r>
      <w:r>
        <w:rPr>
          <w:rFonts w:ascii="Calibri" w:cs="Calibri" w:eastAsia="Calibri" w:hAnsi="Calibri"/>
          <w:color w:val="1E88E5"/>
          <w:sz w:val="20"/>
          <w:szCs w:val="20"/>
        </w:rPr>
        <w:t xml:space="preserve">art. 1er loi du 7 juillet 2016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Qu’est-ce que la licence légale ?</w:t>
      </w:r>
      <w:r>
        <w:rPr>
          <w:rFonts w:ascii="Calibri" w:cs="Calibri" w:eastAsia="Calibri" w:hAnsi="Calibri"/>
          <w:color w:val="1A1A1A"/>
          <w:sz w:val="20"/>
          <w:szCs w:val="20"/>
        </w:rPr>
        <w:t xml:space="preserve"> — Un mécanisme permettant la diffusion de phonogrammes sans autorisation des ayants droit, en contrepartie d’une rémunération équitable (</w:t>
      </w:r>
      <w:r>
        <w:rPr>
          <w:rFonts w:ascii="Calibri" w:cs="Calibri" w:eastAsia="Calibri" w:hAnsi="Calibri"/>
          <w:color w:val="1E88E5"/>
          <w:sz w:val="20"/>
          <w:szCs w:val="20"/>
        </w:rPr>
        <w:t xml:space="preserve">art. L. 214-1 CPI</w:t>
      </w:r>
      <w:r>
        <w:rPr>
          <w:rFonts w:ascii="Calibri" w:cs="Calibri" w:eastAsia="Calibri" w:hAnsi="Calibri"/>
          <w:color w:val="1A1A1A"/>
          <w:sz w:val="20"/>
          <w:szCs w:val="20"/>
        </w:rPr>
        <w:t xml:space="preserve">).</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FICHE N° 53 — LE DROIT D’ASILE</w:t>
      </w:r>
    </w:p>
    <w:p>
      <w:pPr>
        <w:pStyle w:val="Heading2"/>
        <w:spacing w:after="120" w:before="280"/>
      </w:pPr>
      <w:r>
        <w:rPr>
          <w:rFonts w:ascii="Calibri" w:cs="Calibri" w:eastAsia="Calibri" w:hAnsi="Calibri"/>
          <w:b/>
          <w:bCs/>
          <w:color w:val="1A1A1A"/>
          <w:sz w:val="24"/>
          <w:szCs w:val="24"/>
        </w:rPr>
        <w:t xml:space="preserve">◆ FICHE-MÉMOIRE — à réviser en trois minutes</w:t>
      </w:r>
    </w:p>
    <w:p>
      <w:pPr>
        <w:pStyle w:val="Heading3"/>
        <w:spacing w:after="90" w:before="200"/>
      </w:pPr>
      <w:r>
        <w:rPr>
          <w:rFonts w:ascii="Calibri" w:cs="Calibri" w:eastAsia="Calibri" w:hAnsi="Calibri"/>
          <w:b/>
          <w:bCs/>
          <w:i/>
          <w:iCs/>
          <w:color w:val="5A5A5A"/>
          <w:sz w:val="21"/>
          <w:szCs w:val="21"/>
        </w:rPr>
        <w:t xml:space="preserve">Accroche</w:t>
      </w:r>
    </w:p>
    <w:p>
      <w:pPr>
        <w:pStyle w:val="ListParagraph"/>
        <w:numPr>
          <w:ilvl w:val="0"/>
          <w:numId w:val="2"/>
        </w:numPr>
        <w:spacing w:after="70" w:line="264"/>
        <w:jc w:val="both"/>
      </w:pPr>
      <w:r>
        <w:rPr>
          <w:rFonts w:ascii="Calibri" w:cs="Calibri" w:eastAsia="Calibri" w:hAnsi="Calibri"/>
          <w:color w:val="1A1A1A"/>
          <w:sz w:val="20"/>
          <w:szCs w:val="20"/>
        </w:rPr>
        <w:t xml:space="preserve">« Le peuple français donne asile aux étrangers bannis de leur patrie pour la cause de la liberté. Il le refuse aux tyrans » (</w:t>
      </w:r>
      <w:r>
        <w:rPr>
          <w:rFonts w:ascii="Calibri" w:cs="Calibri" w:eastAsia="Calibri" w:hAnsi="Calibri"/>
          <w:color w:val="1E88E5"/>
          <w:sz w:val="20"/>
          <w:szCs w:val="20"/>
        </w:rPr>
        <w:t xml:space="preserve">art. 120 Constitution du 24 juin 1793</w:t>
      </w:r>
      <w:r>
        <w:rPr>
          <w:rFonts w:ascii="Calibri" w:cs="Calibri" w:eastAsia="Calibri" w:hAnsi="Calibri"/>
          <w:color w:val="1A1A1A"/>
          <w:sz w:val="20"/>
          <w:szCs w:val="20"/>
        </w:rPr>
        <w:t xml:space="preserve">). L’</w:t>
      </w:r>
      <w:r>
        <w:rPr>
          <w:rFonts w:ascii="Calibri" w:cs="Calibri" w:eastAsia="Calibri" w:hAnsi="Calibri"/>
          <w:color w:val="1E88E5"/>
          <w:sz w:val="20"/>
          <w:szCs w:val="20"/>
        </w:rPr>
        <w:t xml:space="preserve">alinéa 4 du Préambule de 1946</w:t>
      </w:r>
      <w:r>
        <w:rPr>
          <w:rFonts w:ascii="Calibri" w:cs="Calibri" w:eastAsia="Calibri" w:hAnsi="Calibri"/>
          <w:color w:val="1A1A1A"/>
          <w:sz w:val="20"/>
          <w:szCs w:val="20"/>
        </w:rPr>
        <w:t xml:space="preserve"> en hérite. Le 13 août 1993, le Conseil constitutionnel en tire le droit pour tout demandeur de demeurer sur le territoire jusqu’à ce qu’il soit statué sur sa demande ; trois mois plus tard, le constituant révise la Constitution pour le contourner (</w:t>
      </w:r>
      <w:r>
        <w:rPr>
          <w:rFonts w:ascii="Calibri" w:cs="Calibri" w:eastAsia="Calibri" w:hAnsi="Calibri"/>
          <w:color w:val="1E88E5"/>
          <w:sz w:val="20"/>
          <w:szCs w:val="20"/>
        </w:rPr>
        <w:t xml:space="preserve">art. 53-1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constitutionnelle du 25 novembre 1993</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L’asile est le droit où le juge et le constituant se sont le plus directement affrontés.</w:t>
      </w:r>
    </w:p>
    <w:p>
      <w:pPr>
        <w:pStyle w:val="ListParagraph"/>
        <w:numPr>
          <w:ilvl w:val="0"/>
          <w:numId w:val="2"/>
        </w:numPr>
        <w:spacing w:after="70" w:line="264"/>
        <w:jc w:val="both"/>
      </w:pPr>
      <w:r>
        <w:rPr>
          <w:rFonts w:ascii="Calibri" w:cs="Calibri" w:eastAsia="Calibri" w:hAnsi="Calibri"/>
          <w:color w:val="1A1A1A"/>
          <w:sz w:val="20"/>
          <w:szCs w:val="20"/>
        </w:rPr>
        <w:t xml:space="preserve">Accroche alternative : depuis juin 2026, le </w:t>
      </w:r>
      <w:r>
        <w:rPr>
          <w:rFonts w:ascii="Calibri" w:cs="Calibri" w:eastAsia="Calibri" w:hAnsi="Calibri"/>
          <w:b/>
          <w:bCs/>
          <w:color w:val="1A1A1A"/>
          <w:sz w:val="20"/>
          <w:szCs w:val="20"/>
        </w:rPr>
        <w:t xml:space="preserve">Pacte européen sur la migration et l’asile</w:t>
      </w:r>
      <w:r>
        <w:rPr>
          <w:rFonts w:ascii="Calibri" w:cs="Calibri" w:eastAsia="Calibri" w:hAnsi="Calibri"/>
          <w:color w:val="1A1A1A"/>
          <w:sz w:val="20"/>
          <w:szCs w:val="20"/>
        </w:rPr>
        <w:t xml:space="preserve"> est applicable — filtrage, procédure à la frontière, liste européenne des pays d’origine sûrs (</w:t>
      </w:r>
      <w:r>
        <w:rPr>
          <w:rFonts w:ascii="Calibri" w:cs="Calibri" w:eastAsia="Calibri" w:hAnsi="Calibri"/>
          <w:color w:val="1E88E5"/>
          <w:sz w:val="20"/>
          <w:szCs w:val="20"/>
        </w:rPr>
        <w:t xml:space="preserve">règlement (UE) 2026/464</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L’asile, longtemps droit national, est devenu un droit procédural européen.</w:t>
      </w:r>
    </w:p>
    <w:p>
      <w:pPr>
        <w:pStyle w:val="Heading3"/>
        <w:spacing w:after="90" w:before="200"/>
      </w:pPr>
      <w:r>
        <w:rPr>
          <w:rFonts w:ascii="Calibri" w:cs="Calibri" w:eastAsia="Calibri" w:hAnsi="Calibri"/>
          <w:b/>
          <w:bCs/>
          <w:i/>
          <w:iCs/>
          <w:color w:val="5A5A5A"/>
          <w:sz w:val="21"/>
          <w:szCs w:val="21"/>
        </w:rPr>
        <w:t xml:space="preserve">Définition en trois lignes</w:t>
      </w:r>
    </w:p>
    <w:p>
      <w:pPr>
        <w:pStyle w:val="ListParagraph"/>
        <w:numPr>
          <w:ilvl w:val="0"/>
          <w:numId w:val="2"/>
        </w:numPr>
        <w:spacing w:after="70" w:line="264"/>
        <w:jc w:val="both"/>
      </w:pPr>
      <w:r>
        <w:rPr>
          <w:rFonts w:ascii="Calibri" w:cs="Calibri" w:eastAsia="Calibri" w:hAnsi="Calibri"/>
          <w:color w:val="1A1A1A"/>
          <w:sz w:val="20"/>
          <w:szCs w:val="20"/>
        </w:rPr>
        <w:t xml:space="preserve">Le droit d’asile est le droit pour une personne persécutée ou menacée dans son pays d’obtenir la protection d’un autre État ; en France, trois titres : le statut de </w:t>
      </w:r>
      <w:r>
        <w:rPr>
          <w:rFonts w:ascii="Calibri" w:cs="Calibri" w:eastAsia="Calibri" w:hAnsi="Calibri"/>
          <w:b/>
          <w:bCs/>
          <w:color w:val="1A1A1A"/>
          <w:sz w:val="20"/>
          <w:szCs w:val="20"/>
        </w:rPr>
        <w:t xml:space="preserve">réfugié conventionnel</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1er A 2 Convention de Genève</w:t>
      </w:r>
      <w:r>
        <w:rPr>
          <w:rFonts w:ascii="Calibri" w:cs="Calibri" w:eastAsia="Calibri" w:hAnsi="Calibri"/>
          <w:color w:val="1A1A1A"/>
          <w:sz w:val="20"/>
          <w:szCs w:val="20"/>
        </w:rPr>
        <w:t xml:space="preserve">), le statut de </w:t>
      </w:r>
      <w:r>
        <w:rPr>
          <w:rFonts w:ascii="Calibri" w:cs="Calibri" w:eastAsia="Calibri" w:hAnsi="Calibri"/>
          <w:b/>
          <w:bCs/>
          <w:color w:val="1A1A1A"/>
          <w:sz w:val="20"/>
          <w:szCs w:val="20"/>
        </w:rPr>
        <w:t xml:space="preserve">réfugié constitutionnel</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4 Préambule 1946</w:t>
      </w:r>
      <w:r>
        <w:rPr>
          <w:rFonts w:ascii="Calibri" w:cs="Calibri" w:eastAsia="Calibri" w:hAnsi="Calibri"/>
          <w:color w:val="1A1A1A"/>
          <w:sz w:val="20"/>
          <w:szCs w:val="20"/>
        </w:rPr>
        <w:t xml:space="preserve">) et la </w:t>
      </w:r>
      <w:r>
        <w:rPr>
          <w:rFonts w:ascii="Calibri" w:cs="Calibri" w:eastAsia="Calibri" w:hAnsi="Calibri"/>
          <w:b/>
          <w:bCs/>
          <w:color w:val="1A1A1A"/>
          <w:sz w:val="20"/>
          <w:szCs w:val="20"/>
        </w:rPr>
        <w:t xml:space="preserve">protection subsidiaire</w:t>
      </w:r>
      <w:r>
        <w:rPr>
          <w:rFonts w:ascii="Calibri" w:cs="Calibri" w:eastAsia="Calibri" w:hAnsi="Calibri"/>
          <w:color w:val="1A1A1A"/>
          <w:sz w:val="20"/>
          <w:szCs w:val="20"/>
        </w:rPr>
        <w:t xml:space="preserve"> (droit de l’Union).</w:t>
      </w:r>
    </w:p>
    <w:p>
      <w:pPr>
        <w:pStyle w:val="ListParagraph"/>
        <w:numPr>
          <w:ilvl w:val="0"/>
          <w:numId w:val="2"/>
        </w:numPr>
        <w:spacing w:after="70" w:line="264"/>
        <w:jc w:val="both"/>
      </w:pPr>
      <w:r>
        <w:rPr>
          <w:rFonts w:ascii="Calibri" w:cs="Calibri" w:eastAsia="Calibri" w:hAnsi="Calibri"/>
          <w:color w:val="1A1A1A"/>
          <w:sz w:val="20"/>
          <w:szCs w:val="20"/>
        </w:rPr>
        <w:t xml:space="preserve">Le demandeur bénéficie d’un </w:t>
      </w:r>
      <w:r>
        <w:rPr>
          <w:rFonts w:ascii="Calibri" w:cs="Calibri" w:eastAsia="Calibri" w:hAnsi="Calibri"/>
          <w:b/>
          <w:bCs/>
          <w:color w:val="1A1A1A"/>
          <w:sz w:val="20"/>
          <w:szCs w:val="20"/>
        </w:rPr>
        <w:t xml:space="preserve">droit au maintien</w:t>
      </w:r>
      <w:r>
        <w:rPr>
          <w:rFonts w:ascii="Calibri" w:cs="Calibri" w:eastAsia="Calibri" w:hAnsi="Calibri"/>
          <w:color w:val="1A1A1A"/>
          <w:sz w:val="20"/>
          <w:szCs w:val="20"/>
        </w:rPr>
        <w:t xml:space="preserve"> sur le territoire pendant l’examen, de conditions matérielles d’accueil et d’un recours devant la </w:t>
      </w:r>
      <w:r>
        <w:rPr>
          <w:rFonts w:ascii="Calibri" w:cs="Calibri" w:eastAsia="Calibri" w:hAnsi="Calibri"/>
          <w:b/>
          <w:bCs/>
          <w:color w:val="1A1A1A"/>
          <w:sz w:val="20"/>
          <w:szCs w:val="20"/>
        </w:rPr>
        <w:t xml:space="preserve">Cour nationale du droit d’asile</w:t>
      </w:r>
      <w:r>
        <w:rPr>
          <w:rFonts w:ascii="Calibri" w:cs="Calibri" w:eastAsia="Calibri" w:hAnsi="Calibri"/>
          <w:color w:val="1A1A1A"/>
          <w:sz w:val="20"/>
          <w:szCs w:val="20"/>
        </w:rPr>
        <w:t xml:space="preserve"> ; la protection est assortie du </w:t>
      </w:r>
      <w:r>
        <w:rPr>
          <w:rFonts w:ascii="Calibri" w:cs="Calibri" w:eastAsia="Calibri" w:hAnsi="Calibri"/>
          <w:b/>
          <w:bCs/>
          <w:color w:val="1A1A1A"/>
          <w:sz w:val="20"/>
          <w:szCs w:val="20"/>
        </w:rPr>
        <w:t xml:space="preserve">non-refoulement</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33 Convention de Genève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3 CEDH</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Les cinq références incontournables</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4 Préambule 1946</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53-1 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de Genève du 28 juillet 1951</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Protocole de New York (1967)</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14 DUDH</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18 et 19 CDFUE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78 TFUE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livre V CESEDA</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déc. n° 93-325 DC, 13 août 1993, Maîtrise de l’immigration</w:t>
      </w:r>
      <w:r>
        <w:rPr>
          <w:rFonts w:ascii="Calibri" w:cs="Calibri" w:eastAsia="Calibri" w:hAnsi="Calibri"/>
          <w:color w:val="1A1A1A"/>
          <w:sz w:val="20"/>
          <w:szCs w:val="20"/>
        </w:rPr>
        <w:t xml:space="preserve"> : le droit d’asile est un principe de valeur constitutionnelle qui implique l’autorisation de demeurer provisoirement jusqu’à ce qu’il soit statué — sujet « Pour s’entraîner ».</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21 janvier 2011, M.S.S. c. Belgique et Grèce</w:t>
      </w:r>
      <w:r>
        <w:rPr>
          <w:rFonts w:ascii="Calibri" w:cs="Calibri" w:eastAsia="Calibri" w:hAnsi="Calibri"/>
          <w:color w:val="1A1A1A"/>
          <w:sz w:val="20"/>
          <w:szCs w:val="20"/>
        </w:rPr>
        <w:t xml:space="preserve"> : le transfert « Dublin » vers un État aux défaillances systémiques d’accueil viole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 la confiance mutuelle n’est pas aveugle.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[GC], 23 février 2012, Hirsi Jamaa c. Italie</w:t>
      </w:r>
      <w:r>
        <w:rPr>
          <w:rFonts w:ascii="Calibri" w:cs="Calibri" w:eastAsia="Calibri" w:hAnsi="Calibri"/>
          <w:color w:val="1A1A1A"/>
          <w:sz w:val="20"/>
          <w:szCs w:val="20"/>
        </w:rPr>
        <w:t xml:space="preserve"> : le refoulement en haute mer vers la Libye viole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et l’interdiction des expulsions collectives (</w:t>
      </w:r>
      <w:r>
        <w:rPr>
          <w:rFonts w:ascii="Calibri" w:cs="Calibri" w:eastAsia="Calibri" w:hAnsi="Calibri"/>
          <w:color w:val="1E88E5"/>
          <w:sz w:val="20"/>
          <w:szCs w:val="20"/>
        </w:rPr>
        <w:t xml:space="preserve">art. 4 Prot. 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17 février 2009, Elgafaji, C-465/07</w:t>
      </w:r>
      <w:r>
        <w:rPr>
          <w:rFonts w:ascii="Calibri" w:cs="Calibri" w:eastAsia="Calibri" w:hAnsi="Calibri"/>
          <w:color w:val="1A1A1A"/>
          <w:sz w:val="20"/>
          <w:szCs w:val="20"/>
        </w:rPr>
        <w:t xml:space="preserve"> : la violence aveugle d’intensité exceptionnelle dispense d’individualiser la menace pour la protection subsidiaire.</w:t>
      </w:r>
    </w:p>
    <w:p>
      <w:pPr>
        <w:pStyle w:val="Heading3"/>
        <w:spacing w:after="90" w:before="200"/>
      </w:pPr>
      <w:r>
        <w:rPr>
          <w:rFonts w:ascii="Calibri" w:cs="Calibri" w:eastAsia="Calibri" w:hAnsi="Calibri"/>
          <w:b/>
          <w:bCs/>
          <w:i/>
          <w:iCs/>
          <w:color w:val="5A5A5A"/>
          <w:sz w:val="21"/>
          <w:szCs w:val="21"/>
        </w:rPr>
        <w:t xml:space="preserve">Deux matrices de plan</w:t>
      </w:r>
    </w:p>
    <w:p>
      <w:pPr>
        <w:pStyle w:val="ListParagraph"/>
        <w:numPr>
          <w:ilvl w:val="0"/>
          <w:numId w:val="2"/>
        </w:numPr>
        <w:spacing w:after="70" w:line="264"/>
        <w:jc w:val="both"/>
      </w:pPr>
      <w:r>
        <w:rPr>
          <w:rFonts w:ascii="Calibri" w:cs="Calibri" w:eastAsia="Calibri" w:hAnsi="Calibri"/>
          <w:b/>
          <w:bCs/>
          <w:color w:val="1A1A1A"/>
          <w:sz w:val="20"/>
          <w:szCs w:val="20"/>
        </w:rPr>
        <w:t xml:space="preserve">Sujet « Le droit d’asile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I. Un droit aux sources plurielles</w:t>
      </w:r>
      <w:r>
        <w:rPr>
          <w:rFonts w:ascii="Calibri" w:cs="Calibri" w:eastAsia="Calibri" w:hAnsi="Calibri"/>
          <w:color w:val="1A1A1A"/>
          <w:sz w:val="20"/>
          <w:szCs w:val="20"/>
        </w:rPr>
        <w:t xml:space="preserve"> (A. Asile conventionnel et constitutionnel : Genève, </w:t>
      </w:r>
      <w:r>
        <w:rPr>
          <w:rFonts w:ascii="Calibri" w:cs="Calibri" w:eastAsia="Calibri" w:hAnsi="Calibri"/>
          <w:color w:val="1E88E5"/>
          <w:sz w:val="20"/>
          <w:szCs w:val="20"/>
        </w:rPr>
        <w:t xml:space="preserve">al. 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 B. Protection subsidiaire et européanisation : </w:t>
      </w:r>
      <w:r>
        <w:rPr>
          <w:rFonts w:ascii="Calibri" w:cs="Calibri" w:eastAsia="Calibri" w:hAnsi="Calibri"/>
          <w:color w:val="1E88E5"/>
          <w:sz w:val="20"/>
          <w:szCs w:val="20"/>
        </w:rPr>
        <w:t xml:space="preserve">directive 2011/95</w:t>
      </w:r>
      <w:r>
        <w:rPr>
          <w:rFonts w:ascii="Calibri" w:cs="Calibri" w:eastAsia="Calibri" w:hAnsi="Calibri"/>
          <w:color w:val="1A1A1A"/>
          <w:sz w:val="20"/>
          <w:szCs w:val="20"/>
        </w:rPr>
        <w:t xml:space="preserve">, Pacte de 2024) / </w:t>
      </w:r>
      <w:r>
        <w:rPr>
          <w:rFonts w:ascii="Calibri" w:cs="Calibri" w:eastAsia="Calibri" w:hAnsi="Calibri"/>
          <w:b/>
          <w:bCs/>
          <w:color w:val="1A1A1A"/>
          <w:sz w:val="20"/>
          <w:szCs w:val="20"/>
        </w:rPr>
        <w:t xml:space="preserve">II. Un droit procéduralisé et encadré</w:t>
      </w:r>
      <w:r>
        <w:rPr>
          <w:rFonts w:ascii="Calibri" w:cs="Calibri" w:eastAsia="Calibri" w:hAnsi="Calibri"/>
          <w:color w:val="1A1A1A"/>
          <w:sz w:val="20"/>
          <w:szCs w:val="20"/>
        </w:rPr>
        <w:t xml:space="preserve"> (A. Procédures : OFPRA, CNDA, procédure accélérée, pays d’origine sûrs (</w:t>
      </w:r>
      <w:r>
        <w:rPr>
          <w:rFonts w:ascii="Calibri" w:cs="Calibri" w:eastAsia="Calibri" w:hAnsi="Calibri"/>
          <w:color w:val="1E88E5"/>
          <w:sz w:val="20"/>
          <w:szCs w:val="20"/>
        </w:rPr>
        <w:t xml:space="preserve">règlement 2026/464</w:t>
      </w:r>
      <w:r>
        <w:rPr>
          <w:rFonts w:ascii="Calibri" w:cs="Calibri" w:eastAsia="Calibri" w:hAnsi="Calibri"/>
          <w:color w:val="1A1A1A"/>
          <w:sz w:val="20"/>
          <w:szCs w:val="20"/>
        </w:rPr>
        <w:t xml:space="preserve">), Dublin ; B. Garanties : maintien, accueil (</w:t>
      </w:r>
      <w:r>
        <w:rPr>
          <w:rFonts w:ascii="Calibri" w:cs="Calibri" w:eastAsia="Calibri" w:hAnsi="Calibri"/>
          <w:color w:val="E91E63"/>
          <w:sz w:val="20"/>
          <w:szCs w:val="20"/>
        </w:rPr>
        <w:t xml:space="preserve">N.H. c. France</w:t>
      </w:r>
      <w:r>
        <w:rPr>
          <w:rFonts w:ascii="Calibri" w:cs="Calibri" w:eastAsia="Calibri" w:hAnsi="Calibri"/>
          <w:color w:val="1A1A1A"/>
          <w:sz w:val="20"/>
          <w:szCs w:val="20"/>
        </w:rPr>
        <w:t xml:space="preserve">), recours effectif (</w:t>
      </w:r>
      <w:r>
        <w:rPr>
          <w:rFonts w:ascii="Calibri" w:cs="Calibri" w:eastAsia="Calibri" w:hAnsi="Calibri"/>
          <w:color w:val="E91E63"/>
          <w:sz w:val="20"/>
          <w:szCs w:val="20"/>
        </w:rPr>
        <w:t xml:space="preserve">Gebremedhin</w:t>
      </w:r>
      <w:r>
        <w:rPr>
          <w:rFonts w:ascii="Calibri" w:cs="Calibri" w:eastAsia="Calibri" w:hAnsi="Calibri"/>
          <w:color w:val="1A1A1A"/>
          <w:sz w:val="20"/>
          <w:szCs w:val="20"/>
        </w:rPr>
        <w:t xml:space="preserve">), non-refoulement).</w:t>
      </w:r>
    </w:p>
    <w:p>
      <w:pPr>
        <w:pStyle w:val="ListParagraph"/>
        <w:numPr>
          <w:ilvl w:val="0"/>
          <w:numId w:val="2"/>
        </w:numPr>
        <w:spacing w:after="70" w:line="264"/>
        <w:jc w:val="both"/>
      </w:pPr>
      <w:r>
        <w:rPr>
          <w:rFonts w:ascii="Calibri" w:cs="Calibri" w:eastAsia="Calibri" w:hAnsi="Calibri"/>
          <w:b/>
          <w:bCs/>
          <w:color w:val="1A1A1A"/>
          <w:sz w:val="20"/>
          <w:szCs w:val="20"/>
        </w:rPr>
        <w:t xml:space="preserve">Commentaire de 93-325 DC</w:t>
      </w:r>
      <w:r>
        <w:rPr>
          <w:rFonts w:ascii="Calibri" w:cs="Calibri" w:eastAsia="Calibri" w:hAnsi="Calibri"/>
          <w:color w:val="1A1A1A"/>
          <w:sz w:val="20"/>
          <w:szCs w:val="20"/>
        </w:rPr>
        <w:t xml:space="preserve"> (sujet « Pour s’entraîner ») — </w:t>
      </w:r>
      <w:r>
        <w:rPr>
          <w:rFonts w:ascii="Calibri" w:cs="Calibri" w:eastAsia="Calibri" w:hAnsi="Calibri"/>
          <w:b/>
          <w:bCs/>
          <w:color w:val="1A1A1A"/>
          <w:sz w:val="20"/>
          <w:szCs w:val="20"/>
        </w:rPr>
        <w:t xml:space="preserve">I. La reconnaissance d’un statut constitutionnel de l’étranger</w:t>
      </w:r>
      <w:r>
        <w:rPr>
          <w:rFonts w:ascii="Calibri" w:cs="Calibri" w:eastAsia="Calibri" w:hAnsi="Calibri"/>
          <w:color w:val="1A1A1A"/>
          <w:sz w:val="20"/>
          <w:szCs w:val="20"/>
        </w:rPr>
        <w:t xml:space="preserve"> (A. Pas de droit général d’accès et de séjour ; B. Mais des libertés et droits fondamentaux reconnus à tous ceux qui résident sur le territoire : liberté individuelle, aller et venir, mariage, vie familiale normale, protection sociale, recours) / </w:t>
      </w:r>
      <w:r>
        <w:rPr>
          <w:rFonts w:ascii="Calibri" w:cs="Calibri" w:eastAsia="Calibri" w:hAnsi="Calibri"/>
          <w:b/>
          <w:bCs/>
          <w:color w:val="1A1A1A"/>
          <w:sz w:val="20"/>
          <w:szCs w:val="20"/>
        </w:rPr>
        <w:t xml:space="preserve">II. La consécration du droit d’asile et sa remise en cause</w:t>
      </w:r>
      <w:r>
        <w:rPr>
          <w:rFonts w:ascii="Calibri" w:cs="Calibri" w:eastAsia="Calibri" w:hAnsi="Calibri"/>
          <w:color w:val="1A1A1A"/>
          <w:sz w:val="20"/>
          <w:szCs w:val="20"/>
        </w:rPr>
        <w:t xml:space="preserve"> (A. Le droit au maintien provisoire et l’examen par la France ; B. La riposte du constituant : </w:t>
      </w:r>
      <w:r>
        <w:rPr>
          <w:rFonts w:ascii="Calibri" w:cs="Calibri" w:eastAsia="Calibri" w:hAnsi="Calibri"/>
          <w:color w:val="1E88E5"/>
          <w:sz w:val="20"/>
          <w:szCs w:val="20"/>
        </w:rPr>
        <w:t xml:space="preserve">art. 53-1</w:t>
      </w:r>
      <w:r>
        <w:rPr>
          <w:rFonts w:ascii="Calibri" w:cs="Calibri" w:eastAsia="Calibri" w:hAnsi="Calibri"/>
          <w:color w:val="1A1A1A"/>
          <w:sz w:val="20"/>
          <w:szCs w:val="20"/>
        </w:rPr>
        <w:t xml:space="preserve"> et les accords européens).</w:t>
      </w:r>
    </w:p>
    <w:p>
      <w:pPr>
        <w:pStyle w:val="Heading3"/>
        <w:spacing w:after="90" w:before="200"/>
      </w:pPr>
      <w:r>
        <w:rPr>
          <w:rFonts w:ascii="Calibri" w:cs="Calibri" w:eastAsia="Calibri" w:hAnsi="Calibri"/>
          <w:b/>
          <w:bCs/>
          <w:i/>
          <w:iCs/>
          <w:color w:val="5A5A5A"/>
          <w:sz w:val="21"/>
          <w:szCs w:val="21"/>
        </w:rPr>
        <w:t xml:space="preserve">Trois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Asile constitutionnel ≠ asile conventionnel</w:t>
      </w:r>
      <w:r>
        <w:rPr>
          <w:rFonts w:ascii="Calibri" w:cs="Calibri" w:eastAsia="Calibri" w:hAnsi="Calibri"/>
          <w:color w:val="1A1A1A"/>
          <w:sz w:val="20"/>
          <w:szCs w:val="20"/>
        </w:rPr>
        <w:t xml:space="preserve"> : l’asile constitutionnel exige une persécution du fait d’une </w:t>
      </w:r>
      <w:r>
        <w:rPr>
          <w:rFonts w:ascii="Calibri" w:cs="Calibri" w:eastAsia="Calibri" w:hAnsi="Calibri"/>
          <w:b/>
          <w:bCs/>
          <w:color w:val="1A1A1A"/>
          <w:sz w:val="20"/>
          <w:szCs w:val="20"/>
        </w:rPr>
        <w:t xml:space="preserve">action en faveur de la liberté</w:t>
      </w:r>
      <w:r>
        <w:rPr>
          <w:rFonts w:ascii="Calibri" w:cs="Calibri" w:eastAsia="Calibri" w:hAnsi="Calibri"/>
          <w:color w:val="1A1A1A"/>
          <w:sz w:val="20"/>
          <w:szCs w:val="20"/>
        </w:rPr>
        <w:t xml:space="preserve"> (militantisme, engagement) ; l’asile conventionnel vise une crainte de persécution pour l’un des cinq motifs (race, religion, nationalité, groupe social, opinions politiques). Les deux ouvrent le même statut de réfugié.</w:t>
      </w:r>
    </w:p>
    <w:p>
      <w:pPr>
        <w:pStyle w:val="ListParagraph"/>
        <w:numPr>
          <w:ilvl w:val="0"/>
          <w:numId w:val="2"/>
        </w:numPr>
        <w:spacing w:after="70" w:line="264"/>
        <w:jc w:val="both"/>
      </w:pPr>
      <w:r>
        <w:rPr>
          <w:rFonts w:ascii="Calibri" w:cs="Calibri" w:eastAsia="Calibri" w:hAnsi="Calibri"/>
          <w:b/>
          <w:bCs/>
          <w:color w:val="1A1A1A"/>
          <w:sz w:val="20"/>
          <w:szCs w:val="20"/>
        </w:rPr>
        <w:t xml:space="preserve">Base de la protection subsidiaire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directive 2004/83/CE du 29 avril 2004</w:t>
      </w:r>
      <w:r>
        <w:rPr>
          <w:rFonts w:ascii="Calibri" w:cs="Calibri" w:eastAsia="Calibri" w:hAnsi="Calibri"/>
          <w:color w:val="1A1A1A"/>
          <w:sz w:val="20"/>
          <w:szCs w:val="20"/>
        </w:rPr>
        <w:t xml:space="preserve"> (« qualification »), refondue par la </w:t>
      </w:r>
      <w:r>
        <w:rPr>
          <w:rFonts w:ascii="Calibri" w:cs="Calibri" w:eastAsia="Calibri" w:hAnsi="Calibri"/>
          <w:color w:val="1E88E5"/>
          <w:sz w:val="20"/>
          <w:szCs w:val="20"/>
        </w:rPr>
        <w:t xml:space="preserve">directive 2011/95/UE</w:t>
      </w:r>
      <w:r>
        <w:rPr>
          <w:rFonts w:ascii="Calibri" w:cs="Calibri" w:eastAsia="Calibri" w:hAnsi="Calibri"/>
          <w:color w:val="1A1A1A"/>
          <w:sz w:val="20"/>
          <w:szCs w:val="20"/>
        </w:rPr>
        <w:t xml:space="preserve"> — non la directive 2003/9 (accueil) ; troisième cas : menace grave et individuelle en raison d’une violence aveugle résultant d’un conflit armé </w:t>
      </w:r>
      <w:r>
        <w:rPr>
          <w:rFonts w:ascii="Calibri" w:cs="Calibri" w:eastAsia="Calibri" w:hAnsi="Calibri"/>
          <w:b/>
          <w:bCs/>
          <w:color w:val="1A1A1A"/>
          <w:sz w:val="20"/>
          <w:szCs w:val="20"/>
        </w:rPr>
        <w:t xml:space="preserve">interne</w:t>
      </w:r>
      <w:r>
        <w:rPr>
          <w:rFonts w:ascii="Calibri" w:cs="Calibri" w:eastAsia="Calibri" w:hAnsi="Calibri"/>
          <w:color w:val="1A1A1A"/>
          <w:sz w:val="20"/>
          <w:szCs w:val="20"/>
        </w:rPr>
        <w:t xml:space="preserve"> ou international (le fascicule écrit « intense »).</w:t>
      </w:r>
    </w:p>
    <w:p>
      <w:pPr>
        <w:pStyle w:val="ListParagraph"/>
        <w:numPr>
          <w:ilvl w:val="0"/>
          <w:numId w:val="2"/>
        </w:numPr>
        <w:spacing w:after="70" w:line="264"/>
        <w:jc w:val="both"/>
      </w:pPr>
      <w:r>
        <w:rPr>
          <w:rFonts w:ascii="Calibri" w:cs="Calibri" w:eastAsia="Calibri" w:hAnsi="Calibri"/>
          <w:b/>
          <w:bCs/>
          <w:color w:val="1A1A1A"/>
          <w:sz w:val="20"/>
          <w:szCs w:val="20"/>
        </w:rPr>
        <w:t xml:space="preserve">Pacte et Dublin</w:t>
      </w:r>
      <w:r>
        <w:rPr>
          <w:rFonts w:ascii="Calibri" w:cs="Calibri" w:eastAsia="Calibri" w:hAnsi="Calibri"/>
          <w:color w:val="1A1A1A"/>
          <w:sz w:val="20"/>
          <w:szCs w:val="20"/>
        </w:rPr>
        <w:t xml:space="preserve"> : le Pacte n’« attend » plus l’approbation du Conseil (adopté le 14 mai 2024) ; il est applicable depuis le </w:t>
      </w:r>
      <w:r>
        <w:rPr>
          <w:rFonts w:ascii="Calibri" w:cs="Calibri" w:eastAsia="Calibri" w:hAnsi="Calibri"/>
          <w:b/>
          <w:bCs/>
          <w:color w:val="1A1A1A"/>
          <w:sz w:val="20"/>
          <w:szCs w:val="20"/>
        </w:rPr>
        <w:t xml:space="preserve">12 juin 2026</w:t>
      </w:r>
      <w:r>
        <w:rPr>
          <w:rFonts w:ascii="Calibri" w:cs="Calibri" w:eastAsia="Calibri" w:hAnsi="Calibri"/>
          <w:color w:val="1A1A1A"/>
          <w:sz w:val="20"/>
          <w:szCs w:val="20"/>
        </w:rPr>
        <w:t xml:space="preserve">, le </w:t>
      </w:r>
      <w:r>
        <w:rPr>
          <w:rFonts w:ascii="Calibri" w:cs="Calibri" w:eastAsia="Calibri" w:hAnsi="Calibri"/>
          <w:color w:val="1E88E5"/>
          <w:sz w:val="20"/>
          <w:szCs w:val="20"/>
        </w:rPr>
        <w:t xml:space="preserve">règlement (UE) 2024/1351</w:t>
      </w:r>
      <w:r>
        <w:rPr>
          <w:rFonts w:ascii="Calibri" w:cs="Calibri" w:eastAsia="Calibri" w:hAnsi="Calibri"/>
          <w:color w:val="1A1A1A"/>
          <w:sz w:val="20"/>
          <w:szCs w:val="20"/>
        </w:rPr>
        <w:t xml:space="preserve"> remplaçant le règlement Dublin III. Ne pas confondre « procédure Dublin » et « pays d’origine sûrs » (confusion du corrigé du fascicule).</w:t>
      </w:r>
    </w:p>
    <w:p>
      <w:r>
        <w:br w:type="page"/>
      </w:r>
    </w:p>
    <w:p>
      <w:pPr>
        <w:pStyle w:val="Heading2"/>
        <w:spacing w:after="120" w:before="280"/>
      </w:pPr>
      <w:r>
        <w:rPr>
          <w:rFonts w:ascii="Calibri" w:cs="Calibri" w:eastAsia="Calibri" w:hAnsi="Calibri"/>
          <w:b/>
          <w:bCs/>
          <w:color w:val="1A1A1A"/>
          <w:sz w:val="24"/>
          <w:szCs w:val="24"/>
        </w:rPr>
        <w:t xml:space="preserve">1. Architecture textuelle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international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14 DUDH</w:t>
      </w:r>
      <w:r>
        <w:rPr>
          <w:rFonts w:ascii="Calibri" w:cs="Calibri" w:eastAsia="Calibri" w:hAnsi="Calibri"/>
          <w:color w:val="1A1A1A"/>
          <w:sz w:val="20"/>
          <w:szCs w:val="20"/>
        </w:rPr>
        <w:t xml:space="preserve"> (chercher asile et en bénéficier) ; </w:t>
      </w:r>
      <w:r>
        <w:rPr>
          <w:rFonts w:ascii="Calibri" w:cs="Calibri" w:eastAsia="Calibri" w:hAnsi="Calibri"/>
          <w:color w:val="1E88E5"/>
          <w:sz w:val="20"/>
          <w:szCs w:val="20"/>
        </w:rPr>
        <w:t xml:space="preserve">Convention de Genève du 28 juillet 1951</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1er A 2</w:t>
      </w:r>
      <w:r>
        <w:rPr>
          <w:rFonts w:ascii="Calibri" w:cs="Calibri" w:eastAsia="Calibri" w:hAnsi="Calibri"/>
          <w:color w:val="1A1A1A"/>
          <w:sz w:val="20"/>
          <w:szCs w:val="20"/>
        </w:rPr>
        <w:t xml:space="preserve"> (définition), </w:t>
      </w:r>
      <w:r>
        <w:rPr>
          <w:rFonts w:ascii="Calibri" w:cs="Calibri" w:eastAsia="Calibri" w:hAnsi="Calibri"/>
          <w:color w:val="1E88E5"/>
          <w:sz w:val="20"/>
          <w:szCs w:val="20"/>
        </w:rPr>
        <w:t xml:space="preserve">1er F</w:t>
      </w:r>
      <w:r>
        <w:rPr>
          <w:rFonts w:ascii="Calibri" w:cs="Calibri" w:eastAsia="Calibri" w:hAnsi="Calibri"/>
          <w:color w:val="1A1A1A"/>
          <w:sz w:val="20"/>
          <w:szCs w:val="20"/>
        </w:rPr>
        <w:t xml:space="preserve"> (clauses d’exclusion), </w:t>
      </w:r>
      <w:r>
        <w:rPr>
          <w:rFonts w:ascii="Calibri" w:cs="Calibri" w:eastAsia="Calibri" w:hAnsi="Calibri"/>
          <w:color w:val="1E88E5"/>
          <w:sz w:val="20"/>
          <w:szCs w:val="20"/>
        </w:rPr>
        <w:t xml:space="preserve">33</w:t>
      </w:r>
      <w:r>
        <w:rPr>
          <w:rFonts w:ascii="Calibri" w:cs="Calibri" w:eastAsia="Calibri" w:hAnsi="Calibri"/>
          <w:color w:val="1A1A1A"/>
          <w:sz w:val="20"/>
          <w:szCs w:val="20"/>
        </w:rPr>
        <w:t xml:space="preserve"> (non-refoulement, exception pour le réfugié dangereux) ; </w:t>
      </w:r>
      <w:r>
        <w:rPr>
          <w:rFonts w:ascii="Calibri" w:cs="Calibri" w:eastAsia="Calibri" w:hAnsi="Calibri"/>
          <w:color w:val="1E88E5"/>
          <w:sz w:val="20"/>
          <w:szCs w:val="20"/>
        </w:rPr>
        <w:t xml:space="preserve">Protocole de New York du 31 janvier 1967</w:t>
      </w:r>
      <w:r>
        <w:rPr>
          <w:rFonts w:ascii="Calibri" w:cs="Calibri" w:eastAsia="Calibri" w:hAnsi="Calibri"/>
          <w:color w:val="1A1A1A"/>
          <w:sz w:val="20"/>
          <w:szCs w:val="20"/>
        </w:rPr>
        <w:t xml:space="preserve"> (levée des limites temporelles et géographiques) ; Haut-Commissariat des Nations unies pour les réfugiés.</w:t>
      </w:r>
    </w:p>
    <w:p>
      <w:pPr>
        <w:pStyle w:val="ListParagraph"/>
        <w:numPr>
          <w:ilvl w:val="0"/>
          <w:numId w:val="2"/>
        </w:numPr>
        <w:spacing w:after="70" w:line="264"/>
        <w:jc w:val="both"/>
      </w:pPr>
      <w:r>
        <w:rPr>
          <w:rFonts w:ascii="Calibri" w:cs="Calibri" w:eastAsia="Calibri" w:hAnsi="Calibri"/>
          <w:b/>
          <w:bCs/>
          <w:color w:val="1A1A1A"/>
          <w:sz w:val="20"/>
          <w:szCs w:val="20"/>
        </w:rPr>
        <w:t xml:space="preserve">Droit européen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CEDH</w:t>
      </w:r>
      <w:r>
        <w:rPr>
          <w:rFonts w:ascii="Calibri" w:cs="Calibri" w:eastAsia="Calibri" w:hAnsi="Calibri"/>
          <w:color w:val="1A1A1A"/>
          <w:sz w:val="20"/>
          <w:szCs w:val="20"/>
        </w:rPr>
        <w:t xml:space="preserve"> — aucun droit d’asile, mais protection par ricochet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4 Prot. 4</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18 CDFUE</w:t>
      </w:r>
      <w:r>
        <w:rPr>
          <w:rFonts w:ascii="Calibri" w:cs="Calibri" w:eastAsia="Calibri" w:hAnsi="Calibri"/>
          <w:color w:val="1A1A1A"/>
          <w:sz w:val="20"/>
          <w:szCs w:val="20"/>
        </w:rPr>
        <w:t xml:space="preserve"> (droit d’asile garanti dans le respect de la Convention de Genève), </w:t>
      </w:r>
      <w:r>
        <w:rPr>
          <w:rFonts w:ascii="Calibri" w:cs="Calibri" w:eastAsia="Calibri" w:hAnsi="Calibri"/>
          <w:color w:val="1E88E5"/>
          <w:sz w:val="20"/>
          <w:szCs w:val="20"/>
        </w:rPr>
        <w:t xml:space="preserve">art. 19</w:t>
      </w:r>
      <w:r>
        <w:rPr>
          <w:rFonts w:ascii="Calibri" w:cs="Calibri" w:eastAsia="Calibri" w:hAnsi="Calibri"/>
          <w:color w:val="1A1A1A"/>
          <w:sz w:val="20"/>
          <w:szCs w:val="20"/>
        </w:rPr>
        <w:t xml:space="preserve"> (non-refoulement) ; </w:t>
      </w:r>
      <w:r>
        <w:rPr>
          <w:rFonts w:ascii="Calibri" w:cs="Calibri" w:eastAsia="Calibri" w:hAnsi="Calibri"/>
          <w:color w:val="1E88E5"/>
          <w:sz w:val="20"/>
          <w:szCs w:val="20"/>
        </w:rPr>
        <w:t xml:space="preserve">art. 78 TFUE</w:t>
      </w:r>
      <w:r>
        <w:rPr>
          <w:rFonts w:ascii="Calibri" w:cs="Calibri" w:eastAsia="Calibri" w:hAnsi="Calibri"/>
          <w:color w:val="1A1A1A"/>
          <w:sz w:val="20"/>
          <w:szCs w:val="20"/>
        </w:rPr>
        <w:t xml:space="preserve"> (régime d’asile européen commun) ; </w:t>
      </w:r>
      <w:r>
        <w:rPr>
          <w:rFonts w:ascii="Calibri" w:cs="Calibri" w:eastAsia="Calibri" w:hAnsi="Calibri"/>
          <w:color w:val="1E88E5"/>
          <w:sz w:val="20"/>
          <w:szCs w:val="20"/>
        </w:rPr>
        <w:t xml:space="preserve">directives 2011/95</w:t>
      </w:r>
      <w:r>
        <w:rPr>
          <w:rFonts w:ascii="Calibri" w:cs="Calibri" w:eastAsia="Calibri" w:hAnsi="Calibri"/>
          <w:color w:val="1A1A1A"/>
          <w:sz w:val="20"/>
          <w:szCs w:val="20"/>
        </w:rPr>
        <w:t xml:space="preserve"> (qualification), </w:t>
      </w:r>
      <w:r>
        <w:rPr>
          <w:rFonts w:ascii="Calibri" w:cs="Calibri" w:eastAsia="Calibri" w:hAnsi="Calibri"/>
          <w:color w:val="1E88E5"/>
          <w:sz w:val="20"/>
          <w:szCs w:val="20"/>
        </w:rPr>
        <w:t xml:space="preserve">2013/32</w:t>
      </w:r>
      <w:r>
        <w:rPr>
          <w:rFonts w:ascii="Calibri" w:cs="Calibri" w:eastAsia="Calibri" w:hAnsi="Calibri"/>
          <w:color w:val="1A1A1A"/>
          <w:sz w:val="20"/>
          <w:szCs w:val="20"/>
        </w:rPr>
        <w:t xml:space="preserve"> (procédures), </w:t>
      </w:r>
      <w:r>
        <w:rPr>
          <w:rFonts w:ascii="Calibri" w:cs="Calibri" w:eastAsia="Calibri" w:hAnsi="Calibri"/>
          <w:color w:val="1E88E5"/>
          <w:sz w:val="20"/>
          <w:szCs w:val="20"/>
        </w:rPr>
        <w:t xml:space="preserve">2013/33</w:t>
      </w:r>
      <w:r>
        <w:rPr>
          <w:rFonts w:ascii="Calibri" w:cs="Calibri" w:eastAsia="Calibri" w:hAnsi="Calibri"/>
          <w:color w:val="1A1A1A"/>
          <w:sz w:val="20"/>
          <w:szCs w:val="20"/>
        </w:rPr>
        <w:t xml:space="preserve"> (accueil) ; </w:t>
      </w:r>
      <w:r>
        <w:rPr>
          <w:rFonts w:ascii="Calibri" w:cs="Calibri" w:eastAsia="Calibri" w:hAnsi="Calibri"/>
          <w:color w:val="1E88E5"/>
          <w:sz w:val="20"/>
          <w:szCs w:val="20"/>
        </w:rPr>
        <w:t xml:space="preserve">Pacte sur la migration et l’asile</w:t>
      </w:r>
      <w:r>
        <w:rPr>
          <w:rFonts w:ascii="Calibri" w:cs="Calibri" w:eastAsia="Calibri" w:hAnsi="Calibri"/>
          <w:color w:val="1A1A1A"/>
          <w:sz w:val="20"/>
          <w:szCs w:val="20"/>
        </w:rPr>
        <w:t xml:space="preserve"> (mai 2024, applicable le 12 juin 2026 : règlements filtrage, procédures, gestion de l’asile et de la migration, Eurodac, crises ; </w:t>
      </w:r>
      <w:r>
        <w:rPr>
          <w:rFonts w:ascii="Calibri" w:cs="Calibri" w:eastAsia="Calibri" w:hAnsi="Calibri"/>
          <w:color w:val="1E88E5"/>
          <w:sz w:val="20"/>
          <w:szCs w:val="20"/>
        </w:rPr>
        <w:t xml:space="preserve">directive 2024/1346</w:t>
      </w:r>
      <w:r>
        <w:rPr>
          <w:rFonts w:ascii="Calibri" w:cs="Calibri" w:eastAsia="Calibri" w:hAnsi="Calibri"/>
          <w:color w:val="1A1A1A"/>
          <w:sz w:val="20"/>
          <w:szCs w:val="20"/>
        </w:rPr>
        <w:t xml:space="preserve"> accueil) ; </w:t>
      </w:r>
      <w:r>
        <w:rPr>
          <w:rFonts w:ascii="Calibri" w:cs="Calibri" w:eastAsia="Calibri" w:hAnsi="Calibri"/>
          <w:color w:val="1E88E5"/>
          <w:sz w:val="20"/>
          <w:szCs w:val="20"/>
        </w:rPr>
        <w:t xml:space="preserve">règlement (UE) 2026/464 du 24 février 2026</w:t>
      </w:r>
      <w:r>
        <w:rPr>
          <w:rFonts w:ascii="Calibri" w:cs="Calibri" w:eastAsia="Calibri" w:hAnsi="Calibri"/>
          <w:color w:val="1A1A1A"/>
          <w:sz w:val="20"/>
          <w:szCs w:val="20"/>
        </w:rPr>
        <w:t xml:space="preserve"> (liste européenne des pays d’origine sûrs : Bangladesh, Colombie, Égypte, Inde, Kosovo, Maroc, Tunisie).</w:t>
      </w:r>
    </w:p>
    <w:p>
      <w:pPr>
        <w:pStyle w:val="ListParagraph"/>
        <w:numPr>
          <w:ilvl w:val="0"/>
          <w:numId w:val="2"/>
        </w:numPr>
        <w:spacing w:after="70" w:line="264"/>
        <w:jc w:val="both"/>
      </w:pPr>
      <w:r>
        <w:rPr>
          <w:rFonts w:ascii="Calibri" w:cs="Calibri" w:eastAsia="Calibri" w:hAnsi="Calibri"/>
          <w:b/>
          <w:bCs/>
          <w:color w:val="1A1A1A"/>
          <w:sz w:val="20"/>
          <w:szCs w:val="20"/>
        </w:rPr>
        <w:t xml:space="preserve">Droit constitutionnel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al. 4 Préambule 1946</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art. 53-1</w:t>
      </w:r>
      <w:r>
        <w:rPr>
          <w:rFonts w:ascii="Calibri" w:cs="Calibri" w:eastAsia="Calibri" w:hAnsi="Calibri"/>
          <w:color w:val="1A1A1A"/>
          <w:sz w:val="20"/>
          <w:szCs w:val="20"/>
        </w:rPr>
        <w:t xml:space="preserve"> (accords avec les États européens sur l’examen des demandes ; la République conserve le droit souverain de donner asile à tout étranger persécuté pour son action en faveur de la liberté ou qui sollicite la protection de la France pour un autre motif). </w:t>
      </w:r>
      <w:r>
        <w:rPr>
          <w:rFonts w:ascii="Calibri" w:cs="Calibri" w:eastAsia="Calibri" w:hAnsi="Calibri"/>
          <w:b/>
          <w:bCs/>
          <w:color w:val="1A1A1A"/>
          <w:sz w:val="20"/>
          <w:szCs w:val="20"/>
        </w:rPr>
        <w:t xml:space="preserve">Loi</w:t>
      </w:r>
      <w:r>
        <w:rPr>
          <w:rFonts w:ascii="Calibri" w:cs="Calibri" w:eastAsia="Calibri" w:hAnsi="Calibri"/>
          <w:color w:val="1A1A1A"/>
          <w:sz w:val="20"/>
          <w:szCs w:val="20"/>
        </w:rPr>
        <w:t xml:space="preserve"> : asile constitutionnel inscrit dans la loi par la </w:t>
      </w:r>
      <w:r>
        <w:rPr>
          <w:rFonts w:ascii="Calibri" w:cs="Calibri" w:eastAsia="Calibri" w:hAnsi="Calibri"/>
          <w:color w:val="1E88E5"/>
          <w:sz w:val="20"/>
          <w:szCs w:val="20"/>
        </w:rPr>
        <w:t xml:space="preserve">loi du 11 mai 1998</w:t>
      </w:r>
      <w:r>
        <w:rPr>
          <w:rFonts w:ascii="Calibri" w:cs="Calibri" w:eastAsia="Calibri" w:hAnsi="Calibri"/>
          <w:color w:val="1A1A1A"/>
          <w:sz w:val="20"/>
          <w:szCs w:val="20"/>
        </w:rPr>
        <w:t xml:space="preserve"> ; réformes de </w:t>
      </w:r>
      <w:r>
        <w:rPr>
          <w:rFonts w:ascii="Calibri" w:cs="Calibri" w:eastAsia="Calibri" w:hAnsi="Calibri"/>
          <w:color w:val="1E88E5"/>
          <w:sz w:val="20"/>
          <w:szCs w:val="20"/>
        </w:rPr>
        <w:t xml:space="preserve">2015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2018</w:t>
      </w:r>
      <w:r>
        <w:rPr>
          <w:rFonts w:ascii="Calibri" w:cs="Calibri" w:eastAsia="Calibri" w:hAnsi="Calibri"/>
          <w:color w:val="1A1A1A"/>
          <w:sz w:val="20"/>
          <w:szCs w:val="20"/>
        </w:rPr>
        <w:t xml:space="preserve"> et </w:t>
      </w:r>
      <w:r>
        <w:rPr>
          <w:rFonts w:ascii="Calibri" w:cs="Calibri" w:eastAsia="Calibri" w:hAnsi="Calibri"/>
          <w:color w:val="1E88E5"/>
          <w:sz w:val="20"/>
          <w:szCs w:val="20"/>
        </w:rPr>
        <w:t xml:space="preserve">2024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Lecture à retenir</w:t>
      </w:r>
      <w:r>
        <w:rPr>
          <w:rFonts w:ascii="Calibri" w:cs="Calibri" w:eastAsia="Calibri" w:hAnsi="Calibri"/>
          <w:color w:val="1A1A1A"/>
          <w:sz w:val="20"/>
          <w:szCs w:val="20"/>
        </w:rPr>
        <w:t xml:space="preserve"> : l’asile illustre la tension entre un droit </w:t>
      </w:r>
      <w:r>
        <w:rPr>
          <w:rFonts w:ascii="Calibri" w:cs="Calibri" w:eastAsia="Calibri" w:hAnsi="Calibri"/>
          <w:b/>
          <w:bCs/>
          <w:color w:val="1A1A1A"/>
          <w:sz w:val="20"/>
          <w:szCs w:val="20"/>
        </w:rPr>
        <w:t xml:space="preserve">individuel absolu dans son noyau</w:t>
      </w:r>
      <w:r>
        <w:rPr>
          <w:rFonts w:ascii="Calibri" w:cs="Calibri" w:eastAsia="Calibri" w:hAnsi="Calibri"/>
          <w:color w:val="1A1A1A"/>
          <w:sz w:val="20"/>
          <w:szCs w:val="20"/>
        </w:rPr>
        <w:t xml:space="preserve"> (non-refoulement) et un droit </w:t>
      </w:r>
      <w:r>
        <w:rPr>
          <w:rFonts w:ascii="Calibri" w:cs="Calibri" w:eastAsia="Calibri" w:hAnsi="Calibri"/>
          <w:b/>
          <w:bCs/>
          <w:color w:val="1A1A1A"/>
          <w:sz w:val="20"/>
          <w:szCs w:val="20"/>
        </w:rPr>
        <w:t xml:space="preserve">procédural fortement encadré</w:t>
      </w:r>
      <w:r>
        <w:rPr>
          <w:rFonts w:ascii="Calibri" w:cs="Calibri" w:eastAsia="Calibri" w:hAnsi="Calibri"/>
          <w:color w:val="1A1A1A"/>
          <w:sz w:val="20"/>
          <w:szCs w:val="20"/>
        </w:rPr>
        <w:t xml:space="preserve"> (délais, procédures accélérées, répartition européenne).</w:t>
      </w:r>
    </w:p>
    <w:p>
      <w:pPr>
        <w:pStyle w:val="Heading2"/>
        <w:spacing w:after="120" w:before="280"/>
      </w:pPr>
      <w:r>
        <w:rPr>
          <w:rFonts w:ascii="Calibri" w:cs="Calibri" w:eastAsia="Calibri" w:hAnsi="Calibri"/>
          <w:b/>
          <w:bCs/>
          <w:color w:val="1A1A1A"/>
          <w:sz w:val="24"/>
          <w:szCs w:val="24"/>
        </w:rPr>
        <w:t xml:space="preserve">2. Les trois protections</w:t>
      </w:r>
    </w:p>
    <w:p>
      <w:pPr>
        <w:pStyle w:val="ListParagraph"/>
        <w:numPr>
          <w:ilvl w:val="0"/>
          <w:numId w:val="2"/>
        </w:numPr>
        <w:spacing w:after="70" w:line="264"/>
        <w:jc w:val="both"/>
      </w:pPr>
      <w:r>
        <w:rPr>
          <w:rFonts w:ascii="Calibri" w:cs="Calibri" w:eastAsia="Calibri" w:hAnsi="Calibri"/>
          <w:b/>
          <w:bCs/>
          <w:color w:val="1A1A1A"/>
          <w:sz w:val="20"/>
          <w:szCs w:val="20"/>
        </w:rPr>
        <w:t xml:space="preserve">Réfugié conventionnel</w:t>
      </w:r>
      <w:r>
        <w:rPr>
          <w:rFonts w:ascii="Calibri" w:cs="Calibri" w:eastAsia="Calibri" w:hAnsi="Calibri"/>
          <w:color w:val="1A1A1A"/>
          <w:sz w:val="20"/>
          <w:szCs w:val="20"/>
        </w:rPr>
        <w:t xml:space="preserve"> : crainte fondée de persécution pour l’un des cinq motifs ; persécution par l’État ou par des acteurs privés lorsque l’État ne peut ou ne veut protéger ; « groupe social » — orientation sexuelle (</w:t>
      </w:r>
      <w:r>
        <w:rPr>
          <w:rFonts w:ascii="Calibri" w:cs="Calibri" w:eastAsia="Calibri" w:hAnsi="Calibri"/>
          <w:color w:val="E91E63"/>
          <w:sz w:val="20"/>
          <w:szCs w:val="20"/>
        </w:rPr>
        <w:t xml:space="preserve">CJUE, 7 novembre 2013, X, Y et Z, C-199/12</w:t>
      </w:r>
      <w:r>
        <w:rPr>
          <w:rFonts w:ascii="Calibri" w:cs="Calibri" w:eastAsia="Calibri" w:hAnsi="Calibri"/>
          <w:color w:val="1A1A1A"/>
          <w:sz w:val="20"/>
          <w:szCs w:val="20"/>
        </w:rPr>
        <w:t xml:space="preserve">), femmes exposées aux violences de genre (</w:t>
      </w:r>
      <w:r>
        <w:rPr>
          <w:rFonts w:ascii="Calibri" w:cs="Calibri" w:eastAsia="Calibri" w:hAnsi="Calibri"/>
          <w:color w:val="E91E63"/>
          <w:sz w:val="20"/>
          <w:szCs w:val="20"/>
        </w:rPr>
        <w:t xml:space="preserve">CJUE [GC], 16 janvier 2024, WS, C-621/21</w:t>
      </w:r>
      <w:r>
        <w:rPr>
          <w:rFonts w:ascii="Calibri" w:cs="Calibri" w:eastAsia="Calibri" w:hAnsi="Calibri"/>
          <w:color w:val="1A1A1A"/>
          <w:sz w:val="20"/>
          <w:szCs w:val="20"/>
        </w:rPr>
        <w:t xml:space="preserve">), femmes afghanes (</w:t>
      </w:r>
      <w:r>
        <w:rPr>
          <w:rFonts w:ascii="Calibri" w:cs="Calibri" w:eastAsia="Calibri" w:hAnsi="Calibri"/>
          <w:color w:val="E91E63"/>
          <w:sz w:val="20"/>
          <w:szCs w:val="20"/>
        </w:rPr>
        <w:t xml:space="preserve">CJUE, 4 octobre 2024, AH et FN, C-608/22 et C-609/22</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Réfugié constitutionnel</w:t>
      </w:r>
      <w:r>
        <w:rPr>
          <w:rFonts w:ascii="Calibri" w:cs="Calibri" w:eastAsia="Calibri" w:hAnsi="Calibri"/>
          <w:color w:val="1A1A1A"/>
          <w:sz w:val="20"/>
          <w:szCs w:val="20"/>
        </w:rPr>
        <w:t xml:space="preserve"> : action en faveur de la liberté (militantisme pour les droits des femmes en Afghanistan, engagement public contre le narcotrafic en Colombie, selon la Commission des recours puis la CNDA).</w:t>
      </w:r>
    </w:p>
    <w:p>
      <w:pPr>
        <w:pStyle w:val="ListParagraph"/>
        <w:numPr>
          <w:ilvl w:val="0"/>
          <w:numId w:val="2"/>
        </w:numPr>
        <w:spacing w:after="70" w:line="264"/>
        <w:jc w:val="both"/>
      </w:pPr>
      <w:r>
        <w:rPr>
          <w:rFonts w:ascii="Calibri" w:cs="Calibri" w:eastAsia="Calibri" w:hAnsi="Calibri"/>
          <w:b/>
          <w:bCs/>
          <w:color w:val="1A1A1A"/>
          <w:sz w:val="20"/>
          <w:szCs w:val="20"/>
        </w:rPr>
        <w:t xml:space="preserve">Protection subsidiaire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512-1 CESEDA</w:t>
      </w:r>
      <w:r>
        <w:rPr>
          <w:rFonts w:ascii="Calibri" w:cs="Calibri" w:eastAsia="Calibri" w:hAnsi="Calibri"/>
          <w:color w:val="1A1A1A"/>
          <w:sz w:val="20"/>
          <w:szCs w:val="20"/>
        </w:rPr>
        <w:t xml:space="preserve">) : peine de mort ou exécution ; torture ou traitements inhumains ou dégradants ; menace grave et individuelle du fait d’une violence aveugle en situation de conflit armé interne ou international (</w:t>
      </w:r>
      <w:r>
        <w:rPr>
          <w:rFonts w:ascii="Calibri" w:cs="Calibri" w:eastAsia="Calibri" w:hAnsi="Calibri"/>
          <w:color w:val="E91E63"/>
          <w:sz w:val="20"/>
          <w:szCs w:val="20"/>
        </w:rPr>
        <w:t xml:space="preserve">Elgafaji</w:t>
      </w:r>
      <w:r>
        <w:rPr>
          <w:rFonts w:ascii="Calibri" w:cs="Calibri" w:eastAsia="Calibri" w:hAnsi="Calibri"/>
          <w:color w:val="1A1A1A"/>
          <w:sz w:val="20"/>
          <w:szCs w:val="20"/>
        </w:rPr>
        <w:t xml:space="preserve">, 2009 ; grille d’analyse de la CNDA, 19 novembre 2020). Carte pluriannuelle de quatre ans (le réfugié reçoit une carte de résident de dix ans).</w:t>
      </w:r>
    </w:p>
    <w:p>
      <w:pPr>
        <w:pStyle w:val="ListParagraph"/>
        <w:numPr>
          <w:ilvl w:val="0"/>
          <w:numId w:val="2"/>
        </w:numPr>
        <w:spacing w:after="70" w:line="264"/>
        <w:jc w:val="both"/>
      </w:pPr>
      <w:r>
        <w:rPr>
          <w:rFonts w:ascii="Calibri" w:cs="Calibri" w:eastAsia="Calibri" w:hAnsi="Calibri"/>
          <w:b/>
          <w:bCs/>
          <w:color w:val="1A1A1A"/>
          <w:sz w:val="20"/>
          <w:szCs w:val="20"/>
        </w:rPr>
        <w:t xml:space="preserve">Protection déjà accordée dans un autre État membre</w:t>
      </w:r>
      <w:r>
        <w:rPr>
          <w:rFonts w:ascii="Calibri" w:cs="Calibri" w:eastAsia="Calibri" w:hAnsi="Calibri"/>
          <w:color w:val="1A1A1A"/>
          <w:sz w:val="20"/>
          <w:szCs w:val="20"/>
        </w:rPr>
        <w:t xml:space="preserve"> : irrecevabilité tant qu’elle est effective — l’absence d’un droit au regroupement familial équivalent ne suffit pas à la rendre ineffective (</w:t>
      </w:r>
      <w:r>
        <w:rPr>
          <w:rFonts w:ascii="Calibri" w:cs="Calibri" w:eastAsia="Calibri" w:hAnsi="Calibri"/>
          <w:color w:val="E91E63"/>
          <w:sz w:val="20"/>
          <w:szCs w:val="20"/>
        </w:rPr>
        <w:t xml:space="preserve">CE, 30 janvier 2026, n° 496221</w:t>
      </w:r>
      <w:r>
        <w:rPr>
          <w:rFonts w:ascii="Calibri" w:cs="Calibri" w:eastAsia="Calibri" w:hAnsi="Calibri"/>
          <w:color w:val="1A1A1A"/>
          <w:sz w:val="20"/>
          <w:szCs w:val="20"/>
        </w:rPr>
        <w:t xml:space="preserve">).</w:t>
      </w:r>
    </w:p>
    <w:p>
      <w:pPr>
        <w:pStyle w:val="Heading2"/>
        <w:spacing w:after="120" w:before="280"/>
      </w:pPr>
      <w:r>
        <w:rPr>
          <w:rFonts w:ascii="Calibri" w:cs="Calibri" w:eastAsia="Calibri" w:hAnsi="Calibri"/>
          <w:b/>
          <w:bCs/>
          <w:color w:val="1A1A1A"/>
          <w:sz w:val="24"/>
          <w:szCs w:val="24"/>
        </w:rPr>
        <w:t xml:space="preserve">3. Les procédures</w:t>
      </w:r>
    </w:p>
    <w:p>
      <w:pPr>
        <w:pStyle w:val="ListParagraph"/>
        <w:numPr>
          <w:ilvl w:val="0"/>
          <w:numId w:val="2"/>
        </w:numPr>
        <w:spacing w:after="70" w:line="264"/>
        <w:jc w:val="both"/>
      </w:pPr>
      <w:r>
        <w:rPr>
          <w:rFonts w:ascii="Calibri" w:cs="Calibri" w:eastAsia="Calibri" w:hAnsi="Calibri"/>
          <w:b/>
          <w:bCs/>
          <w:color w:val="1A1A1A"/>
          <w:sz w:val="20"/>
          <w:szCs w:val="20"/>
        </w:rPr>
        <w:t xml:space="preserve">Enregistrement</w:t>
      </w:r>
      <w:r>
        <w:rPr>
          <w:rFonts w:ascii="Calibri" w:cs="Calibri" w:eastAsia="Calibri" w:hAnsi="Calibri"/>
          <w:color w:val="1A1A1A"/>
          <w:sz w:val="20"/>
          <w:szCs w:val="20"/>
        </w:rPr>
        <w:t xml:space="preserve"> au guichet unique (préfecture et OFII) ; attestation de demande d’asile ; dépôt à l’OFPRA dans les </w:t>
      </w:r>
      <w:r>
        <w:rPr>
          <w:rFonts w:ascii="Calibri" w:cs="Calibri" w:eastAsia="Calibri" w:hAnsi="Calibri"/>
          <w:b/>
          <w:bCs/>
          <w:color w:val="1A1A1A"/>
          <w:sz w:val="20"/>
          <w:szCs w:val="20"/>
        </w:rPr>
        <w:t xml:space="preserve">21 jours</w:t>
      </w:r>
      <w:r>
        <w:rPr>
          <w:rFonts w:ascii="Calibri" w:cs="Calibri" w:eastAsia="Calibri" w:hAnsi="Calibri"/>
          <w:color w:val="1A1A1A"/>
          <w:sz w:val="20"/>
          <w:szCs w:val="20"/>
        </w:rPr>
        <w:t xml:space="preserve"> ; demande dans les </w:t>
      </w:r>
      <w:r>
        <w:rPr>
          <w:rFonts w:ascii="Calibri" w:cs="Calibri" w:eastAsia="Calibri" w:hAnsi="Calibri"/>
          <w:b/>
          <w:bCs/>
          <w:color w:val="1A1A1A"/>
          <w:sz w:val="20"/>
          <w:szCs w:val="20"/>
        </w:rPr>
        <w:t xml:space="preserve">90 jours</w:t>
      </w:r>
      <w:r>
        <w:rPr>
          <w:rFonts w:ascii="Calibri" w:cs="Calibri" w:eastAsia="Calibri" w:hAnsi="Calibri"/>
          <w:color w:val="1A1A1A"/>
          <w:sz w:val="20"/>
          <w:szCs w:val="20"/>
        </w:rPr>
        <w:t xml:space="preserve"> de l’entrée (60 en Guyane) sous peine de procédure accélérée.</w:t>
      </w:r>
    </w:p>
    <w:p>
      <w:pPr>
        <w:pStyle w:val="ListParagraph"/>
        <w:numPr>
          <w:ilvl w:val="0"/>
          <w:numId w:val="2"/>
        </w:numPr>
        <w:spacing w:after="70" w:line="264"/>
        <w:jc w:val="both"/>
      </w:pPr>
      <w:r>
        <w:rPr>
          <w:rFonts w:ascii="Calibri" w:cs="Calibri" w:eastAsia="Calibri" w:hAnsi="Calibri"/>
          <w:b/>
          <w:bCs/>
          <w:color w:val="1A1A1A"/>
          <w:sz w:val="20"/>
          <w:szCs w:val="20"/>
        </w:rPr>
        <w:t xml:space="preserve">OFPRA</w:t>
      </w:r>
      <w:r>
        <w:rPr>
          <w:rFonts w:ascii="Calibri" w:cs="Calibri" w:eastAsia="Calibri" w:hAnsi="Calibri"/>
          <w:color w:val="1A1A1A"/>
          <w:sz w:val="20"/>
          <w:szCs w:val="20"/>
        </w:rPr>
        <w:t xml:space="preserve"> : entretien personnel, décision ; </w:t>
      </w:r>
      <w:r>
        <w:rPr>
          <w:rFonts w:ascii="Calibri" w:cs="Calibri" w:eastAsia="Calibri" w:hAnsi="Calibri"/>
          <w:b/>
          <w:bCs/>
          <w:color w:val="1A1A1A"/>
          <w:sz w:val="20"/>
          <w:szCs w:val="20"/>
        </w:rPr>
        <w:t xml:space="preserve">CNDA</w:t>
      </w:r>
      <w:r>
        <w:rPr>
          <w:rFonts w:ascii="Calibri" w:cs="Calibri" w:eastAsia="Calibri" w:hAnsi="Calibri"/>
          <w:color w:val="1A1A1A"/>
          <w:sz w:val="20"/>
          <w:szCs w:val="20"/>
        </w:rPr>
        <w:t xml:space="preserve"> : recours dans un mois, en principe suspensif (</w:t>
      </w:r>
      <w:r>
        <w:rPr>
          <w:rFonts w:ascii="Calibri" w:cs="Calibri" w:eastAsia="Calibri" w:hAnsi="Calibri"/>
          <w:color w:val="E91E63"/>
          <w:sz w:val="20"/>
          <w:szCs w:val="20"/>
        </w:rPr>
        <w:t xml:space="preserve">CE, ass., 2 septembre 1985, France terre d’asile</w:t>
      </w:r>
      <w:r>
        <w:rPr>
          <w:rFonts w:ascii="Calibri" w:cs="Calibri" w:eastAsia="Calibri" w:hAnsi="Calibri"/>
          <w:color w:val="1A1A1A"/>
          <w:sz w:val="20"/>
          <w:szCs w:val="20"/>
        </w:rPr>
        <w:t xml:space="preserve">) ; depuis la </w:t>
      </w:r>
      <w:r>
        <w:rPr>
          <w:rFonts w:ascii="Calibri" w:cs="Calibri" w:eastAsia="Calibri" w:hAnsi="Calibri"/>
          <w:color w:val="1E88E5"/>
          <w:sz w:val="20"/>
          <w:szCs w:val="20"/>
        </w:rPr>
        <w:t xml:space="preserve">loi du 26 janvier 2024</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juge unique</w:t>
      </w:r>
      <w:r>
        <w:rPr>
          <w:rFonts w:ascii="Calibri" w:cs="Calibri" w:eastAsia="Calibri" w:hAnsi="Calibri"/>
          <w:color w:val="1A1A1A"/>
          <w:sz w:val="20"/>
          <w:szCs w:val="20"/>
        </w:rPr>
        <w:t xml:space="preserve"> par principe et chambres territoriales ; depuis la </w:t>
      </w:r>
      <w:r>
        <w:rPr>
          <w:rFonts w:ascii="Calibri" w:cs="Calibri" w:eastAsia="Calibri" w:hAnsi="Calibri"/>
          <w:color w:val="1E88E5"/>
          <w:sz w:val="20"/>
          <w:szCs w:val="20"/>
        </w:rPr>
        <w:t xml:space="preserve">loi du 10 septembre 2018</w:t>
      </w:r>
      <w:r>
        <w:rPr>
          <w:rFonts w:ascii="Calibri" w:cs="Calibri" w:eastAsia="Calibri" w:hAnsi="Calibri"/>
          <w:color w:val="1A1A1A"/>
          <w:sz w:val="20"/>
          <w:szCs w:val="20"/>
        </w:rPr>
        <w:t xml:space="preserve">, le recours n’est plus suspensif dans certains cas de procédure accélérée (pays d’origine sûrs, réexamen), avec faculté de demander la suspension de l’éloignement au tribunal administratif.</w:t>
      </w:r>
    </w:p>
    <w:p>
      <w:pPr>
        <w:pStyle w:val="ListParagraph"/>
        <w:numPr>
          <w:ilvl w:val="0"/>
          <w:numId w:val="2"/>
        </w:numPr>
        <w:spacing w:after="70" w:line="264"/>
        <w:jc w:val="both"/>
      </w:pPr>
      <w:r>
        <w:rPr>
          <w:rFonts w:ascii="Calibri" w:cs="Calibri" w:eastAsia="Calibri" w:hAnsi="Calibri"/>
          <w:b/>
          <w:bCs/>
          <w:color w:val="1A1A1A"/>
          <w:sz w:val="20"/>
          <w:szCs w:val="20"/>
        </w:rPr>
        <w:t xml:space="preserve">Procédure accélérée</w:t>
      </w:r>
      <w:r>
        <w:rPr>
          <w:rFonts w:ascii="Calibri" w:cs="Calibri" w:eastAsia="Calibri" w:hAnsi="Calibri"/>
          <w:color w:val="1A1A1A"/>
          <w:sz w:val="20"/>
          <w:szCs w:val="20"/>
        </w:rPr>
        <w:t xml:space="preserve"> : pays d’origine sûr, réexamen, fraude, refus des empreintes, demande tardive ou dilatoire ; examen en 15 jours (96 heures en rétention) ; la qualification de pays sûr n’instaure qu’une </w:t>
      </w:r>
      <w:r>
        <w:rPr>
          <w:rFonts w:ascii="Calibri" w:cs="Calibri" w:eastAsia="Calibri" w:hAnsi="Calibri"/>
          <w:b/>
          <w:bCs/>
          <w:color w:val="1A1A1A"/>
          <w:sz w:val="20"/>
          <w:szCs w:val="20"/>
        </w:rPr>
        <w:t xml:space="preserve">présomption réfragable</w:t>
      </w:r>
      <w:r>
        <w:rPr>
          <w:rFonts w:ascii="Calibri" w:cs="Calibri" w:eastAsia="Calibri" w:hAnsi="Calibri"/>
          <w:color w:val="1A1A1A"/>
          <w:sz w:val="20"/>
          <w:szCs w:val="20"/>
        </w:rPr>
        <w:t xml:space="preserve"> — examen individuel obligatoire.</w:t>
      </w:r>
    </w:p>
    <w:p>
      <w:pPr>
        <w:pStyle w:val="ListParagraph"/>
        <w:numPr>
          <w:ilvl w:val="0"/>
          <w:numId w:val="2"/>
        </w:numPr>
        <w:spacing w:after="70" w:line="264"/>
        <w:jc w:val="both"/>
      </w:pPr>
      <w:r>
        <w:rPr>
          <w:rFonts w:ascii="Calibri" w:cs="Calibri" w:eastAsia="Calibri" w:hAnsi="Calibri"/>
          <w:b/>
          <w:bCs/>
          <w:color w:val="1A1A1A"/>
          <w:sz w:val="20"/>
          <w:szCs w:val="20"/>
        </w:rPr>
        <w:t xml:space="preserve">Dublin</w:t>
      </w:r>
      <w:r>
        <w:rPr>
          <w:rFonts w:ascii="Calibri" w:cs="Calibri" w:eastAsia="Calibri" w:hAnsi="Calibri"/>
          <w:color w:val="1A1A1A"/>
          <w:sz w:val="20"/>
          <w:szCs w:val="20"/>
        </w:rPr>
        <w:t xml:space="preserve"> : un seul État responsable (entrée irrégulière, visa ou titre de séjour) ; transfert sous réserve de l’</w:t>
      </w:r>
      <w:r>
        <w:rPr>
          <w:rFonts w:ascii="Calibri" w:cs="Calibri" w:eastAsia="Calibri" w:hAnsi="Calibri"/>
          <w:color w:val="1E88E5"/>
          <w:sz w:val="20"/>
          <w:szCs w:val="20"/>
        </w:rPr>
        <w:t xml:space="preserve">art. 3 CEDH</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M.S.S.</w:t>
      </w:r>
      <w:r>
        <w:rPr>
          <w:rFonts w:ascii="Calibri" w:cs="Calibri" w:eastAsia="Calibri" w:hAnsi="Calibri"/>
          <w:color w:val="1A1A1A"/>
          <w:sz w:val="20"/>
          <w:szCs w:val="20"/>
        </w:rPr>
        <w:t xml:space="preserve">, 2011 ; garanties individuelles pour les familles : </w:t>
      </w:r>
      <w:r>
        <w:rPr>
          <w:rFonts w:ascii="Calibri" w:cs="Calibri" w:eastAsia="Calibri" w:hAnsi="Calibri"/>
          <w:color w:val="E91E63"/>
          <w:sz w:val="20"/>
          <w:szCs w:val="20"/>
        </w:rPr>
        <w:t xml:space="preserve">CEDH [GC], 4 novembre 2014, Tarakhel c. Suisse</w:t>
      </w:r>
      <w:r>
        <w:rPr>
          <w:rFonts w:ascii="Calibri" w:cs="Calibri" w:eastAsia="Calibri" w:hAnsi="Calibri"/>
          <w:color w:val="1A1A1A"/>
          <w:sz w:val="20"/>
          <w:szCs w:val="20"/>
        </w:rPr>
        <w:t xml:space="preserve">) et de l’</w:t>
      </w:r>
      <w:r>
        <w:rPr>
          <w:rFonts w:ascii="Calibri" w:cs="Calibri" w:eastAsia="Calibri" w:hAnsi="Calibri"/>
          <w:color w:val="1E88E5"/>
          <w:sz w:val="20"/>
          <w:szCs w:val="20"/>
        </w:rPr>
        <w:t xml:space="preserve">art. 4 CDFUE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CJUE [GC], 21 décembre 2011, N.S., C-411/10</w:t>
      </w:r>
      <w:r>
        <w:rPr>
          <w:rFonts w:ascii="Calibri" w:cs="Calibri" w:eastAsia="Calibri" w:hAnsi="Calibri"/>
          <w:color w:val="1A1A1A"/>
          <w:sz w:val="20"/>
          <w:szCs w:val="20"/>
        </w:rPr>
        <w:t xml:space="preserve">) ; règlement Dublin III remplacé en juin 2026.</w:t>
      </w:r>
    </w:p>
    <w:p>
      <w:pPr>
        <w:pStyle w:val="Heading2"/>
        <w:spacing w:after="120" w:before="280"/>
      </w:pPr>
      <w:r>
        <w:rPr>
          <w:rFonts w:ascii="Calibri" w:cs="Calibri" w:eastAsia="Calibri" w:hAnsi="Calibri"/>
          <w:b/>
          <w:bCs/>
          <w:color w:val="1A1A1A"/>
          <w:sz w:val="24"/>
          <w:szCs w:val="24"/>
        </w:rPr>
        <w:t xml:space="preserve">4. Les garanties</w:t>
      </w:r>
    </w:p>
    <w:p>
      <w:pPr>
        <w:pStyle w:val="ListParagraph"/>
        <w:numPr>
          <w:ilvl w:val="0"/>
          <w:numId w:val="2"/>
        </w:numPr>
        <w:spacing w:after="70" w:line="264"/>
        <w:jc w:val="both"/>
      </w:pPr>
      <w:r>
        <w:rPr>
          <w:rFonts w:ascii="Calibri" w:cs="Calibri" w:eastAsia="Calibri" w:hAnsi="Calibri"/>
          <w:b/>
          <w:bCs/>
          <w:color w:val="1A1A1A"/>
          <w:sz w:val="20"/>
          <w:szCs w:val="20"/>
        </w:rPr>
        <w:t xml:space="preserve">Maintien sur le territoire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conditions matérielles d’accueil</w:t>
      </w:r>
      <w:r>
        <w:rPr>
          <w:rFonts w:ascii="Calibri" w:cs="Calibri" w:eastAsia="Calibri" w:hAnsi="Calibri"/>
          <w:color w:val="1A1A1A"/>
          <w:sz w:val="20"/>
          <w:szCs w:val="20"/>
        </w:rPr>
        <w:t xml:space="preserve"> — hébergement et allocation pour demandeur d’asile (ADA, qui a remplacé l’allocation temporaire d’attente en 2015) ; elles ne peuvent être retirées à titre de sanction au point de priver de la satisfaction des besoins élémentaires (</w:t>
      </w:r>
      <w:r>
        <w:rPr>
          <w:rFonts w:ascii="Calibri" w:cs="Calibri" w:eastAsia="Calibri" w:hAnsi="Calibri"/>
          <w:color w:val="E91E63"/>
          <w:sz w:val="20"/>
          <w:szCs w:val="20"/>
        </w:rPr>
        <w:t xml:space="preserve">CJUE [GC], 12 novembre 2019, Haqbin, C-233/18</w:t>
      </w:r>
      <w:r>
        <w:rPr>
          <w:rFonts w:ascii="Calibri" w:cs="Calibri" w:eastAsia="Calibri" w:hAnsi="Calibri"/>
          <w:color w:val="1A1A1A"/>
          <w:sz w:val="20"/>
          <w:szCs w:val="20"/>
        </w:rPr>
        <w:t xml:space="preserve">) ; demandeurs d’asile laissés sans ressources ni hébergement : violation de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2 juillet 2020, N.H. et autres c. France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Recours effectif</w:t>
      </w:r>
      <w:r>
        <w:rPr>
          <w:rFonts w:ascii="Calibri" w:cs="Calibri" w:eastAsia="Calibri" w:hAnsi="Calibri"/>
          <w:color w:val="1A1A1A"/>
          <w:sz w:val="20"/>
          <w:szCs w:val="20"/>
        </w:rPr>
        <w:t xml:space="preserve"> : recours de plein droit suspensif contre le refus d’entrée au titre de l’asile (</w:t>
      </w:r>
      <w:r>
        <w:rPr>
          <w:rFonts w:ascii="Calibri" w:cs="Calibri" w:eastAsia="Calibri" w:hAnsi="Calibri"/>
          <w:color w:val="E91E63"/>
          <w:sz w:val="20"/>
          <w:szCs w:val="20"/>
        </w:rPr>
        <w:t xml:space="preserve">CEDH, 26 avril 2007, Gebremedhin c. France</w:t>
      </w:r>
      <w:r>
        <w:rPr>
          <w:rFonts w:ascii="Calibri" w:cs="Calibri" w:eastAsia="Calibri" w:hAnsi="Calibri"/>
          <w:color w:val="1A1A1A"/>
          <w:sz w:val="20"/>
          <w:szCs w:val="20"/>
        </w:rPr>
        <w:t xml:space="preserve">). </w:t>
      </w:r>
      <w:r>
        <w:rPr>
          <w:rFonts w:ascii="Calibri" w:cs="Calibri" w:eastAsia="Calibri" w:hAnsi="Calibri"/>
          <w:b/>
          <w:bCs/>
          <w:color w:val="1A1A1A"/>
          <w:sz w:val="20"/>
          <w:szCs w:val="20"/>
        </w:rPr>
        <w:t xml:space="preserve">Conditions de vie</w:t>
      </w:r>
      <w:r>
        <w:rPr>
          <w:rFonts w:ascii="Calibri" w:cs="Calibri" w:eastAsia="Calibri" w:hAnsi="Calibri"/>
          <w:color w:val="1A1A1A"/>
          <w:sz w:val="20"/>
          <w:szCs w:val="20"/>
        </w:rPr>
        <w:t xml:space="preserve"> : carence de l’État à Calais — traitement inhumain ou dégradant, injonctions (</w:t>
      </w:r>
      <w:r>
        <w:rPr>
          <w:rFonts w:ascii="Calibri" w:cs="Calibri" w:eastAsia="Calibri" w:hAnsi="Calibri"/>
          <w:color w:val="E91E63"/>
          <w:sz w:val="20"/>
          <w:szCs w:val="20"/>
        </w:rPr>
        <w:t xml:space="preserve">CE, 31 juillet 2017</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Solidarité</w:t>
      </w:r>
      <w:r>
        <w:rPr>
          <w:rFonts w:ascii="Calibri" w:cs="Calibri" w:eastAsia="Calibri" w:hAnsi="Calibri"/>
          <w:color w:val="1A1A1A"/>
          <w:sz w:val="20"/>
          <w:szCs w:val="20"/>
        </w:rPr>
        <w:t xml:space="preserve"> : le principe de </w:t>
      </w:r>
      <w:r>
        <w:rPr>
          <w:rFonts w:ascii="Calibri" w:cs="Calibri" w:eastAsia="Calibri" w:hAnsi="Calibri"/>
          <w:b/>
          <w:bCs/>
          <w:color w:val="1A1A1A"/>
          <w:sz w:val="20"/>
          <w:szCs w:val="20"/>
        </w:rPr>
        <w:t xml:space="preserve">fraternité</w:t>
      </w:r>
      <w:r>
        <w:rPr>
          <w:rFonts w:ascii="Calibri" w:cs="Calibri" w:eastAsia="Calibri" w:hAnsi="Calibri"/>
          <w:color w:val="1A1A1A"/>
          <w:sz w:val="20"/>
          <w:szCs w:val="20"/>
        </w:rPr>
        <w:t xml:space="preserve"> implique la liberté d’aider autrui dans un but humanitaire, sans considération de la régularité de son séjour (</w:t>
      </w:r>
      <w:r>
        <w:rPr>
          <w:rFonts w:ascii="Calibri" w:cs="Calibri" w:eastAsia="Calibri" w:hAnsi="Calibri"/>
          <w:color w:val="E91E63"/>
          <w:sz w:val="20"/>
          <w:szCs w:val="20"/>
        </w:rPr>
        <w:t xml:space="preserve">2018-717/718 QPC, 6 juillet 2018, Herrou</w:t>
      </w:r>
      <w:r>
        <w:rPr>
          <w:rFonts w:ascii="Calibri" w:cs="Calibri" w:eastAsia="Calibri" w:hAnsi="Calibri"/>
          <w:color w:val="1A1A1A"/>
          <w:sz w:val="20"/>
          <w:szCs w:val="20"/>
        </w:rPr>
        <w:t xml:space="preserve">) — l’aide à l’entrée irrégulière reste punissable.</w:t>
      </w:r>
    </w:p>
    <w:p>
      <w:pPr>
        <w:pStyle w:val="ListParagraph"/>
        <w:numPr>
          <w:ilvl w:val="0"/>
          <w:numId w:val="2"/>
        </w:numPr>
        <w:spacing w:after="70" w:line="264"/>
        <w:jc w:val="both"/>
      </w:pPr>
      <w:r>
        <w:rPr>
          <w:rFonts w:ascii="Calibri" w:cs="Calibri" w:eastAsia="Calibri" w:hAnsi="Calibri"/>
          <w:b/>
          <w:bCs/>
          <w:color w:val="1A1A1A"/>
          <w:sz w:val="20"/>
          <w:szCs w:val="20"/>
        </w:rPr>
        <w:t xml:space="preserve">Zones de transit</w:t>
      </w:r>
      <w:r>
        <w:rPr>
          <w:rFonts w:ascii="Calibri" w:cs="Calibri" w:eastAsia="Calibri" w:hAnsi="Calibri"/>
          <w:color w:val="1A1A1A"/>
          <w:sz w:val="20"/>
          <w:szCs w:val="20"/>
        </w:rPr>
        <w:t xml:space="preserve"> : rétention prolongée en zone de transit hongroise (</w:t>
      </w:r>
      <w:r>
        <w:rPr>
          <w:rFonts w:ascii="Calibri" w:cs="Calibri" w:eastAsia="Calibri" w:hAnsi="Calibri"/>
          <w:color w:val="E91E63"/>
          <w:sz w:val="20"/>
          <w:szCs w:val="20"/>
        </w:rPr>
        <w:t xml:space="preserve">CEDH [GC], 21 novembre 2019, Ilias et Ahmed c. Hongrie</w:t>
      </w:r>
      <w:r>
        <w:rPr>
          <w:rFonts w:ascii="Calibri" w:cs="Calibri" w:eastAsia="Calibri" w:hAnsi="Calibri"/>
          <w:color w:val="1A1A1A"/>
          <w:sz w:val="20"/>
          <w:szCs w:val="20"/>
        </w:rPr>
        <w:t xml:space="preserve"> : pas de privation de liberté, mais violation de l’</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procédural pour le renvoi vers la Serbie sans examen du risque).</w:t>
      </w:r>
    </w:p>
    <w:p>
      <w:pPr>
        <w:pStyle w:val="Heading2"/>
        <w:spacing w:after="120" w:before="280"/>
      </w:pPr>
      <w:r>
        <w:rPr>
          <w:rFonts w:ascii="Calibri" w:cs="Calibri" w:eastAsia="Calibri" w:hAnsi="Calibri"/>
          <w:b/>
          <w:bCs/>
          <w:color w:val="1A1A1A"/>
          <w:sz w:val="24"/>
          <w:szCs w:val="24"/>
        </w:rPr>
        <w:t xml:space="preserve">5. Débats doctrinaux et critiques</w:t>
      </w:r>
    </w:p>
    <w:p>
      <w:pPr>
        <w:pStyle w:val="ListParagraph"/>
        <w:numPr>
          <w:ilvl w:val="0"/>
          <w:numId w:val="2"/>
        </w:numPr>
        <w:spacing w:after="70" w:line="264"/>
        <w:jc w:val="both"/>
      </w:pPr>
      <w:r>
        <w:rPr>
          <w:rFonts w:ascii="Calibri" w:cs="Calibri" w:eastAsia="Calibri" w:hAnsi="Calibri"/>
          <w:b/>
          <w:bCs/>
          <w:color w:val="1A1A1A"/>
          <w:sz w:val="20"/>
          <w:szCs w:val="20"/>
        </w:rPr>
        <w:t xml:space="preserve">Asile et souveraineté</w:t>
      </w:r>
      <w:r>
        <w:rPr>
          <w:rFonts w:ascii="Calibri" w:cs="Calibri" w:eastAsia="Calibri" w:hAnsi="Calibri"/>
          <w:color w:val="1A1A1A"/>
          <w:sz w:val="20"/>
          <w:szCs w:val="20"/>
        </w:rPr>
        <w:t xml:space="preserve"> — la révision de 1993 a été vue comme un « lit de justice » constituant contre le juge ; elle a ouvert l’européanisation de l’asile (Schengen, Dublin). L’</w:t>
      </w:r>
      <w:r>
        <w:rPr>
          <w:rFonts w:ascii="Calibri" w:cs="Calibri" w:eastAsia="Calibri" w:hAnsi="Calibri"/>
          <w:color w:val="1E88E5"/>
          <w:sz w:val="20"/>
          <w:szCs w:val="20"/>
        </w:rPr>
        <w:t xml:space="preserve">art. 53-1</w:t>
      </w:r>
      <w:r>
        <w:rPr>
          <w:rFonts w:ascii="Calibri" w:cs="Calibri" w:eastAsia="Calibri" w:hAnsi="Calibri"/>
          <w:color w:val="1A1A1A"/>
          <w:sz w:val="20"/>
          <w:szCs w:val="20"/>
        </w:rPr>
        <w:t xml:space="preserve"> conserve un </w:t>
      </w:r>
      <w:r>
        <w:rPr>
          <w:rFonts w:ascii="Calibri" w:cs="Calibri" w:eastAsia="Calibri" w:hAnsi="Calibri"/>
          <w:b/>
          <w:bCs/>
          <w:color w:val="1A1A1A"/>
          <w:sz w:val="20"/>
          <w:szCs w:val="20"/>
        </w:rPr>
        <w:t xml:space="preserve">droit souverain</w:t>
      </w:r>
      <w:r>
        <w:rPr>
          <w:rFonts w:ascii="Calibri" w:cs="Calibri" w:eastAsia="Calibri" w:hAnsi="Calibri"/>
          <w:color w:val="1A1A1A"/>
          <w:sz w:val="20"/>
          <w:szCs w:val="20"/>
        </w:rPr>
        <w:t xml:space="preserve"> de donner asile, non un droit subjectif du demandeur au-delà des accords.</w:t>
      </w:r>
    </w:p>
    <w:p>
      <w:pPr>
        <w:pStyle w:val="ListParagraph"/>
        <w:numPr>
          <w:ilvl w:val="0"/>
          <w:numId w:val="2"/>
        </w:numPr>
        <w:spacing w:after="70" w:line="264"/>
        <w:jc w:val="both"/>
      </w:pPr>
      <w:r>
        <w:rPr>
          <w:rFonts w:ascii="Calibri" w:cs="Calibri" w:eastAsia="Calibri" w:hAnsi="Calibri"/>
          <w:b/>
          <w:bCs/>
          <w:color w:val="1A1A1A"/>
          <w:sz w:val="20"/>
          <w:szCs w:val="20"/>
        </w:rPr>
        <w:t xml:space="preserve">Procéduralisation et effectivité</w:t>
      </w:r>
      <w:r>
        <w:rPr>
          <w:rFonts w:ascii="Calibri" w:cs="Calibri" w:eastAsia="Calibri" w:hAnsi="Calibri"/>
          <w:color w:val="1A1A1A"/>
          <w:sz w:val="20"/>
          <w:szCs w:val="20"/>
        </w:rPr>
        <w:t xml:space="preserve"> — la multiplication des procédures accélérées, du juge unique et des listes de pays sûrs accroît l’efficacité au prix des garanties ; le juge européen veille au </w:t>
      </w:r>
      <w:r>
        <w:rPr>
          <w:rFonts w:ascii="Calibri" w:cs="Calibri" w:eastAsia="Calibri" w:hAnsi="Calibri"/>
          <w:b/>
          <w:bCs/>
          <w:color w:val="1A1A1A"/>
          <w:sz w:val="20"/>
          <w:szCs w:val="20"/>
        </w:rPr>
        <w:t xml:space="preserve">noyau dur</w:t>
      </w:r>
      <w:r>
        <w:rPr>
          <w:rFonts w:ascii="Calibri" w:cs="Calibri" w:eastAsia="Calibri" w:hAnsi="Calibri"/>
          <w:color w:val="1A1A1A"/>
          <w:sz w:val="20"/>
          <w:szCs w:val="20"/>
        </w:rPr>
        <w:t xml:space="preserve"> (examen individuel, non-refoulement, recours effectif).</w:t>
      </w:r>
    </w:p>
    <w:p>
      <w:pPr>
        <w:pStyle w:val="ListParagraph"/>
        <w:numPr>
          <w:ilvl w:val="0"/>
          <w:numId w:val="2"/>
        </w:numPr>
        <w:spacing w:after="70" w:line="264"/>
        <w:jc w:val="both"/>
      </w:pPr>
      <w:r>
        <w:rPr>
          <w:rFonts w:ascii="Calibri" w:cs="Calibri" w:eastAsia="Calibri" w:hAnsi="Calibri"/>
          <w:b/>
          <w:bCs/>
          <w:color w:val="1A1A1A"/>
          <w:sz w:val="20"/>
          <w:szCs w:val="20"/>
        </w:rPr>
        <w:t xml:space="preserve">Externalisation</w:t>
      </w:r>
      <w:r>
        <w:rPr>
          <w:rFonts w:ascii="Calibri" w:cs="Calibri" w:eastAsia="Calibri" w:hAnsi="Calibri"/>
          <w:color w:val="1A1A1A"/>
          <w:sz w:val="20"/>
          <w:szCs w:val="20"/>
        </w:rPr>
        <w:t xml:space="preserve"> — accords avec des États tiers, « hubs de retour », procédures à la frontière : la question de la </w:t>
      </w:r>
      <w:r>
        <w:rPr>
          <w:rFonts w:ascii="Calibri" w:cs="Calibri" w:eastAsia="Calibri" w:hAnsi="Calibri"/>
          <w:b/>
          <w:bCs/>
          <w:color w:val="1A1A1A"/>
          <w:sz w:val="20"/>
          <w:szCs w:val="20"/>
        </w:rPr>
        <w:t xml:space="preserve">juridiction</w:t>
      </w:r>
      <w:r>
        <w:rPr>
          <w:rFonts w:ascii="Calibri" w:cs="Calibri" w:eastAsia="Calibri" w:hAnsi="Calibri"/>
          <w:color w:val="1A1A1A"/>
          <w:sz w:val="20"/>
          <w:szCs w:val="20"/>
        </w:rPr>
        <w:t xml:space="preserve"> et du contrôle effectif du non-refoulement hors du territoire (fiche 43).</w:t>
      </w:r>
    </w:p>
    <w:p>
      <w:pPr>
        <w:pStyle w:val="ListParagraph"/>
        <w:numPr>
          <w:ilvl w:val="0"/>
          <w:numId w:val="2"/>
        </w:numPr>
        <w:spacing w:after="70" w:line="264"/>
        <w:jc w:val="both"/>
      </w:pPr>
      <w:r>
        <w:rPr>
          <w:rFonts w:ascii="Calibri" w:cs="Calibri" w:eastAsia="Calibri" w:hAnsi="Calibri"/>
          <w:b/>
          <w:bCs/>
          <w:color w:val="1A1A1A"/>
          <w:sz w:val="20"/>
          <w:szCs w:val="20"/>
        </w:rPr>
        <w:t xml:space="preserve">« Le droit d’avoir des droits »</w:t>
      </w:r>
      <w:r>
        <w:rPr>
          <w:rFonts w:ascii="Calibri" w:cs="Calibri" w:eastAsia="Calibri" w:hAnsi="Calibri"/>
          <w:color w:val="1A1A1A"/>
          <w:sz w:val="20"/>
          <w:szCs w:val="20"/>
        </w:rPr>
        <w:t xml:space="preserve"> — </w:t>
      </w:r>
      <w:r>
        <w:rPr>
          <w:rFonts w:ascii="Calibri" w:cs="Calibri" w:eastAsia="Calibri" w:hAnsi="Calibri"/>
          <w:color w:val="2E7D32"/>
          <w:sz w:val="20"/>
          <w:szCs w:val="20"/>
        </w:rPr>
        <w:t xml:space="preserve">Hannah Arendt</w:t>
      </w:r>
      <w:r>
        <w:rPr>
          <w:rFonts w:ascii="Calibri" w:cs="Calibri" w:eastAsia="Calibri" w:hAnsi="Calibri"/>
          <w:color w:val="1A1A1A"/>
          <w:sz w:val="20"/>
          <w:szCs w:val="20"/>
        </w:rPr>
        <w:t xml:space="preserve"> (1951) : l’apatride et le réfugié révèlent que les droits de l’homme supposent l’appartenance à une communauté politique ; l’asile est la réponse juridique à cette aporie.</w:t>
      </w:r>
    </w:p>
    <w:p>
      <w:pPr>
        <w:pStyle w:val="Heading2"/>
        <w:spacing w:after="120" w:before="280"/>
      </w:pPr>
      <w:r>
        <w:rPr>
          <w:rFonts w:ascii="Calibri" w:cs="Calibri" w:eastAsia="Calibri" w:hAnsi="Calibri"/>
          <w:b/>
          <w:bCs/>
          <w:color w:val="1A1A1A"/>
          <w:sz w:val="24"/>
          <w:szCs w:val="24"/>
        </w:rPr>
        <w:t xml:space="preserve">6. Dispositif « Grand Oral »</w:t>
      </w:r>
    </w:p>
    <w:p>
      <w:pPr>
        <w:pStyle w:val="Heading3"/>
        <w:spacing w:after="90" w:before="200"/>
      </w:pPr>
      <w:r>
        <w:rPr>
          <w:rFonts w:ascii="Calibri" w:cs="Calibri" w:eastAsia="Calibri" w:hAnsi="Calibri"/>
          <w:b/>
          <w:bCs/>
          <w:i/>
          <w:iCs/>
          <w:color w:val="5A5A5A"/>
          <w:sz w:val="21"/>
          <w:szCs w:val="21"/>
        </w:rPr>
        <w:t xml:space="preserve">6.1. Trois relances / questions pièges</w:t>
      </w:r>
    </w:p>
    <w:p>
      <w:pPr>
        <w:pStyle w:val="ListParagraph"/>
        <w:numPr>
          <w:ilvl w:val="0"/>
          <w:numId w:val="2"/>
        </w:numPr>
        <w:spacing w:after="70" w:line="264"/>
        <w:jc w:val="both"/>
      </w:pPr>
      <w:r>
        <w:rPr>
          <w:rFonts w:ascii="Calibri" w:cs="Calibri" w:eastAsia="Calibri" w:hAnsi="Calibri"/>
          <w:b/>
          <w:bCs/>
          <w:color w:val="1A1A1A"/>
          <w:sz w:val="20"/>
          <w:szCs w:val="20"/>
        </w:rPr>
        <w:t xml:space="preserve">« La France peut-elle refuser d’examiner une demande d’asile relevant d’un autre État européen ? »</w:t>
      </w:r>
      <w:r>
        <w:rPr>
          <w:rFonts w:ascii="Calibri" w:cs="Calibri" w:eastAsia="Calibri" w:hAnsi="Calibri"/>
          <w:color w:val="1A1A1A"/>
          <w:sz w:val="20"/>
          <w:szCs w:val="20"/>
        </w:rPr>
        <w:t xml:space="preserve"> — Oui en vertu des accords européens (</w:t>
      </w:r>
      <w:r>
        <w:rPr>
          <w:rFonts w:ascii="Calibri" w:cs="Calibri" w:eastAsia="Calibri" w:hAnsi="Calibri"/>
          <w:color w:val="1E88E5"/>
          <w:sz w:val="20"/>
          <w:szCs w:val="20"/>
        </w:rPr>
        <w:t xml:space="preserve">art. 53-1</w:t>
      </w:r>
      <w:r>
        <w:rPr>
          <w:rFonts w:ascii="Calibri" w:cs="Calibri" w:eastAsia="Calibri" w:hAnsi="Calibri"/>
          <w:color w:val="1A1A1A"/>
          <w:sz w:val="20"/>
          <w:szCs w:val="20"/>
        </w:rPr>
        <w:t xml:space="preserve">, Dublin), mais elle conserve le droit souverain d’examiner ; et le transfert est interdit en cas de défaillances systémiques (</w:t>
      </w:r>
      <w:r>
        <w:rPr>
          <w:rFonts w:ascii="Calibri" w:cs="Calibri" w:eastAsia="Calibri" w:hAnsi="Calibri"/>
          <w:color w:val="E91E63"/>
          <w:sz w:val="20"/>
          <w:szCs w:val="20"/>
        </w:rPr>
        <w:t xml:space="preserve">M.S.S.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N.S.</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Un pays d’origine sûr l’est-il pour tous ses ressortissants ? »</w:t>
      </w:r>
      <w:r>
        <w:rPr>
          <w:rFonts w:ascii="Calibri" w:cs="Calibri" w:eastAsia="Calibri" w:hAnsi="Calibri"/>
          <w:color w:val="1A1A1A"/>
          <w:sz w:val="20"/>
          <w:szCs w:val="20"/>
        </w:rPr>
        <w:t xml:space="preserve"> — Non : la présomption est réfragable, le demandeur peut établir un risque personnel, et la désignation peut exclure certaines parties du territoire ou certaines catégories (personnes LGBT, opposants) (</w:t>
      </w:r>
      <w:r>
        <w:rPr>
          <w:rFonts w:ascii="Calibri" w:cs="Calibri" w:eastAsia="Calibri" w:hAnsi="Calibri"/>
          <w:color w:val="1E88E5"/>
          <w:sz w:val="20"/>
          <w:szCs w:val="20"/>
        </w:rPr>
        <w:t xml:space="preserve">règlement 2026/464</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 Aider un migrant en situation irrégulière est-il un délit ? »</w:t>
      </w:r>
      <w:r>
        <w:rPr>
          <w:rFonts w:ascii="Calibri" w:cs="Calibri" w:eastAsia="Calibri" w:hAnsi="Calibri"/>
          <w:color w:val="1A1A1A"/>
          <w:sz w:val="20"/>
          <w:szCs w:val="20"/>
        </w:rPr>
        <w:t xml:space="preserve"> — L’aide au séjour ou à la circulation dans un but humanitaire et sans contrepartie est protégée par le principe de fraternité (</w:t>
      </w:r>
      <w:r>
        <w:rPr>
          <w:rFonts w:ascii="Calibri" w:cs="Calibri" w:eastAsia="Calibri" w:hAnsi="Calibri"/>
          <w:color w:val="E91E63"/>
          <w:sz w:val="20"/>
          <w:szCs w:val="20"/>
        </w:rPr>
        <w:t xml:space="preserve">2018-717/718 QPC</w:t>
      </w:r>
      <w:r>
        <w:rPr>
          <w:rFonts w:ascii="Calibri" w:cs="Calibri" w:eastAsia="Calibri" w:hAnsi="Calibri"/>
          <w:color w:val="1A1A1A"/>
          <w:sz w:val="20"/>
          <w:szCs w:val="20"/>
        </w:rPr>
        <w:t xml:space="preserve">) ; l’aide à l’entrée irrégulière demeure punissable.</w:t>
      </w:r>
    </w:p>
    <w:p>
      <w:pPr>
        <w:pStyle w:val="Heading3"/>
        <w:spacing w:after="90" w:before="200"/>
      </w:pPr>
      <w:r>
        <w:rPr>
          <w:rFonts w:ascii="Calibri" w:cs="Calibri" w:eastAsia="Calibri" w:hAnsi="Calibri"/>
          <w:b/>
          <w:bCs/>
          <w:i/>
          <w:iCs/>
          <w:color w:val="5A5A5A"/>
          <w:sz w:val="21"/>
          <w:szCs w:val="21"/>
        </w:rPr>
        <w:t xml:space="preserve">6.2. Sujets d’exposé rattachables</w:t>
      </w:r>
    </w:p>
    <w:p>
      <w:pPr>
        <w:pStyle w:val="ListParagraph"/>
        <w:numPr>
          <w:ilvl w:val="0"/>
          <w:numId w:val="2"/>
        </w:numPr>
        <w:spacing w:after="70" w:line="264"/>
        <w:jc w:val="both"/>
      </w:pPr>
      <w:r>
        <w:rPr>
          <w:rFonts w:ascii="Calibri" w:cs="Calibri" w:eastAsia="Calibri" w:hAnsi="Calibri"/>
          <w:color w:val="1A1A1A"/>
          <w:sz w:val="20"/>
          <w:szCs w:val="20"/>
        </w:rPr>
        <w:t xml:space="preserve">Le droit d’asile — Asile et souveraineté — L’européanisation du droit d’asile — Le principe de non-refoulement — Le Pacte sur la migration et l’asile — La fraternité, principe constitutionnel — Commentaire :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(sujet « Pour s’entraîner » du fascicule) — Commentaire : </w:t>
      </w:r>
      <w:r>
        <w:rPr>
          <w:rFonts w:ascii="Calibri" w:cs="Calibri" w:eastAsia="Calibri" w:hAnsi="Calibri"/>
          <w:color w:val="E91E63"/>
          <w:sz w:val="20"/>
          <w:szCs w:val="20"/>
        </w:rPr>
        <w:t xml:space="preserve">M.S.S. c. Belgique et Grèce</w:t>
      </w:r>
      <w:r>
        <w:rPr>
          <w:rFonts w:ascii="Calibri" w:cs="Calibri" w:eastAsia="Calibri" w:hAnsi="Calibri"/>
          <w:color w:val="1A1A1A"/>
          <w:sz w:val="20"/>
          <w:szCs w:val="20"/>
        </w:rPr>
        <w:t xml:space="preserve">.</w:t>
      </w:r>
    </w:p>
    <w:p>
      <w:pPr>
        <w:pStyle w:val="Heading3"/>
        <w:spacing w:after="90" w:before="200"/>
      </w:pPr>
      <w:r>
        <w:rPr>
          <w:rFonts w:ascii="Calibri" w:cs="Calibri" w:eastAsia="Calibri" w:hAnsi="Calibri"/>
          <w:b/>
          <w:bCs/>
          <w:i/>
          <w:iCs/>
          <w:color w:val="5A5A5A"/>
          <w:sz w:val="21"/>
          <w:szCs w:val="21"/>
        </w:rPr>
        <w:t xml:space="preserve">6.3. Angles morts — en question / réponse</w:t>
      </w:r>
    </w:p>
    <w:p>
      <w:pPr>
        <w:pStyle w:val="ListParagraph"/>
        <w:numPr>
          <w:ilvl w:val="0"/>
          <w:numId w:val="2"/>
        </w:numPr>
        <w:spacing w:after="70" w:line="264"/>
        <w:jc w:val="both"/>
      </w:pPr>
      <w:r>
        <w:rPr>
          <w:rFonts w:ascii="Calibri" w:cs="Calibri" w:eastAsia="Calibri" w:hAnsi="Calibri"/>
          <w:b/>
          <w:bCs/>
          <w:color w:val="1A1A1A"/>
          <w:sz w:val="20"/>
          <w:szCs w:val="20"/>
        </w:rPr>
        <w:t xml:space="preserve">Q. Qui accorde le statut de réfugié en France ?</w:t>
      </w:r>
      <w:r>
        <w:rPr>
          <w:rFonts w:ascii="Calibri" w:cs="Calibri" w:eastAsia="Calibri" w:hAnsi="Calibri"/>
          <w:color w:val="1A1A1A"/>
          <w:sz w:val="20"/>
          <w:szCs w:val="20"/>
        </w:rPr>
        <w:t xml:space="preserve"> — L’</w:t>
      </w:r>
      <w:r>
        <w:rPr>
          <w:rFonts w:ascii="Calibri" w:cs="Calibri" w:eastAsia="Calibri" w:hAnsi="Calibri"/>
          <w:b/>
          <w:bCs/>
          <w:color w:val="1A1A1A"/>
          <w:sz w:val="20"/>
          <w:szCs w:val="20"/>
        </w:rPr>
        <w:t xml:space="preserve">OFPRA</w:t>
      </w:r>
      <w:r>
        <w:rPr>
          <w:rFonts w:ascii="Calibri" w:cs="Calibri" w:eastAsia="Calibri" w:hAnsi="Calibri"/>
          <w:color w:val="1A1A1A"/>
          <w:sz w:val="20"/>
          <w:szCs w:val="20"/>
        </w:rPr>
        <w:t xml:space="preserve"> (créé par la loi du 25 juillet 1952), sous le contrôle de la </w:t>
      </w:r>
      <w:r>
        <w:rPr>
          <w:rFonts w:ascii="Calibri" w:cs="Calibri" w:eastAsia="Calibri" w:hAnsi="Calibri"/>
          <w:b/>
          <w:bCs/>
          <w:color w:val="1A1A1A"/>
          <w:sz w:val="20"/>
          <w:szCs w:val="20"/>
        </w:rPr>
        <w:t xml:space="preserve">CNDA</w:t>
      </w:r>
      <w:r>
        <w:rPr>
          <w:rFonts w:ascii="Calibri" w:cs="Calibri" w:eastAsia="Calibri" w:hAnsi="Calibri"/>
          <w:color w:val="1A1A1A"/>
          <w:sz w:val="20"/>
          <w:szCs w:val="20"/>
        </w:rPr>
        <w:t xml:space="preserve"> (ancienne Commission des recours des réfugiés), elle-même sous le contrôle de cassation du Conseil d’État.</w:t>
      </w:r>
    </w:p>
    <w:p>
      <w:pPr>
        <w:pStyle w:val="ListParagraph"/>
        <w:numPr>
          <w:ilvl w:val="0"/>
          <w:numId w:val="2"/>
        </w:numPr>
        <w:spacing w:after="70" w:line="264"/>
        <w:jc w:val="both"/>
      </w:pPr>
      <w:r>
        <w:rPr>
          <w:rFonts w:ascii="Calibri" w:cs="Calibri" w:eastAsia="Calibri" w:hAnsi="Calibri"/>
          <w:b/>
          <w:bCs/>
          <w:color w:val="1A1A1A"/>
          <w:sz w:val="20"/>
          <w:szCs w:val="20"/>
        </w:rPr>
        <w:t xml:space="preserve">Q. Combien de temps dure la carte de résident d’un réfugié ?</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Dix ans</w:t>
      </w:r>
      <w:r>
        <w:rPr>
          <w:rFonts w:ascii="Calibri" w:cs="Calibri" w:eastAsia="Calibri" w:hAnsi="Calibri"/>
          <w:color w:val="1A1A1A"/>
          <w:sz w:val="20"/>
          <w:szCs w:val="20"/>
        </w:rPr>
        <w:t xml:space="preserve"> ; quatre ans pour la carte pluriannuelle du bénéficiaire de la protection subsidiaire.</w:t>
      </w:r>
    </w:p>
    <w:p>
      <w:pPr>
        <w:pStyle w:val="ListParagraph"/>
        <w:numPr>
          <w:ilvl w:val="0"/>
          <w:numId w:val="2"/>
        </w:numPr>
        <w:spacing w:after="70" w:line="264"/>
        <w:jc w:val="both"/>
      </w:pPr>
      <w:r>
        <w:rPr>
          <w:rFonts w:ascii="Calibri" w:cs="Calibri" w:eastAsia="Calibri" w:hAnsi="Calibri"/>
          <w:b/>
          <w:bCs/>
          <w:color w:val="1A1A1A"/>
          <w:sz w:val="20"/>
          <w:szCs w:val="20"/>
        </w:rPr>
        <w:t xml:space="preserve">Q. Quel article du TFUE fonde la politique commune d’asile ?</w:t>
      </w:r>
      <w:r>
        <w:rPr>
          <w:rFonts w:ascii="Calibri" w:cs="Calibri" w:eastAsia="Calibri" w:hAnsi="Calibri"/>
          <w:color w:val="1A1A1A"/>
          <w:sz w:val="20"/>
          <w:szCs w:val="20"/>
        </w:rPr>
        <w:t xml:space="preserve"> — L’</w:t>
      </w:r>
      <w:r>
        <w:rPr>
          <w:rFonts w:ascii="Calibri" w:cs="Calibri" w:eastAsia="Calibri" w:hAnsi="Calibri"/>
          <w:color w:val="1E88E5"/>
          <w:sz w:val="20"/>
          <w:szCs w:val="20"/>
        </w:rPr>
        <w:t xml:space="preserve">art. 78 TFUE</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Q. Qu’a jugé la Cour dans Haqbin ?</w:t>
      </w:r>
      <w:r>
        <w:rPr>
          <w:rFonts w:ascii="Calibri" w:cs="Calibri" w:eastAsia="Calibri" w:hAnsi="Calibri"/>
          <w:color w:val="1A1A1A"/>
          <w:sz w:val="20"/>
          <w:szCs w:val="20"/>
        </w:rPr>
        <w:t xml:space="preserve"> — Qu’un État ne peut retirer, même temporairement, les conditions matérielles d’accueil à titre de sanction au point de priver le demandeur de la satisfaction de ses besoins élémentaires (2019).</w:t>
      </w:r>
    </w:p>
    <w:p>
      <w:r>
        <w:br w:type="page"/>
      </w:r>
    </w:p>
    <w:p>
      <w:pPr>
        <w:pStyle w:val="Heading1"/>
        <w:pBdr>
          <w:bottom w:val="single" w:color="8C1C2B" w:sz="12" w:space="6"/>
        </w:pBdr>
        <w:spacing w:after="200" w:before="240"/>
      </w:pPr>
      <w:r>
        <w:rPr>
          <w:rFonts w:ascii="Calibri" w:cs="Calibri" w:eastAsia="Calibri" w:hAnsi="Calibri"/>
          <w:b/>
          <w:bCs/>
          <w:color w:val="8C1C2B"/>
          <w:sz w:val="30"/>
          <w:szCs w:val="30"/>
        </w:rPr>
        <w:t xml:space="preserve">ANNEXE — COMPLÉMENTS À LA CHRONOLOGIE ET À L’INDEX (Partie VII-B)</w:t>
      </w:r>
    </w:p>
    <w:p>
      <w:pPr>
        <w:pStyle w:val="Heading2"/>
        <w:spacing w:after="120" w:before="280"/>
      </w:pPr>
      <w:r>
        <w:rPr>
          <w:rFonts w:ascii="Calibri" w:cs="Calibri" w:eastAsia="Calibri" w:hAnsi="Calibri"/>
          <w:b/>
          <w:bCs/>
          <w:color w:val="1A1A1A"/>
          <w:sz w:val="24"/>
          <w:szCs w:val="24"/>
        </w:rPr>
        <w:t xml:space="preserve">I. Ajouts à la chronologie transversale</w:t>
      </w:r>
    </w:p>
    <w:p>
      <w:pPr>
        <w:pStyle w:val="ListParagraph"/>
        <w:numPr>
          <w:ilvl w:val="0"/>
          <w:numId w:val="2"/>
        </w:numPr>
        <w:spacing w:after="70" w:line="264"/>
        <w:jc w:val="both"/>
      </w:pPr>
      <w:r>
        <w:rPr>
          <w:rFonts w:ascii="Calibri" w:cs="Calibri" w:eastAsia="Calibri" w:hAnsi="Calibri"/>
          <w:b/>
          <w:bCs/>
          <w:color w:val="1A1A1A"/>
          <w:sz w:val="20"/>
          <w:szCs w:val="20"/>
        </w:rPr>
        <w:t xml:space="preserve">1780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1780 C. civ.</w:t>
      </w:r>
      <w:r>
        <w:rPr>
          <w:rFonts w:ascii="Calibri" w:cs="Calibri" w:eastAsia="Calibri" w:hAnsi="Calibri"/>
          <w:color w:val="1A1A1A"/>
          <w:sz w:val="20"/>
          <w:szCs w:val="20"/>
        </w:rPr>
        <w:t xml:space="preserve"> (1804) — </w:t>
      </w:r>
      <w:r>
        <w:rPr>
          <w:rFonts w:ascii="Calibri" w:cs="Calibri" w:eastAsia="Calibri" w:hAnsi="Calibri"/>
          <w:b/>
          <w:bCs/>
          <w:color w:val="1A1A1A"/>
          <w:sz w:val="20"/>
          <w:szCs w:val="20"/>
        </w:rPr>
        <w:t xml:space="preserve">1793</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Constitution du 24 juin, art. 120</w:t>
      </w:r>
      <w:r>
        <w:rPr>
          <w:rFonts w:ascii="Calibri" w:cs="Calibri" w:eastAsia="Calibri" w:hAnsi="Calibri"/>
          <w:color w:val="1A1A1A"/>
          <w:sz w:val="20"/>
          <w:szCs w:val="20"/>
        </w:rPr>
        <w:t xml:space="preserve"> (asile) — </w:t>
      </w:r>
      <w:r>
        <w:rPr>
          <w:rFonts w:ascii="Calibri" w:cs="Calibri" w:eastAsia="Calibri" w:hAnsi="Calibri"/>
          <w:b/>
          <w:bCs/>
          <w:color w:val="1A1A1A"/>
          <w:sz w:val="20"/>
          <w:szCs w:val="20"/>
        </w:rPr>
        <w:t xml:space="preserve">1848</w:t>
      </w:r>
      <w:r>
        <w:rPr>
          <w:rFonts w:ascii="Calibri" w:cs="Calibri" w:eastAsia="Calibri" w:hAnsi="Calibri"/>
          <w:color w:val="1A1A1A"/>
          <w:sz w:val="20"/>
          <w:szCs w:val="20"/>
        </w:rPr>
        <w:t xml:space="preserve"> droit au travail et Ateliers nationaux — </w:t>
      </w:r>
      <w:r>
        <w:rPr>
          <w:rFonts w:ascii="Calibri" w:cs="Calibri" w:eastAsia="Calibri" w:hAnsi="Calibri"/>
          <w:b/>
          <w:bCs/>
          <w:color w:val="1A1A1A"/>
          <w:sz w:val="20"/>
          <w:szCs w:val="20"/>
        </w:rPr>
        <w:t xml:space="preserve">1864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Ollivier</w:t>
      </w:r>
      <w:r>
        <w:rPr>
          <w:rFonts w:ascii="Calibri" w:cs="Calibri" w:eastAsia="Calibri" w:hAnsi="Calibri"/>
          <w:color w:val="1A1A1A"/>
          <w:sz w:val="20"/>
          <w:szCs w:val="20"/>
        </w:rPr>
        <w:t xml:space="preserve"> (abrogation du délit de coalition) — </w:t>
      </w:r>
      <w:r>
        <w:rPr>
          <w:rFonts w:ascii="Calibri" w:cs="Calibri" w:eastAsia="Calibri" w:hAnsi="Calibri"/>
          <w:b/>
          <w:bCs/>
          <w:color w:val="1A1A1A"/>
          <w:sz w:val="20"/>
          <w:szCs w:val="20"/>
        </w:rPr>
        <w:t xml:space="preserve">1880</w:t>
      </w:r>
      <w:r>
        <w:rPr>
          <w:rFonts w:ascii="Calibri" w:cs="Calibri" w:eastAsia="Calibri" w:hAnsi="Calibri"/>
          <w:color w:val="1A1A1A"/>
          <w:sz w:val="20"/>
          <w:szCs w:val="20"/>
        </w:rPr>
        <w:t xml:space="preserve"> </w:t>
      </w:r>
      <w:r>
        <w:rPr>
          <w:rFonts w:ascii="Calibri" w:cs="Calibri" w:eastAsia="Calibri" w:hAnsi="Calibri"/>
          <w:color w:val="2E7D32"/>
          <w:sz w:val="20"/>
          <w:szCs w:val="20"/>
        </w:rPr>
        <w:t xml:space="preserve">Lafargue, Le Droit à la paresse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1884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Waldeck-Rousseau</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1944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Déclaration de Philadelphie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1946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al. 4 à 8, 10, 11 et 13 Préambule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Dehaene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1951</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Convention de Genève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1952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25 juillet</w:t>
      </w:r>
      <w:r>
        <w:rPr>
          <w:rFonts w:ascii="Calibri" w:cs="Calibri" w:eastAsia="Calibri" w:hAnsi="Calibri"/>
          <w:color w:val="1A1A1A"/>
          <w:sz w:val="20"/>
          <w:szCs w:val="20"/>
        </w:rPr>
        <w:t xml:space="preserve"> (OFPRA) — </w:t>
      </w:r>
      <w:r>
        <w:rPr>
          <w:rFonts w:ascii="Calibri" w:cs="Calibri" w:eastAsia="Calibri" w:hAnsi="Calibri"/>
          <w:b/>
          <w:bCs/>
          <w:color w:val="1A1A1A"/>
          <w:sz w:val="20"/>
          <w:szCs w:val="20"/>
        </w:rPr>
        <w:t xml:space="preserve">1954</w:t>
      </w:r>
      <w:r>
        <w:rPr>
          <w:rFonts w:ascii="Calibri" w:cs="Calibri" w:eastAsia="Calibri" w:hAnsi="Calibri"/>
          <w:color w:val="1A1A1A"/>
          <w:sz w:val="20"/>
          <w:szCs w:val="20"/>
        </w:rPr>
        <w:t xml:space="preserve"> appel de l’abbé Pierre — </w:t>
      </w:r>
      <w:r>
        <w:rPr>
          <w:rFonts w:ascii="Calibri" w:cs="Calibri" w:eastAsia="Calibri" w:hAnsi="Calibri"/>
          <w:b/>
          <w:bCs/>
          <w:color w:val="1A1A1A"/>
          <w:sz w:val="20"/>
          <w:szCs w:val="20"/>
        </w:rPr>
        <w:t xml:space="preserve">1959</w:t>
      </w:r>
      <w:r>
        <w:rPr>
          <w:rFonts w:ascii="Calibri" w:cs="Calibri" w:eastAsia="Calibri" w:hAnsi="Calibri"/>
          <w:color w:val="1A1A1A"/>
          <w:sz w:val="20"/>
          <w:szCs w:val="20"/>
        </w:rPr>
        <w:t xml:space="preserve"> ministère des Affaires culturelles (Malraux) — </w:t>
      </w:r>
      <w:r>
        <w:rPr>
          <w:rFonts w:ascii="Calibri" w:cs="Calibri" w:eastAsia="Calibri" w:hAnsi="Calibri"/>
          <w:b/>
          <w:bCs/>
          <w:color w:val="1A1A1A"/>
          <w:sz w:val="20"/>
          <w:szCs w:val="20"/>
        </w:rPr>
        <w:t xml:space="preserve">1966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PIDESC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1967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de New York</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Déclaration de Stockholm</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du patrimoine mondial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Syndicat national de la police belge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1976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Recommandation de l’UNESCO</w:t>
      </w:r>
      <w:r>
        <w:rPr>
          <w:rFonts w:ascii="Calibri" w:cs="Calibri" w:eastAsia="Calibri" w:hAnsi="Calibri"/>
          <w:color w:val="1A1A1A"/>
          <w:sz w:val="20"/>
          <w:szCs w:val="20"/>
        </w:rPr>
        <w:t xml:space="preserve"> (participation à la vie culturelle) — </w:t>
      </w:r>
      <w:r>
        <w:rPr>
          <w:rFonts w:ascii="Calibri" w:cs="Calibri" w:eastAsia="Calibri" w:hAnsi="Calibri"/>
          <w:b/>
          <w:bCs/>
          <w:color w:val="1A1A1A"/>
          <w:sz w:val="20"/>
          <w:szCs w:val="20"/>
        </w:rPr>
        <w:t xml:space="preserve">1979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79-105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Quilliot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ass., France terre d’asile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Müller c. Suisse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soc., Clavaud</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1989</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6 juillet</w:t>
      </w:r>
      <w:r>
        <w:rPr>
          <w:rFonts w:ascii="Calibri" w:cs="Calibri" w:eastAsia="Calibri" w:hAnsi="Calibri"/>
          <w:color w:val="1A1A1A"/>
          <w:sz w:val="20"/>
          <w:szCs w:val="20"/>
        </w:rPr>
        <w:t xml:space="preserve"> (rapports locatifs) — </w:t>
      </w:r>
      <w:r>
        <w:rPr>
          <w:rFonts w:ascii="Calibri" w:cs="Calibri" w:eastAsia="Calibri" w:hAnsi="Calibri"/>
          <w:b/>
          <w:bCs/>
          <w:color w:val="1A1A1A"/>
          <w:sz w:val="20"/>
          <w:szCs w:val="20"/>
        </w:rPr>
        <w:t xml:space="preserve">1990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Besson du 31 mai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90-274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1992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Déclaration de Rio</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CCNUCC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31 décembre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1121-1 C. trav.</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93-325 DC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constitutionnelle du 25 novembre</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53-1</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López Ostra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94-359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Ponsolle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Protocole de Kyoto</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1998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Guerra</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d’Aarhus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98-403 DC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11 mai</w:t>
      </w:r>
      <w:r>
        <w:rPr>
          <w:rFonts w:ascii="Calibri" w:cs="Calibri" w:eastAsia="Calibri" w:hAnsi="Calibri"/>
          <w:color w:val="1A1A1A"/>
          <w:sz w:val="20"/>
          <w:szCs w:val="20"/>
        </w:rPr>
        <w:t xml:space="preserve"> (asile constitutionnel) — </w:t>
      </w:r>
      <w:r>
        <w:rPr>
          <w:rFonts w:ascii="Calibri" w:cs="Calibri" w:eastAsia="Calibri" w:hAnsi="Calibri"/>
          <w:b/>
          <w:bCs/>
          <w:color w:val="1A1A1A"/>
          <w:sz w:val="20"/>
          <w:szCs w:val="20"/>
        </w:rPr>
        <w:t xml:space="preserve">2000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Beyeler</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SRU</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Nikon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Chapman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Cour IDH, Awas Tingni</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Baartman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Hatton (GC)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UNESCO patrimoine immatériel</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Öneryıldız</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directive 2004/83</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2005</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Charte de l’environnement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Fadeïeva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Siliadin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Convention UNESCO diversité culturelle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2006-535 DC</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2007</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DALO</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Gebremedhin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CEDS, FEANTSA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CJCE, Viking et Laval</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Déclaration de Fribourg</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2008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Demir et Baykara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McCann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2008-564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ass., Commune d’Annecy</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2009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Tătar</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Elgafaji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Cons. const., 2009-578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Enerji Yapı-Yol Sen</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Observation générale n° 21</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2010</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18 mai</w:t>
      </w:r>
      <w:r>
        <w:rPr>
          <w:rFonts w:ascii="Calibri" w:cs="Calibri" w:eastAsia="Calibri" w:hAnsi="Calibri"/>
          <w:color w:val="1A1A1A"/>
          <w:sz w:val="20"/>
          <w:szCs w:val="20"/>
        </w:rPr>
        <w:t xml:space="preserve"> (têtes maories) — </w:t>
      </w:r>
      <w:r>
        <w:rPr>
          <w:rFonts w:ascii="Calibri" w:cs="Calibri" w:eastAsia="Calibri" w:hAnsi="Calibri"/>
          <w:b/>
          <w:bCs/>
          <w:color w:val="1A1A1A"/>
          <w:sz w:val="20"/>
          <w:szCs w:val="20"/>
        </w:rPr>
        <w:t xml:space="preserve">2011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2011-116 QPC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2011-207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M.S.S.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N.S.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directive 2011/95</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2012</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Hirsi Jamaa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Yordanova</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ord., Fofana</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Winterstein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X, Y et Z</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2014</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2013-370 QPC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2014-691 DC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Matelly</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Tarakhel</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Brincat</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Tchokontio Happi</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Cass. soc., Air France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Accord de Paris</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NOTRe, art. 103</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 du 29 juillet</w:t>
      </w:r>
      <w:r>
        <w:rPr>
          <w:rFonts w:ascii="Calibri" w:cs="Calibri" w:eastAsia="Calibri" w:hAnsi="Calibri"/>
          <w:color w:val="1A1A1A"/>
          <w:sz w:val="20"/>
          <w:szCs w:val="20"/>
        </w:rPr>
        <w:t xml:space="preserve"> (asile) — </w:t>
      </w:r>
      <w:r>
        <w:rPr>
          <w:rFonts w:ascii="Calibri" w:cs="Calibri" w:eastAsia="Calibri" w:hAnsi="Calibri"/>
          <w:b/>
          <w:bCs/>
          <w:color w:val="1A1A1A"/>
          <w:sz w:val="20"/>
          <w:szCs w:val="20"/>
        </w:rPr>
        <w:t xml:space="preserve">2016</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8 août</w:t>
      </w:r>
      <w:r>
        <w:rPr>
          <w:rFonts w:ascii="Calibri" w:cs="Calibri" w:eastAsia="Calibri" w:hAnsi="Calibri"/>
          <w:color w:val="1A1A1A"/>
          <w:sz w:val="20"/>
          <w:szCs w:val="20"/>
        </w:rPr>
        <w:t xml:space="preserve"> (préjudice écologique) ; </w:t>
      </w:r>
      <w:r>
        <w:rPr>
          <w:rFonts w:ascii="Calibri" w:cs="Calibri" w:eastAsia="Calibri" w:hAnsi="Calibri"/>
          <w:color w:val="1E88E5"/>
          <w:sz w:val="20"/>
          <w:szCs w:val="20"/>
        </w:rPr>
        <w:t xml:space="preserve">loi LCAP du 7 juillet</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Soulier et Doke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VOB</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2017</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2017-649 QPC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2017-655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31 juillet</w:t>
      </w:r>
      <w:r>
        <w:rPr>
          <w:rFonts w:ascii="Calibri" w:cs="Calibri" w:eastAsia="Calibri" w:hAnsi="Calibri"/>
          <w:color w:val="1A1A1A"/>
          <w:sz w:val="20"/>
          <w:szCs w:val="20"/>
        </w:rPr>
        <w:t xml:space="preserve"> (Calais) ; discours de Ouagadougou ; </w:t>
      </w:r>
      <w:r>
        <w:rPr>
          <w:rFonts w:ascii="Calibri" w:cs="Calibri" w:eastAsia="Calibri" w:hAnsi="Calibri"/>
          <w:color w:val="E91E63"/>
          <w:sz w:val="20"/>
          <w:szCs w:val="20"/>
        </w:rPr>
        <w:t xml:space="preserve">CEDH [GC], Bărbulescu</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2018</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2018-717/718 QPC</w:t>
      </w:r>
      <w:r>
        <w:rPr>
          <w:rFonts w:ascii="Calibri" w:cs="Calibri" w:eastAsia="Calibri" w:hAnsi="Calibri"/>
          <w:color w:val="1A1A1A"/>
          <w:sz w:val="20"/>
          <w:szCs w:val="20"/>
        </w:rPr>
        <w:t xml:space="preserve"> (fraternité) ; rapport Sarr-Savoy ; </w:t>
      </w:r>
      <w:r>
        <w:rPr>
          <w:rFonts w:ascii="Calibri" w:cs="Calibri" w:eastAsia="Calibri" w:hAnsi="Calibri"/>
          <w:color w:val="1E88E5"/>
          <w:sz w:val="20"/>
          <w:szCs w:val="20"/>
        </w:rPr>
        <w:t xml:space="preserve">loi du 10 septembre</w:t>
      </w:r>
      <w:r>
        <w:rPr>
          <w:rFonts w:ascii="Calibri" w:cs="Calibri" w:eastAsia="Calibri" w:hAnsi="Calibri"/>
          <w:color w:val="1A1A1A"/>
          <w:sz w:val="20"/>
          <w:szCs w:val="20"/>
        </w:rPr>
        <w:t xml:space="preserve"> (asile) — </w:t>
      </w:r>
      <w:r>
        <w:rPr>
          <w:rFonts w:ascii="Calibri" w:cs="Calibri" w:eastAsia="Calibri" w:hAnsi="Calibri"/>
          <w:b/>
          <w:bCs/>
          <w:color w:val="1A1A1A"/>
          <w:sz w:val="20"/>
          <w:szCs w:val="20"/>
        </w:rPr>
        <w:t xml:space="preserve">2019</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2019-816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Haqbin</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Ilias et Ahmed</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2020</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Cons. const., 2019-823 QPC</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N.H. c. France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19 novembre</w:t>
      </w:r>
      <w:r>
        <w:rPr>
          <w:rFonts w:ascii="Calibri" w:cs="Calibri" w:eastAsia="Calibri" w:hAnsi="Calibri"/>
          <w:color w:val="1A1A1A"/>
          <w:sz w:val="20"/>
          <w:szCs w:val="20"/>
        </w:rPr>
        <w:t xml:space="preserve"> (Grande-Synthe) ; </w:t>
      </w:r>
      <w:r>
        <w:rPr>
          <w:rFonts w:ascii="Calibri" w:cs="Calibri" w:eastAsia="Calibri" w:hAnsi="Calibri"/>
          <w:color w:val="1E88E5"/>
          <w:sz w:val="20"/>
          <w:szCs w:val="20"/>
        </w:rPr>
        <w:t xml:space="preserve">loi du 24 décembre</w:t>
      </w:r>
      <w:r>
        <w:rPr>
          <w:rFonts w:ascii="Calibri" w:cs="Calibri" w:eastAsia="Calibri" w:hAnsi="Calibri"/>
          <w:color w:val="1A1A1A"/>
          <w:sz w:val="20"/>
          <w:szCs w:val="20"/>
        </w:rPr>
        <w:t xml:space="preserve"> (restitutions Bénin et Sénégal) — </w:t>
      </w:r>
      <w:r>
        <w:rPr>
          <w:rFonts w:ascii="Calibri" w:cs="Calibri" w:eastAsia="Calibri" w:hAnsi="Calibri"/>
          <w:b/>
          <w:bCs/>
          <w:color w:val="1A1A1A"/>
          <w:sz w:val="20"/>
          <w:szCs w:val="20"/>
        </w:rPr>
        <w:t xml:space="preserve">2021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1er juillet</w:t>
      </w:r>
      <w:r>
        <w:rPr>
          <w:rFonts w:ascii="Calibri" w:cs="Calibri" w:eastAsia="Calibri" w:hAnsi="Calibri"/>
          <w:color w:val="1A1A1A"/>
          <w:sz w:val="20"/>
          <w:szCs w:val="20"/>
        </w:rPr>
        <w:t xml:space="preserve"> (Grande-Synthe) ; </w:t>
      </w:r>
      <w:r>
        <w:rPr>
          <w:rFonts w:ascii="Calibri" w:cs="Calibri" w:eastAsia="Calibri" w:hAnsi="Calibri"/>
          <w:color w:val="E91E63"/>
          <w:sz w:val="20"/>
          <w:szCs w:val="20"/>
        </w:rPr>
        <w:t xml:space="preserve">TA Paris</w:t>
      </w:r>
      <w:r>
        <w:rPr>
          <w:rFonts w:ascii="Calibri" w:cs="Calibri" w:eastAsia="Calibri" w:hAnsi="Calibri"/>
          <w:color w:val="1A1A1A"/>
          <w:sz w:val="20"/>
          <w:szCs w:val="20"/>
        </w:rPr>
        <w:t xml:space="preserve"> (Affaire du siècle) ; </w:t>
      </w:r>
      <w:r>
        <w:rPr>
          <w:rFonts w:ascii="Calibri" w:cs="Calibri" w:eastAsia="Calibri" w:hAnsi="Calibri"/>
          <w:color w:val="1E88E5"/>
          <w:sz w:val="20"/>
          <w:szCs w:val="20"/>
        </w:rPr>
        <w:t xml:space="preserve">loi Climat et résilience</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résolution 48/13 du Conseil des droits de l’homme</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2022</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résolution 76/300</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 20 septembre</w:t>
      </w:r>
      <w:r>
        <w:rPr>
          <w:rFonts w:ascii="Calibri" w:cs="Calibri" w:eastAsia="Calibri" w:hAnsi="Calibri"/>
          <w:color w:val="1A1A1A"/>
          <w:sz w:val="20"/>
          <w:szCs w:val="20"/>
        </w:rPr>
        <w:t xml:space="preserve"> (environnement, liberté fondamentale) ; </w:t>
      </w:r>
      <w:r>
        <w:rPr>
          <w:rFonts w:ascii="Calibri" w:cs="Calibri" w:eastAsia="Calibri" w:hAnsi="Calibri"/>
          <w:color w:val="E91E63"/>
          <w:sz w:val="20"/>
          <w:szCs w:val="20"/>
        </w:rPr>
        <w:t xml:space="preserve">Cass. soc., 11 mai</w:t>
      </w:r>
      <w:r>
        <w:rPr>
          <w:rFonts w:ascii="Calibri" w:cs="Calibri" w:eastAsia="Calibri" w:hAnsi="Calibri"/>
          <w:color w:val="1A1A1A"/>
          <w:sz w:val="20"/>
          <w:szCs w:val="20"/>
        </w:rPr>
        <w:t xml:space="preserve"> (barème) — </w:t>
      </w:r>
      <w:r>
        <w:rPr>
          <w:rFonts w:ascii="Calibri" w:cs="Calibri" w:eastAsia="Calibri" w:hAnsi="Calibri"/>
          <w:b/>
          <w:bCs/>
          <w:color w:val="1A1A1A"/>
          <w:sz w:val="20"/>
          <w:szCs w:val="20"/>
        </w:rPr>
        <w:t xml:space="preserve">2023</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 10 mai</w:t>
      </w:r>
      <w:r>
        <w:rPr>
          <w:rFonts w:ascii="Calibri" w:cs="Calibri" w:eastAsia="Calibri" w:hAnsi="Calibri"/>
          <w:color w:val="1A1A1A"/>
          <w:sz w:val="20"/>
          <w:szCs w:val="20"/>
        </w:rPr>
        <w:t xml:space="preserve"> (Grande-Synthe) ; </w:t>
      </w:r>
      <w:r>
        <w:rPr>
          <w:rFonts w:ascii="Calibri" w:cs="Calibri" w:eastAsia="Calibri" w:hAnsi="Calibri"/>
          <w:color w:val="E91E63"/>
          <w:sz w:val="20"/>
          <w:szCs w:val="20"/>
        </w:rPr>
        <w:t xml:space="preserve">Cons. const., 2023-853 DC</w:t>
      </w:r>
      <w:r>
        <w:rPr>
          <w:rFonts w:ascii="Calibri" w:cs="Calibri" w:eastAsia="Calibri" w:hAnsi="Calibri"/>
          <w:color w:val="1A1A1A"/>
          <w:sz w:val="20"/>
          <w:szCs w:val="20"/>
        </w:rPr>
        <w:t xml:space="preserve"> et </w:t>
      </w:r>
      <w:r>
        <w:rPr>
          <w:rFonts w:ascii="Calibri" w:cs="Calibri" w:eastAsia="Calibri" w:hAnsi="Calibri"/>
          <w:color w:val="E91E63"/>
          <w:sz w:val="20"/>
          <w:szCs w:val="20"/>
        </w:rPr>
        <w:t xml:space="preserve">2023-1066 QPC</w:t>
      </w:r>
      <w:r>
        <w:rPr>
          <w:rFonts w:ascii="Calibri" w:cs="Calibri" w:eastAsia="Calibri" w:hAnsi="Calibri"/>
          <w:color w:val="1A1A1A"/>
          <w:sz w:val="20"/>
          <w:szCs w:val="20"/>
        </w:rPr>
        <w:t xml:space="preserve"> ; </w:t>
      </w:r>
      <w:r>
        <w:rPr>
          <w:rFonts w:ascii="Calibri" w:cs="Calibri" w:eastAsia="Calibri" w:hAnsi="Calibri"/>
          <w:color w:val="1E88E5"/>
          <w:sz w:val="20"/>
          <w:szCs w:val="20"/>
        </w:rPr>
        <w:t xml:space="preserve">lois du 22 juillet et du 26 décembre</w:t>
      </w:r>
      <w:r>
        <w:rPr>
          <w:rFonts w:ascii="Calibri" w:cs="Calibri" w:eastAsia="Calibri" w:hAnsi="Calibri"/>
          <w:color w:val="1A1A1A"/>
          <w:sz w:val="20"/>
          <w:szCs w:val="20"/>
        </w:rPr>
        <w:t xml:space="preserve"> (restitutions) ; </w:t>
      </w:r>
      <w:r>
        <w:rPr>
          <w:rFonts w:ascii="Calibri" w:cs="Calibri" w:eastAsia="Calibri" w:hAnsi="Calibri"/>
          <w:color w:val="1E88E5"/>
          <w:sz w:val="20"/>
          <w:szCs w:val="20"/>
        </w:rPr>
        <w:t xml:space="preserve">loi du 18 décembre</w:t>
      </w:r>
      <w:r>
        <w:rPr>
          <w:rFonts w:ascii="Calibri" w:cs="Calibri" w:eastAsia="Calibri" w:hAnsi="Calibri"/>
          <w:color w:val="1A1A1A"/>
          <w:sz w:val="20"/>
          <w:szCs w:val="20"/>
        </w:rPr>
        <w:t xml:space="preserve"> (plein emploi) ; </w:t>
      </w:r>
      <w:r>
        <w:rPr>
          <w:rFonts w:ascii="Calibri" w:cs="Calibri" w:eastAsia="Calibri" w:hAnsi="Calibri"/>
          <w:color w:val="E91E63"/>
          <w:sz w:val="20"/>
          <w:szCs w:val="20"/>
        </w:rPr>
        <w:t xml:space="preserve">CE, 21 décembre</w:t>
      </w:r>
      <w:r>
        <w:rPr>
          <w:rFonts w:ascii="Calibri" w:cs="Calibri" w:eastAsia="Calibri" w:hAnsi="Calibri"/>
          <w:color w:val="1A1A1A"/>
          <w:sz w:val="20"/>
          <w:szCs w:val="20"/>
        </w:rPr>
        <w:t xml:space="preserve"> (décence énergétique).</w:t>
      </w:r>
    </w:p>
    <w:p>
      <w:pPr>
        <w:pStyle w:val="ListParagraph"/>
        <w:numPr>
          <w:ilvl w:val="0"/>
          <w:numId w:val="2"/>
        </w:numPr>
        <w:spacing w:after="70" w:line="264"/>
        <w:jc w:val="both"/>
      </w:pPr>
      <w:r>
        <w:rPr>
          <w:rFonts w:ascii="Calibri" w:cs="Calibri" w:eastAsia="Calibri" w:hAnsi="Calibri"/>
          <w:b/>
          <w:bCs/>
          <w:color w:val="1A1A1A"/>
          <w:sz w:val="20"/>
          <w:szCs w:val="20"/>
        </w:rPr>
        <w:t xml:space="preserve">2024</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loi du 26 janvier</w:t>
      </w:r>
      <w:r>
        <w:rPr>
          <w:rFonts w:ascii="Calibri" w:cs="Calibri" w:eastAsia="Calibri" w:hAnsi="Calibri"/>
          <w:color w:val="1A1A1A"/>
          <w:sz w:val="20"/>
          <w:szCs w:val="20"/>
        </w:rPr>
        <w:t xml:space="preserve"> (immigration, CNDA) ; </w:t>
      </w:r>
      <w:r>
        <w:rPr>
          <w:rFonts w:ascii="Calibri" w:cs="Calibri" w:eastAsia="Calibri" w:hAnsi="Calibri"/>
          <w:color w:val="E91E63"/>
          <w:sz w:val="20"/>
          <w:szCs w:val="20"/>
        </w:rPr>
        <w:t xml:space="preserve">CJUE, WS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CEDH [GC], KlimaSeniorinnen, Carême, Duarte Agostinho</w:t>
      </w:r>
      <w:r>
        <w:rPr>
          <w:rFonts w:ascii="Calibri" w:cs="Calibri" w:eastAsia="Calibri" w:hAnsi="Calibri"/>
          <w:color w:val="1A1A1A"/>
          <w:sz w:val="20"/>
          <w:szCs w:val="20"/>
        </w:rPr>
        <w:t xml:space="preserve"> (9 avril) ; </w:t>
      </w:r>
      <w:r>
        <w:rPr>
          <w:rFonts w:ascii="Calibri" w:cs="Calibri" w:eastAsia="Calibri" w:hAnsi="Calibri"/>
          <w:color w:val="1E88E5"/>
          <w:sz w:val="20"/>
          <w:szCs w:val="20"/>
        </w:rPr>
        <w:t xml:space="preserve">Pacte sur la migration et l’asile</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TIDM, avis</w:t>
      </w:r>
      <w:r>
        <w:rPr>
          <w:rFonts w:ascii="Calibri" w:cs="Calibri" w:eastAsia="Calibri" w:hAnsi="Calibri"/>
          <w:color w:val="1A1A1A"/>
          <w:sz w:val="20"/>
          <w:szCs w:val="20"/>
        </w:rPr>
        <w:t xml:space="preserve"> ; </w:t>
      </w:r>
      <w:r>
        <w:rPr>
          <w:rFonts w:ascii="Calibri" w:cs="Calibri" w:eastAsia="Calibri" w:hAnsi="Calibri"/>
          <w:color w:val="E91E63"/>
          <w:sz w:val="20"/>
          <w:szCs w:val="20"/>
        </w:rPr>
        <w:t xml:space="preserve">CJUE, AH et FN</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2025</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CEDH, Cannavacciuolo</w:t>
      </w:r>
      <w:r>
        <w:rPr>
          <w:rFonts w:ascii="Calibri" w:cs="Calibri" w:eastAsia="Calibri" w:hAnsi="Calibri"/>
          <w:color w:val="1A1A1A"/>
          <w:sz w:val="20"/>
          <w:szCs w:val="20"/>
        </w:rPr>
        <w:t xml:space="preserve"> ; proposition de liste européenne des pays sûrs (16 avril) ; </w:t>
      </w:r>
      <w:r>
        <w:rPr>
          <w:rFonts w:ascii="Calibri" w:cs="Calibri" w:eastAsia="Calibri" w:hAnsi="Calibri"/>
          <w:color w:val="E91E63"/>
          <w:sz w:val="20"/>
          <w:szCs w:val="20"/>
        </w:rPr>
        <w:t xml:space="preserve">CIJ, avis climatique</w:t>
      </w:r>
      <w:r>
        <w:rPr>
          <w:rFonts w:ascii="Calibri" w:cs="Calibri" w:eastAsia="Calibri" w:hAnsi="Calibri"/>
          <w:color w:val="1A1A1A"/>
          <w:sz w:val="20"/>
          <w:szCs w:val="20"/>
        </w:rPr>
        <w:t xml:space="preserve"> (23 juillet) ; </w:t>
      </w:r>
      <w:r>
        <w:rPr>
          <w:rFonts w:ascii="Calibri" w:cs="Calibri" w:eastAsia="Calibri" w:hAnsi="Calibri"/>
          <w:color w:val="E91E63"/>
          <w:sz w:val="20"/>
          <w:szCs w:val="20"/>
        </w:rPr>
        <w:t xml:space="preserve">Cons. const., 2025-891 DC</w:t>
      </w:r>
      <w:r>
        <w:rPr>
          <w:rFonts w:ascii="Calibri" w:cs="Calibri" w:eastAsia="Calibri" w:hAnsi="Calibri"/>
          <w:color w:val="1A1A1A"/>
          <w:sz w:val="20"/>
          <w:szCs w:val="20"/>
        </w:rPr>
        <w:t xml:space="preserve"> (7 août) ; </w:t>
      </w:r>
      <w:r>
        <w:rPr>
          <w:rFonts w:ascii="Calibri" w:cs="Calibri" w:eastAsia="Calibri" w:hAnsi="Calibri"/>
          <w:color w:val="E91E63"/>
          <w:sz w:val="20"/>
          <w:szCs w:val="20"/>
        </w:rPr>
        <w:t xml:space="preserve">Cons. const., 2025-1160/1161/1162 QPC</w:t>
      </w:r>
      <w:r>
        <w:rPr>
          <w:rFonts w:ascii="Calibri" w:cs="Calibri" w:eastAsia="Calibri" w:hAnsi="Calibri"/>
          <w:color w:val="1A1A1A"/>
          <w:sz w:val="20"/>
          <w:szCs w:val="20"/>
        </w:rPr>
        <w:t xml:space="preserve"> (19 septembre) ; </w:t>
      </w:r>
      <w:r>
        <w:rPr>
          <w:rFonts w:ascii="Calibri" w:cs="Calibri" w:eastAsia="Calibri" w:hAnsi="Calibri"/>
          <w:color w:val="E91E63"/>
          <w:sz w:val="20"/>
          <w:szCs w:val="20"/>
        </w:rPr>
        <w:t xml:space="preserve">CE, 6 novembre</w:t>
      </w:r>
      <w:r>
        <w:rPr>
          <w:rFonts w:ascii="Calibri" w:cs="Calibri" w:eastAsia="Calibri" w:hAnsi="Calibri"/>
          <w:color w:val="1A1A1A"/>
          <w:sz w:val="20"/>
          <w:szCs w:val="20"/>
        </w:rPr>
        <w:t xml:space="preserve"> (DALO) ; </w:t>
      </w:r>
      <w:r>
        <w:rPr>
          <w:rFonts w:ascii="Calibri" w:cs="Calibri" w:eastAsia="Calibri" w:hAnsi="Calibri"/>
          <w:color w:val="E91E63"/>
          <w:sz w:val="20"/>
          <w:szCs w:val="20"/>
        </w:rPr>
        <w:t xml:space="preserve">CE, 23 décembre</w:t>
      </w:r>
      <w:r>
        <w:rPr>
          <w:rFonts w:ascii="Calibri" w:cs="Calibri" w:eastAsia="Calibri" w:hAnsi="Calibri"/>
          <w:color w:val="1A1A1A"/>
          <w:sz w:val="20"/>
          <w:szCs w:val="20"/>
        </w:rPr>
        <w:t xml:space="preserve"> (Musée Rodin) — </w:t>
      </w:r>
      <w:r>
        <w:rPr>
          <w:rFonts w:ascii="Calibri" w:cs="Calibri" w:eastAsia="Calibri" w:hAnsi="Calibri"/>
          <w:b/>
          <w:bCs/>
          <w:color w:val="1A1A1A"/>
          <w:sz w:val="20"/>
          <w:szCs w:val="20"/>
        </w:rPr>
        <w:t xml:space="preserve">2026</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14 janvier</w:t>
      </w:r>
      <w:r>
        <w:rPr>
          <w:rFonts w:ascii="Calibri" w:cs="Calibri" w:eastAsia="Calibri" w:hAnsi="Calibri"/>
          <w:color w:val="1A1A1A"/>
          <w:sz w:val="20"/>
          <w:szCs w:val="20"/>
        </w:rPr>
        <w:t xml:space="preserve"> (liberté d’expression du salarié) ; </w:t>
      </w:r>
      <w:r>
        <w:rPr>
          <w:rFonts w:ascii="Calibri" w:cs="Calibri" w:eastAsia="Calibri" w:hAnsi="Calibri"/>
          <w:color w:val="E91E63"/>
          <w:sz w:val="20"/>
          <w:szCs w:val="20"/>
        </w:rPr>
        <w:t xml:space="preserve">CE, 30 janvier</w:t>
      </w:r>
      <w:r>
        <w:rPr>
          <w:rFonts w:ascii="Calibri" w:cs="Calibri" w:eastAsia="Calibri" w:hAnsi="Calibri"/>
          <w:color w:val="1A1A1A"/>
          <w:sz w:val="20"/>
          <w:szCs w:val="20"/>
        </w:rPr>
        <w:t xml:space="preserve"> (protection dans un autre État membre) ; </w:t>
      </w:r>
      <w:r>
        <w:rPr>
          <w:rFonts w:ascii="Calibri" w:cs="Calibri" w:eastAsia="Calibri" w:hAnsi="Calibri"/>
          <w:color w:val="1E88E5"/>
          <w:sz w:val="20"/>
          <w:szCs w:val="20"/>
        </w:rPr>
        <w:t xml:space="preserve">règlement (UE) 2026/464</w:t>
      </w:r>
      <w:r>
        <w:rPr>
          <w:rFonts w:ascii="Calibri" w:cs="Calibri" w:eastAsia="Calibri" w:hAnsi="Calibri"/>
          <w:color w:val="1A1A1A"/>
          <w:sz w:val="20"/>
          <w:szCs w:val="20"/>
        </w:rPr>
        <w:t xml:space="preserve"> (24 février) ; proposition de loi IA et droit d’auteur adoptée par le Sénat (8 avril) ; </w:t>
      </w:r>
      <w:r>
        <w:rPr>
          <w:rFonts w:ascii="Calibri" w:cs="Calibri" w:eastAsia="Calibri" w:hAnsi="Calibri"/>
          <w:color w:val="1E88E5"/>
          <w:sz w:val="20"/>
          <w:szCs w:val="20"/>
        </w:rPr>
        <w:t xml:space="preserve">loi du 9 mai</w:t>
      </w:r>
      <w:r>
        <w:rPr>
          <w:rFonts w:ascii="Calibri" w:cs="Calibri" w:eastAsia="Calibri" w:hAnsi="Calibri"/>
          <w:color w:val="1A1A1A"/>
          <w:sz w:val="20"/>
          <w:szCs w:val="20"/>
        </w:rPr>
        <w:t xml:space="preserve"> (restitutions) ; Pacte applicable (12 juin) ; </w:t>
      </w:r>
      <w:r>
        <w:rPr>
          <w:rFonts w:ascii="Calibri" w:cs="Calibri" w:eastAsia="Calibri" w:hAnsi="Calibri"/>
          <w:color w:val="E91E63"/>
          <w:sz w:val="20"/>
          <w:szCs w:val="20"/>
        </w:rPr>
        <w:t xml:space="preserve">Cons. const., 2026-914 DC</w:t>
      </w:r>
      <w:r>
        <w:rPr>
          <w:rFonts w:ascii="Calibri" w:cs="Calibri" w:eastAsia="Calibri" w:hAnsi="Calibri"/>
          <w:color w:val="1A1A1A"/>
          <w:sz w:val="20"/>
          <w:szCs w:val="20"/>
        </w:rPr>
        <w:t xml:space="preserve"> (14 août, acétamipride).</w:t>
      </w:r>
    </w:p>
    <w:p>
      <w:pPr>
        <w:pStyle w:val="Heading2"/>
        <w:spacing w:after="120" w:before="280"/>
      </w:pPr>
      <w:r>
        <w:rPr>
          <w:rFonts w:ascii="Calibri" w:cs="Calibri" w:eastAsia="Calibri" w:hAnsi="Calibri"/>
          <w:b/>
          <w:bCs/>
          <w:color w:val="1A1A1A"/>
          <w:sz w:val="24"/>
          <w:szCs w:val="24"/>
        </w:rPr>
        <w:t xml:space="preserve">II. Ajouts à l’index transversal</w:t>
      </w:r>
    </w:p>
    <w:p>
      <w:pPr>
        <w:pStyle w:val="ListParagraph"/>
        <w:numPr>
          <w:ilvl w:val="0"/>
          <w:numId w:val="2"/>
        </w:numPr>
        <w:spacing w:after="70" w:line="264"/>
        <w:jc w:val="both"/>
      </w:pPr>
      <w:r>
        <w:rPr>
          <w:rFonts w:ascii="Calibri" w:cs="Calibri" w:eastAsia="Calibri" w:hAnsi="Calibri"/>
          <w:b/>
          <w:bCs/>
          <w:color w:val="1A1A1A"/>
          <w:sz w:val="20"/>
          <w:szCs w:val="20"/>
        </w:rPr>
        <w:t xml:space="preserve">Protection par ricochet</w:t>
      </w:r>
      <w:r>
        <w:rPr>
          <w:rFonts w:ascii="Calibri" w:cs="Calibri" w:eastAsia="Calibri" w:hAnsi="Calibri"/>
          <w:color w:val="1A1A1A"/>
          <w:sz w:val="20"/>
          <w:szCs w:val="20"/>
        </w:rPr>
        <w:t xml:space="preserve"> → fiches 26 (</w:t>
      </w:r>
      <w:r>
        <w:rPr>
          <w:rFonts w:ascii="Calibri" w:cs="Calibri" w:eastAsia="Calibri" w:hAnsi="Calibri"/>
          <w:color w:val="1E88E5"/>
          <w:sz w:val="20"/>
          <w:szCs w:val="20"/>
        </w:rPr>
        <w:t xml:space="preserve">art. 2</w:t>
      </w:r>
      <w:r>
        <w:rPr>
          <w:rFonts w:ascii="Calibri" w:cs="Calibri" w:eastAsia="Calibri" w:hAnsi="Calibri"/>
          <w:color w:val="1A1A1A"/>
          <w:sz w:val="20"/>
          <w:szCs w:val="20"/>
        </w:rPr>
        <w:t xml:space="preserve">), 28 (</w:t>
      </w:r>
      <w:r>
        <w:rPr>
          <w:rFonts w:ascii="Calibri" w:cs="Calibri" w:eastAsia="Calibri" w:hAnsi="Calibri"/>
          <w:color w:val="1E88E5"/>
          <w:sz w:val="20"/>
          <w:szCs w:val="20"/>
        </w:rPr>
        <w:t xml:space="preserve">art. 3</w:t>
      </w:r>
      <w:r>
        <w:rPr>
          <w:rFonts w:ascii="Calibri" w:cs="Calibri" w:eastAsia="Calibri" w:hAnsi="Calibri"/>
          <w:color w:val="1A1A1A"/>
          <w:sz w:val="20"/>
          <w:szCs w:val="20"/>
        </w:rPr>
        <w:t xml:space="preserve">), 33 et 49 (</w:t>
      </w:r>
      <w:r>
        <w:rPr>
          <w:rFonts w:ascii="Calibri" w:cs="Calibri" w:eastAsia="Calibri" w:hAnsi="Calibri"/>
          <w:color w:val="1E88E5"/>
          <w:sz w:val="20"/>
          <w:szCs w:val="20"/>
        </w:rPr>
        <w:t xml:space="preserve">art. 8</w:t>
      </w:r>
      <w:r>
        <w:rPr>
          <w:rFonts w:ascii="Calibri" w:cs="Calibri" w:eastAsia="Calibri" w:hAnsi="Calibri"/>
          <w:color w:val="1A1A1A"/>
          <w:sz w:val="20"/>
          <w:szCs w:val="20"/>
        </w:rPr>
        <w:t xml:space="preserve"> et environnement), 43 et 53 (éloignement et asile).</w:t>
      </w:r>
    </w:p>
    <w:p>
      <w:pPr>
        <w:pStyle w:val="ListParagraph"/>
        <w:numPr>
          <w:ilvl w:val="0"/>
          <w:numId w:val="2"/>
        </w:numPr>
        <w:spacing w:after="70" w:line="264"/>
        <w:jc w:val="both"/>
      </w:pPr>
      <w:r>
        <w:rPr>
          <w:rFonts w:ascii="Calibri" w:cs="Calibri" w:eastAsia="Calibri" w:hAnsi="Calibri"/>
          <w:b/>
          <w:bCs/>
          <w:color w:val="1A1A1A"/>
          <w:sz w:val="20"/>
          <w:szCs w:val="20"/>
        </w:rPr>
        <w:t xml:space="preserve">Objectifs de valeur constitutionnelle</w:t>
      </w:r>
      <w:r>
        <w:rPr>
          <w:rFonts w:ascii="Calibri" w:cs="Calibri" w:eastAsia="Calibri" w:hAnsi="Calibri"/>
          <w:color w:val="1A1A1A"/>
          <w:sz w:val="20"/>
          <w:szCs w:val="20"/>
        </w:rPr>
        <w:t xml:space="preserve"> → fiches 9 (sources constitutionnelles), 37 (pluralisme), 45 (environnement, </w:t>
      </w:r>
      <w:r>
        <w:rPr>
          <w:rFonts w:ascii="Calibri" w:cs="Calibri" w:eastAsia="Calibri" w:hAnsi="Calibri"/>
          <w:color w:val="E91E63"/>
          <w:sz w:val="20"/>
          <w:szCs w:val="20"/>
        </w:rPr>
        <w:t xml:space="preserve">2019-823 QPC</w:t>
      </w:r>
      <w:r>
        <w:rPr>
          <w:rFonts w:ascii="Calibri" w:cs="Calibri" w:eastAsia="Calibri" w:hAnsi="Calibri"/>
          <w:color w:val="1A1A1A"/>
          <w:sz w:val="20"/>
          <w:szCs w:val="20"/>
        </w:rPr>
        <w:t xml:space="preserve">), 51 (logement décent, </w:t>
      </w:r>
      <w:r>
        <w:rPr>
          <w:rFonts w:ascii="Calibri" w:cs="Calibri" w:eastAsia="Calibri" w:hAnsi="Calibri"/>
          <w:color w:val="E91E63"/>
          <w:sz w:val="20"/>
          <w:szCs w:val="20"/>
        </w:rPr>
        <w:t xml:space="preserve">94-359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Contentieux climatique</w:t>
      </w:r>
      <w:r>
        <w:rPr>
          <w:rFonts w:ascii="Calibri" w:cs="Calibri" w:eastAsia="Calibri" w:hAnsi="Calibri"/>
          <w:color w:val="1A1A1A"/>
          <w:sz w:val="20"/>
          <w:szCs w:val="20"/>
        </w:rPr>
        <w:t xml:space="preserve"> → fiches 26 (vie), 33 (vie privée), 48 (office du juge), 49 (</w:t>
      </w:r>
      <w:r>
        <w:rPr>
          <w:rFonts w:ascii="Calibri" w:cs="Calibri" w:eastAsia="Calibri" w:hAnsi="Calibri"/>
          <w:color w:val="E91E63"/>
          <w:sz w:val="20"/>
          <w:szCs w:val="20"/>
        </w:rPr>
        <w:t xml:space="preserve">Grande-Synthe</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KlimaSeniorinnen</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 syndicale et grève</w:t>
      </w:r>
      <w:r>
        <w:rPr>
          <w:rFonts w:ascii="Calibri" w:cs="Calibri" w:eastAsia="Calibri" w:hAnsi="Calibri"/>
          <w:color w:val="1A1A1A"/>
          <w:sz w:val="20"/>
          <w:szCs w:val="20"/>
        </w:rPr>
        <w:t xml:space="preserve"> → fiches 38 (manifestation), 39 (association), 50 (</w:t>
      </w:r>
      <w:r>
        <w:rPr>
          <w:rFonts w:ascii="Calibri" w:cs="Calibri" w:eastAsia="Calibri" w:hAnsi="Calibri"/>
          <w:color w:val="E91E63"/>
          <w:sz w:val="20"/>
          <w:szCs w:val="20"/>
        </w:rPr>
        <w:t xml:space="preserve">Demir et Baykara</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Matelly</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79-105 DC</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Libertés du salarié</w:t>
      </w:r>
      <w:r>
        <w:rPr>
          <w:rFonts w:ascii="Calibri" w:cs="Calibri" w:eastAsia="Calibri" w:hAnsi="Calibri"/>
          <w:color w:val="1A1A1A"/>
          <w:sz w:val="20"/>
          <w:szCs w:val="20"/>
        </w:rPr>
        <w:t xml:space="preserve"> → fiches 33 (vie privée, preuve), 36 (religion, neutralité), 37 (expression, </w:t>
      </w:r>
      <w:r>
        <w:rPr>
          <w:rFonts w:ascii="Calibri" w:cs="Calibri" w:eastAsia="Calibri" w:hAnsi="Calibri"/>
          <w:color w:val="E91E63"/>
          <w:sz w:val="20"/>
          <w:szCs w:val="20"/>
        </w:rPr>
        <w:t xml:space="preserve">Clavaud</w:t>
      </w:r>
      <w:r>
        <w:rPr>
          <w:rFonts w:ascii="Calibri" w:cs="Calibri" w:eastAsia="Calibri" w:hAnsi="Calibri"/>
          <w:color w:val="1A1A1A"/>
          <w:sz w:val="20"/>
          <w:szCs w:val="20"/>
        </w:rPr>
        <w:t xml:space="preserve">), 50 (</w:t>
      </w:r>
      <w:r>
        <w:rPr>
          <w:rFonts w:ascii="Calibri" w:cs="Calibri" w:eastAsia="Calibri" w:hAnsi="Calibri"/>
          <w:color w:val="1E88E5"/>
          <w:sz w:val="20"/>
          <w:szCs w:val="20"/>
        </w:rPr>
        <w:t xml:space="preserve">art. L. 1121-1</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Cass. soc., 14 janvier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Hébergement d’urgence et dignité</w:t>
      </w:r>
      <w:r>
        <w:rPr>
          <w:rFonts w:ascii="Calibri" w:cs="Calibri" w:eastAsia="Calibri" w:hAnsi="Calibri"/>
          <w:color w:val="1A1A1A"/>
          <w:sz w:val="20"/>
          <w:szCs w:val="20"/>
        </w:rPr>
        <w:t xml:space="preserve"> → fiches 5 (dignité), 51 (</w:t>
      </w:r>
      <w:r>
        <w:rPr>
          <w:rFonts w:ascii="Calibri" w:cs="Calibri" w:eastAsia="Calibri" w:hAnsi="Calibri"/>
          <w:color w:val="E91E63"/>
          <w:sz w:val="20"/>
          <w:szCs w:val="20"/>
        </w:rPr>
        <w:t xml:space="preserve">Fofana</w:t>
      </w:r>
      <w:r>
        <w:rPr>
          <w:rFonts w:ascii="Calibri" w:cs="Calibri" w:eastAsia="Calibri" w:hAnsi="Calibri"/>
          <w:color w:val="1A1A1A"/>
          <w:sz w:val="20"/>
          <w:szCs w:val="20"/>
        </w:rPr>
        <w:t xml:space="preserve">, </w:t>
      </w:r>
      <w:r>
        <w:rPr>
          <w:rFonts w:ascii="Calibri" w:cs="Calibri" w:eastAsia="Calibri" w:hAnsi="Calibri"/>
          <w:color w:val="1E88E5"/>
          <w:sz w:val="20"/>
          <w:szCs w:val="20"/>
        </w:rPr>
        <w:t xml:space="preserve">art. L. 345-2-2 CASF</w:t>
      </w:r>
      <w:r>
        <w:rPr>
          <w:rFonts w:ascii="Calibri" w:cs="Calibri" w:eastAsia="Calibri" w:hAnsi="Calibri"/>
          <w:color w:val="1A1A1A"/>
          <w:sz w:val="20"/>
          <w:szCs w:val="20"/>
        </w:rPr>
        <w:t xml:space="preserve">), 53 (accueil des demandeurs d’asile, </w:t>
      </w:r>
      <w:r>
        <w:rPr>
          <w:rFonts w:ascii="Calibri" w:cs="Calibri" w:eastAsia="Calibri" w:hAnsi="Calibri"/>
          <w:color w:val="E91E63"/>
          <w:sz w:val="20"/>
          <w:szCs w:val="20"/>
        </w:rPr>
        <w:t xml:space="preserve">N.H. c. France</w:t>
      </w:r>
      <w:r>
        <w:rPr>
          <w:rFonts w:ascii="Calibri" w:cs="Calibri" w:eastAsia="Calibri" w:hAnsi="Calibri"/>
          <w:color w:val="1A1A1A"/>
          <w:sz w:val="20"/>
          <w:szCs w:val="20"/>
        </w:rPr>
        <w:t xml:space="preserve">), 55 (vulnérabilités).</w:t>
      </w:r>
    </w:p>
    <w:p>
      <w:pPr>
        <w:pStyle w:val="ListParagraph"/>
        <w:numPr>
          <w:ilvl w:val="0"/>
          <w:numId w:val="2"/>
        </w:numPr>
        <w:spacing w:after="70" w:line="264"/>
        <w:jc w:val="both"/>
      </w:pPr>
      <w:r>
        <w:rPr>
          <w:rFonts w:ascii="Calibri" w:cs="Calibri" w:eastAsia="Calibri" w:hAnsi="Calibri"/>
          <w:b/>
          <w:bCs/>
          <w:color w:val="1A1A1A"/>
          <w:sz w:val="20"/>
          <w:szCs w:val="20"/>
        </w:rPr>
        <w:t xml:space="preserve">Patrimoine et restitutions</w:t>
      </w:r>
      <w:r>
        <w:rPr>
          <w:rFonts w:ascii="Calibri" w:cs="Calibri" w:eastAsia="Calibri" w:hAnsi="Calibri"/>
          <w:color w:val="1A1A1A"/>
          <w:sz w:val="20"/>
          <w:szCs w:val="20"/>
        </w:rPr>
        <w:t xml:space="preserve"> → fiches 44 (peuples et autodétermination), 46 (propriété publique, inaliénabilité), 52 (</w:t>
      </w:r>
      <w:r>
        <w:rPr>
          <w:rFonts w:ascii="Calibri" w:cs="Calibri" w:eastAsia="Calibri" w:hAnsi="Calibri"/>
          <w:color w:val="1E88E5"/>
          <w:sz w:val="20"/>
          <w:szCs w:val="20"/>
        </w:rPr>
        <w:t xml:space="preserve">loi du 9 mai 2026</w:t>
      </w:r>
      <w:r>
        <w:rPr>
          <w:rFonts w:ascii="Calibri" w:cs="Calibri" w:eastAsia="Calibri" w:hAnsi="Calibri"/>
          <w:color w:val="1A1A1A"/>
          <w:sz w:val="20"/>
          <w:szCs w:val="20"/>
        </w:rPr>
        <w:t xml:space="preserve">).</w:t>
      </w:r>
    </w:p>
    <w:p>
      <w:pPr>
        <w:pStyle w:val="ListParagraph"/>
        <w:numPr>
          <w:ilvl w:val="0"/>
          <w:numId w:val="2"/>
        </w:numPr>
        <w:spacing w:after="70" w:line="264"/>
        <w:jc w:val="both"/>
      </w:pPr>
      <w:r>
        <w:rPr>
          <w:rFonts w:ascii="Calibri" w:cs="Calibri" w:eastAsia="Calibri" w:hAnsi="Calibri"/>
          <w:b/>
          <w:bCs/>
          <w:color w:val="1A1A1A"/>
          <w:sz w:val="20"/>
          <w:szCs w:val="20"/>
        </w:rPr>
        <w:t xml:space="preserve">Fraternité</w:t>
      </w:r>
      <w:r>
        <w:rPr>
          <w:rFonts w:ascii="Calibri" w:cs="Calibri" w:eastAsia="Calibri" w:hAnsi="Calibri"/>
          <w:color w:val="1A1A1A"/>
          <w:sz w:val="20"/>
          <w:szCs w:val="20"/>
        </w:rPr>
        <w:t xml:space="preserve"> → fiches 5 (principes), 53 (</w:t>
      </w:r>
      <w:r>
        <w:rPr>
          <w:rFonts w:ascii="Calibri" w:cs="Calibri" w:eastAsia="Calibri" w:hAnsi="Calibri"/>
          <w:color w:val="E91E63"/>
          <w:sz w:val="20"/>
          <w:szCs w:val="20"/>
        </w:rPr>
        <w:t xml:space="preserve">2018-717/718 QPC</w:t>
      </w:r>
      <w:r>
        <w:rPr>
          <w:rFonts w:ascii="Calibri" w:cs="Calibri" w:eastAsia="Calibri" w:hAnsi="Calibri"/>
          <w:color w:val="1A1A1A"/>
          <w:sz w:val="20"/>
          <w:szCs w:val="20"/>
        </w:rPr>
        <w:t xml:space="preserve">), 56 (solidarité et égalité réelle).</w:t>
      </w:r>
    </w:p>
    <w:p>
      <w:pPr>
        <w:pStyle w:val="ListParagraph"/>
        <w:numPr>
          <w:ilvl w:val="0"/>
          <w:numId w:val="2"/>
        </w:numPr>
        <w:spacing w:after="70" w:line="264"/>
        <w:jc w:val="both"/>
      </w:pPr>
      <w:r>
        <w:rPr>
          <w:rFonts w:ascii="Calibri" w:cs="Calibri" w:eastAsia="Calibri" w:hAnsi="Calibri"/>
          <w:b/>
          <w:bCs/>
          <w:color w:val="1A1A1A"/>
          <w:sz w:val="20"/>
          <w:szCs w:val="20"/>
        </w:rPr>
        <w:t xml:space="preserve">Asile et non-refoulement</w:t>
      </w:r>
      <w:r>
        <w:rPr>
          <w:rFonts w:ascii="Calibri" w:cs="Calibri" w:eastAsia="Calibri" w:hAnsi="Calibri"/>
          <w:color w:val="1A1A1A"/>
          <w:sz w:val="20"/>
          <w:szCs w:val="20"/>
        </w:rPr>
        <w:t xml:space="preserve"> → fiches 40 (circulation, Schengen), 43 (éloignement, </w:t>
      </w:r>
      <w:r>
        <w:rPr>
          <w:rFonts w:ascii="Calibri" w:cs="Calibri" w:eastAsia="Calibri" w:hAnsi="Calibri"/>
          <w:color w:val="E91E63"/>
          <w:sz w:val="20"/>
          <w:szCs w:val="20"/>
        </w:rPr>
        <w:t xml:space="preserve">Soering</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Saadi</w:t>
      </w:r>
      <w:r>
        <w:rPr>
          <w:rFonts w:ascii="Calibri" w:cs="Calibri" w:eastAsia="Calibri" w:hAnsi="Calibri"/>
          <w:color w:val="1A1A1A"/>
          <w:sz w:val="20"/>
          <w:szCs w:val="20"/>
        </w:rPr>
        <w:t xml:space="preserve">), 53 (</w:t>
      </w:r>
      <w:r>
        <w:rPr>
          <w:rFonts w:ascii="Calibri" w:cs="Calibri" w:eastAsia="Calibri" w:hAnsi="Calibri"/>
          <w:color w:val="E91E63"/>
          <w:sz w:val="20"/>
          <w:szCs w:val="20"/>
        </w:rPr>
        <w:t xml:space="preserve">93-325 DC</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M.S.S.</w:t>
      </w:r>
      <w:r>
        <w:rPr>
          <w:rFonts w:ascii="Calibri" w:cs="Calibri" w:eastAsia="Calibri" w:hAnsi="Calibri"/>
          <w:color w:val="1A1A1A"/>
          <w:sz w:val="20"/>
          <w:szCs w:val="20"/>
        </w:rPr>
        <w:t xml:space="preserve">, </w:t>
      </w:r>
      <w:r>
        <w:rPr>
          <w:rFonts w:ascii="Calibri" w:cs="Calibri" w:eastAsia="Calibri" w:hAnsi="Calibri"/>
          <w:color w:val="E91E63"/>
          <w:sz w:val="20"/>
          <w:szCs w:val="20"/>
        </w:rPr>
        <w:t xml:space="preserve">Hirsi Jamaa</w:t>
      </w:r>
      <w:r>
        <w:rPr>
          <w:rFonts w:ascii="Calibri" w:cs="Calibri" w:eastAsia="Calibri" w:hAnsi="Calibri"/>
          <w:color w:val="1A1A1A"/>
          <w:sz w:val="20"/>
          <w:szCs w:val="20"/>
        </w:rPr>
        <w:t xml:space="preserve">).</w:t>
      </w:r>
    </w:p>
    <w:sectPr>
      <w:footerReference w:type="default" r:id="rId7"/>
      <w:pgSz w:w="11906" w:h="16838" w:orient="portrait"/>
      <w:pgMar w:top="1020" w:right="1077" w:bottom="1020" w:left="107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Grand Oral CRFPA — Libertés publiques et droits fondamentaux — Partie VII-B   |   </w:t>
    </w:r>
    <w:r>
      <w:rPr>
        <w:rFonts w:ascii="Calibri" w:cs="Calibri" w:eastAsia="Calibri" w:hAnsi="Calibri"/>
        <w:color w:val="5A5A5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lvl w:ilvl="2" w15:tentative="1">
      <w:start w:val="1"/>
      <w:numFmt w:val="bullet"/>
      <w:lvlText w:val="·"/>
      <w:lvlJc w:val="left"/>
      <w:pPr>
        <w:ind w:left="10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VII-B</dc:title>
  <dc:creator>Simon</dc:creator>
  <dc:description>Fiches de révision n° 49 à 53</dc:description>
  <cp:lastModifiedBy>Un-named</cp:lastModifiedBy>
  <cp:revision>1</cp:revision>
  <dcterms:created xsi:type="dcterms:W3CDTF">2026-10-04T16:45:09.477Z</dcterms:created>
  <dcterms:modified xsi:type="dcterms:W3CDTF">2026-10-04T16:45:09.477Z</dcterms:modified>
</cp:coreProperties>
</file>

<file path=docProps/custom.xml><?xml version="1.0" encoding="utf-8"?>
<Properties xmlns="http://schemas.openxmlformats.org/officeDocument/2006/custom-properties" xmlns:vt="http://schemas.openxmlformats.org/officeDocument/2006/docPropsVTypes"/>
</file>