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821507" w14:textId="77777777" w:rsidR="004A4E1F" w:rsidRDefault="00000000">
      <w:pPr>
        <w:spacing w:before="1400" w:after="120"/>
        <w:jc w:val="center"/>
      </w:pPr>
      <w:r>
        <w:rPr>
          <w:rFonts w:ascii="Calibri" w:eastAsia="Calibri" w:hAnsi="Calibri" w:cs="Calibri"/>
          <w:b/>
          <w:bCs/>
          <w:color w:val="5A5A5A"/>
          <w:spacing w:val="60"/>
          <w:sz w:val="26"/>
          <w:szCs w:val="26"/>
        </w:rPr>
        <w:t>GRAND ORAL DU CRFPA</w:t>
      </w:r>
    </w:p>
    <w:p w14:paraId="0F6DB158" w14:textId="77777777" w:rsidR="004A4E1F" w:rsidRDefault="00000000">
      <w:pPr>
        <w:spacing w:after="100"/>
        <w:jc w:val="center"/>
      </w:pPr>
      <w:r>
        <w:rPr>
          <w:rFonts w:ascii="Calibri" w:eastAsia="Calibri" w:hAnsi="Calibri" w:cs="Calibri"/>
          <w:b/>
          <w:bCs/>
          <w:color w:val="8C1C2B"/>
          <w:sz w:val="44"/>
          <w:szCs w:val="44"/>
        </w:rPr>
        <w:t>LIBERTÉS PUBLIQUES ET DROITS FONDAMENTAUX</w:t>
      </w:r>
    </w:p>
    <w:p w14:paraId="7E3943EC" w14:textId="77777777" w:rsidR="004A4E1F" w:rsidRDefault="00000000">
      <w:pPr>
        <w:spacing w:after="600"/>
        <w:jc w:val="center"/>
      </w:pPr>
      <w:r>
        <w:rPr>
          <w:rFonts w:ascii="Calibri" w:eastAsia="Calibri" w:hAnsi="Calibri" w:cs="Calibri"/>
          <w:color w:val="1A1A1A"/>
          <w:sz w:val="26"/>
          <w:szCs w:val="26"/>
        </w:rPr>
        <w:t>Partie VI-A — L’intégrité de la personne (fiches n° 26 à 29)</w:t>
      </w:r>
    </w:p>
    <w:p w14:paraId="75EFB575" w14:textId="77777777" w:rsidR="004A4E1F" w:rsidRDefault="00000000">
      <w:pPr>
        <w:spacing w:after="100"/>
        <w:jc w:val="center"/>
      </w:pPr>
      <w:r>
        <w:rPr>
          <w:rFonts w:ascii="Calibri" w:eastAsia="Calibri" w:hAnsi="Calibri" w:cs="Calibri"/>
          <w:i/>
          <w:iCs/>
          <w:color w:val="5A5A5A"/>
        </w:rPr>
        <w:t>Fiches de révision exhaustives — exposé de 15 minutes et entretien avec le jury</w:t>
      </w:r>
    </w:p>
    <w:p w14:paraId="08114BF5" w14:textId="77777777" w:rsidR="004A4E1F" w:rsidRDefault="00000000">
      <w:pPr>
        <w:spacing w:after="700"/>
        <w:jc w:val="center"/>
      </w:pPr>
      <w:r>
        <w:rPr>
          <w:rFonts w:ascii="Calibri" w:eastAsia="Calibri" w:hAnsi="Calibri" w:cs="Calibri"/>
          <w:i/>
          <w:iCs/>
          <w:color w:val="5A5A5A"/>
          <w:sz w:val="18"/>
          <w:szCs w:val="18"/>
        </w:rPr>
        <w:t>D’après le fascicule Objectif Barreau 2026</w:t>
      </w:r>
    </w:p>
    <w:p w14:paraId="1A9BB2A0" w14:textId="77777777" w:rsidR="004A4E1F" w:rsidRDefault="00000000">
      <w:pPr>
        <w:spacing w:before="200" w:after="120"/>
      </w:pPr>
      <w:r>
        <w:rPr>
          <w:rFonts w:ascii="Calibri" w:eastAsia="Calibri" w:hAnsi="Calibri" w:cs="Calibri"/>
          <w:b/>
          <w:bCs/>
          <w:color w:val="1A1A1A"/>
          <w:sz w:val="22"/>
          <w:szCs w:val="22"/>
        </w:rPr>
        <w:t>CODE COULEUR</w:t>
      </w:r>
    </w:p>
    <w:p w14:paraId="62205593" w14:textId="77777777" w:rsidR="004A4E1F" w:rsidRDefault="00000000">
      <w:pPr>
        <w:pStyle w:val="Paragraphedeliste"/>
        <w:numPr>
          <w:ilvl w:val="0"/>
          <w:numId w:val="2"/>
        </w:numPr>
        <w:spacing w:after="60"/>
      </w:pPr>
      <w:r>
        <w:rPr>
          <w:rFonts w:ascii="Calibri" w:eastAsia="Calibri" w:hAnsi="Calibri" w:cs="Calibri"/>
          <w:color w:val="1E88E5"/>
        </w:rPr>
        <w:t>Textes normatifs</w:t>
      </w:r>
      <w:r>
        <w:rPr>
          <w:rFonts w:ascii="Calibri" w:eastAsia="Calibri" w:hAnsi="Calibri" w:cs="Calibri"/>
          <w:color w:val="1A1A1A"/>
        </w:rPr>
        <w:t xml:space="preserve"> — traités, conventions, Constitution, codes, lois, règlements.</w:t>
      </w:r>
    </w:p>
    <w:p w14:paraId="0D7FE41D" w14:textId="77777777" w:rsidR="004A4E1F" w:rsidRDefault="00000000">
      <w:pPr>
        <w:pStyle w:val="Paragraphedeliste"/>
        <w:numPr>
          <w:ilvl w:val="0"/>
          <w:numId w:val="2"/>
        </w:numPr>
        <w:spacing w:after="60"/>
      </w:pPr>
      <w:r>
        <w:rPr>
          <w:rFonts w:ascii="Calibri" w:eastAsia="Calibri" w:hAnsi="Calibri" w:cs="Calibri"/>
          <w:color w:val="E91E63"/>
        </w:rPr>
        <w:t>Jurisprudence</w:t>
      </w:r>
      <w:r>
        <w:rPr>
          <w:rFonts w:ascii="Calibri" w:eastAsia="Calibri" w:hAnsi="Calibri" w:cs="Calibri"/>
          <w:color w:val="1A1A1A"/>
        </w:rPr>
        <w:t xml:space="preserve"> — Cass., CE, Cons. const., CEDH, CJUE, décisions QPC.</w:t>
      </w:r>
    </w:p>
    <w:p w14:paraId="7E5EDBBD" w14:textId="77777777" w:rsidR="004A4E1F" w:rsidRDefault="00000000">
      <w:pPr>
        <w:pStyle w:val="Paragraphedeliste"/>
        <w:numPr>
          <w:ilvl w:val="0"/>
          <w:numId w:val="2"/>
        </w:numPr>
        <w:spacing w:after="60"/>
      </w:pPr>
      <w:r>
        <w:rPr>
          <w:rFonts w:ascii="Calibri" w:eastAsia="Calibri" w:hAnsi="Calibri" w:cs="Calibri"/>
          <w:color w:val="2E7D32"/>
        </w:rPr>
        <w:t>Doctrine</w:t>
      </w:r>
      <w:r>
        <w:rPr>
          <w:rFonts w:ascii="Calibri" w:eastAsia="Calibri" w:hAnsi="Calibri" w:cs="Calibri"/>
          <w:color w:val="1A1A1A"/>
        </w:rPr>
        <w:t xml:space="preserve"> — auteurs, thèses, controverses universitaires, avis institutionnels.</w:t>
      </w:r>
    </w:p>
    <w:p w14:paraId="1820CC23" w14:textId="77777777" w:rsidR="004A4E1F" w:rsidRDefault="00000000">
      <w:pPr>
        <w:pStyle w:val="Paragraphedeliste"/>
        <w:numPr>
          <w:ilvl w:val="0"/>
          <w:numId w:val="2"/>
        </w:numPr>
        <w:spacing w:after="60"/>
      </w:pPr>
      <w:r>
        <w:rPr>
          <w:rFonts w:ascii="Calibri" w:eastAsia="Calibri" w:hAnsi="Calibri" w:cs="Calibri"/>
          <w:b/>
          <w:bCs/>
          <w:color w:val="1A1A1A"/>
        </w:rPr>
        <w:t>Gras</w:t>
      </w:r>
      <w:r>
        <w:rPr>
          <w:rFonts w:ascii="Calibri" w:eastAsia="Calibri" w:hAnsi="Calibri" w:cs="Calibri"/>
          <w:color w:val="1A1A1A"/>
        </w:rPr>
        <w:t xml:space="preserve"> — réservé au seul apport à mémoriser. La couleur dit d’où vient la règle, le gras dit ce qu’il faut réciter.</w:t>
      </w:r>
    </w:p>
    <w:p w14:paraId="3D441289" w14:textId="77777777" w:rsidR="004A4E1F" w:rsidRDefault="00000000">
      <w:pPr>
        <w:pStyle w:val="Paragraphedeliste"/>
        <w:numPr>
          <w:ilvl w:val="0"/>
          <w:numId w:val="2"/>
        </w:numPr>
        <w:spacing w:after="300"/>
      </w:pPr>
      <w:r>
        <w:rPr>
          <w:rFonts w:ascii="Calibri" w:eastAsia="Calibri" w:hAnsi="Calibri" w:cs="Calibri"/>
          <w:color w:val="1A1A1A"/>
        </w:rPr>
        <w:t>★ — référence incontournable, à citer de mémoire le jour J.</w:t>
      </w:r>
    </w:p>
    <w:p w14:paraId="7787F7F8" w14:textId="77777777" w:rsidR="004A4E1F" w:rsidRDefault="00000000">
      <w:pPr>
        <w:spacing w:before="200" w:after="120"/>
      </w:pPr>
      <w:r>
        <w:rPr>
          <w:rFonts w:ascii="Calibri" w:eastAsia="Calibri" w:hAnsi="Calibri" w:cs="Calibri"/>
          <w:b/>
          <w:bCs/>
          <w:color w:val="1A1A1A"/>
          <w:sz w:val="22"/>
          <w:szCs w:val="22"/>
        </w:rPr>
        <w:t>SOMMAIRE</w:t>
      </w:r>
    </w:p>
    <w:p w14:paraId="3640DC02" w14:textId="77777777" w:rsidR="004A4E1F" w:rsidRDefault="00000000">
      <w:pPr>
        <w:pStyle w:val="Paragraphedeliste"/>
        <w:numPr>
          <w:ilvl w:val="0"/>
          <w:numId w:val="2"/>
        </w:numPr>
        <w:spacing w:after="40"/>
      </w:pPr>
      <w:r>
        <w:rPr>
          <w:rFonts w:ascii="Calibri" w:eastAsia="Calibri" w:hAnsi="Calibri" w:cs="Calibri"/>
          <w:color w:val="1A1A1A"/>
        </w:rPr>
        <w:t>Fiche n° 26 — Le droit à la vie</w:t>
      </w:r>
    </w:p>
    <w:p w14:paraId="7144F664" w14:textId="77777777" w:rsidR="004A4E1F" w:rsidRDefault="00000000">
      <w:pPr>
        <w:pStyle w:val="Paragraphedeliste"/>
        <w:numPr>
          <w:ilvl w:val="0"/>
          <w:numId w:val="2"/>
        </w:numPr>
        <w:spacing w:after="40"/>
      </w:pPr>
      <w:r>
        <w:rPr>
          <w:rFonts w:ascii="Calibri" w:eastAsia="Calibri" w:hAnsi="Calibri" w:cs="Calibri"/>
          <w:color w:val="1A1A1A"/>
        </w:rPr>
        <w:t>Fiche n° 27 — Le droit à l’intégrité de la personne</w:t>
      </w:r>
    </w:p>
    <w:p w14:paraId="7DAD46F9" w14:textId="77777777" w:rsidR="004A4E1F" w:rsidRDefault="00000000">
      <w:pPr>
        <w:pStyle w:val="Paragraphedeliste"/>
        <w:numPr>
          <w:ilvl w:val="0"/>
          <w:numId w:val="2"/>
        </w:numPr>
        <w:spacing w:after="40"/>
      </w:pPr>
      <w:r>
        <w:rPr>
          <w:rFonts w:ascii="Calibri" w:eastAsia="Calibri" w:hAnsi="Calibri" w:cs="Calibri"/>
          <w:color w:val="1A1A1A"/>
        </w:rPr>
        <w:t>Fiche n° 28 — L’interdiction de la torture et des peines ou traitements inhumains ou dégradants</w:t>
      </w:r>
    </w:p>
    <w:p w14:paraId="7B88A6D4" w14:textId="77777777" w:rsidR="004A4E1F" w:rsidRDefault="00000000">
      <w:pPr>
        <w:pStyle w:val="Paragraphedeliste"/>
        <w:numPr>
          <w:ilvl w:val="0"/>
          <w:numId w:val="2"/>
        </w:numPr>
        <w:spacing w:after="40"/>
      </w:pPr>
      <w:r>
        <w:rPr>
          <w:rFonts w:ascii="Calibri" w:eastAsia="Calibri" w:hAnsi="Calibri" w:cs="Calibri"/>
          <w:color w:val="1A1A1A"/>
        </w:rPr>
        <w:t>Fiche n° 29 — L’interdiction de l’esclavage, de la traite, de la servitude et du travail forcé</w:t>
      </w:r>
    </w:p>
    <w:p w14:paraId="44751444" w14:textId="77777777" w:rsidR="004A4E1F" w:rsidRDefault="00000000">
      <w:pPr>
        <w:pStyle w:val="Paragraphedeliste"/>
        <w:numPr>
          <w:ilvl w:val="0"/>
          <w:numId w:val="2"/>
        </w:numPr>
        <w:spacing w:after="40"/>
      </w:pPr>
      <w:r>
        <w:rPr>
          <w:rFonts w:ascii="Calibri" w:eastAsia="Calibri" w:hAnsi="Calibri" w:cs="Calibri"/>
          <w:color w:val="1A1A1A"/>
        </w:rPr>
        <w:t>Annexe — Découpage de la Partie VI et compléments à l’index</w:t>
      </w:r>
    </w:p>
    <w:p w14:paraId="5A975B47" w14:textId="77777777" w:rsidR="004A4E1F" w:rsidRDefault="00000000">
      <w:pPr>
        <w:spacing w:before="300" w:after="80"/>
      </w:pPr>
      <w:r>
        <w:rPr>
          <w:rFonts w:ascii="Calibri" w:eastAsia="Calibri" w:hAnsi="Calibri" w:cs="Calibri"/>
          <w:i/>
          <w:iCs/>
          <w:color w:val="5A5A5A"/>
          <w:sz w:val="18"/>
          <w:szCs w:val="18"/>
        </w:rPr>
        <w:t>Chaque fiche s’ouvre sur une FICHE-MÉMOIRE d’une page — accroche, définition en trois lignes, cinq références incontournables, deux matrices de plan, trois pièges. C’est elle que l’on relit ; les pages suivantes forment le dossier de consultation.</w:t>
      </w:r>
    </w:p>
    <w:p w14:paraId="7B95A62E" w14:textId="77777777" w:rsidR="004A4E1F" w:rsidRDefault="00000000">
      <w:r>
        <w:rPr>
          <w:rFonts w:ascii="Calibri" w:eastAsia="Calibri" w:hAnsi="Calibri" w:cs="Calibri"/>
          <w:i/>
          <w:iCs/>
          <w:color w:val="5A5A5A"/>
          <w:sz w:val="18"/>
          <w:szCs w:val="18"/>
        </w:rPr>
        <w:t>Dossier : architecture textuelle — ligne prétorienne et évolutions — débats doctrinaux et critiques — dispositif « Grand Oral » (relances du jury, sujets d’exposé, angles morts formulés en question / réponse pour le rappel actif).</w:t>
      </w:r>
    </w:p>
    <w:p w14:paraId="3715286D" w14:textId="77777777" w:rsidR="004A4E1F" w:rsidRDefault="00000000">
      <w:r>
        <w:br w:type="page"/>
      </w:r>
    </w:p>
    <w:p w14:paraId="41BC9EDC" w14:textId="77777777" w:rsidR="004A4E1F" w:rsidRDefault="00000000">
      <w:pPr>
        <w:pStyle w:val="Titre1"/>
        <w:pBdr>
          <w:bottom w:val="single" w:sz="12" w:space="6" w:color="8C1C2B"/>
        </w:pBdr>
        <w:spacing w:before="240" w:after="200"/>
      </w:pPr>
      <w:r>
        <w:rPr>
          <w:rFonts w:ascii="Calibri" w:eastAsia="Calibri" w:hAnsi="Calibri" w:cs="Calibri"/>
          <w:b/>
          <w:bCs/>
          <w:color w:val="8C1C2B"/>
          <w:sz w:val="30"/>
          <w:szCs w:val="30"/>
        </w:rPr>
        <w:lastRenderedPageBreak/>
        <w:t>FICHE N° 26 — LE DROIT À LA VIE</w:t>
      </w:r>
    </w:p>
    <w:p w14:paraId="7C273FC6" w14:textId="77777777" w:rsidR="004A4E1F" w:rsidRDefault="00000000">
      <w:pPr>
        <w:pStyle w:val="Titre2"/>
        <w:spacing w:before="280" w:after="120"/>
      </w:pPr>
      <w:r>
        <w:rPr>
          <w:rFonts w:ascii="Calibri" w:eastAsia="Calibri" w:hAnsi="Calibri" w:cs="Calibri"/>
          <w:b/>
          <w:bCs/>
          <w:color w:val="1A1A1A"/>
          <w:sz w:val="24"/>
          <w:szCs w:val="24"/>
        </w:rPr>
        <w:t>◆ FICHE-MÉMOIRE — à réviser en trois minutes</w:t>
      </w:r>
    </w:p>
    <w:p w14:paraId="08C697AD" w14:textId="77777777" w:rsidR="004A4E1F" w:rsidRDefault="00000000">
      <w:pPr>
        <w:pStyle w:val="Titre3"/>
        <w:spacing w:before="200" w:after="90"/>
      </w:pPr>
      <w:r>
        <w:rPr>
          <w:rFonts w:ascii="Calibri" w:eastAsia="Calibri" w:hAnsi="Calibri" w:cs="Calibri"/>
          <w:b/>
          <w:bCs/>
          <w:i/>
          <w:iCs/>
          <w:color w:val="5A5A5A"/>
          <w:sz w:val="21"/>
          <w:szCs w:val="21"/>
        </w:rPr>
        <w:t>Accroche</w:t>
      </w:r>
    </w:p>
    <w:p w14:paraId="45B58E5B" w14:textId="77777777" w:rsidR="004A4E1F" w:rsidRDefault="00000000">
      <w:pPr>
        <w:pStyle w:val="Paragraphedeliste"/>
        <w:numPr>
          <w:ilvl w:val="0"/>
          <w:numId w:val="2"/>
        </w:numPr>
        <w:spacing w:after="70" w:line="264" w:lineRule="auto"/>
        <w:jc w:val="both"/>
      </w:pPr>
      <w:r>
        <w:rPr>
          <w:rFonts w:ascii="Calibri" w:eastAsia="Calibri" w:hAnsi="Calibri" w:cs="Calibri"/>
          <w:color w:val="E91E63"/>
        </w:rPr>
        <w:t>CEDH, GC, 22 mars 2001, Streletz, Kessler et Krenz c. Allemagne, n° 34044/96</w:t>
      </w:r>
      <w:r>
        <w:rPr>
          <w:rFonts w:ascii="Calibri" w:eastAsia="Calibri" w:hAnsi="Calibri" w:cs="Calibri"/>
          <w:color w:val="1A1A1A"/>
        </w:rPr>
        <w:t xml:space="preserve"> : le droit à la vie est « </w:t>
      </w:r>
      <w:r>
        <w:rPr>
          <w:rFonts w:ascii="Calibri" w:eastAsia="Calibri" w:hAnsi="Calibri" w:cs="Calibri"/>
          <w:i/>
          <w:iCs/>
          <w:color w:val="1A1A1A"/>
        </w:rPr>
        <w:t>un attribut inaliénable de la personne humaine</w:t>
      </w:r>
      <w:r>
        <w:rPr>
          <w:rFonts w:ascii="Calibri" w:eastAsia="Calibri" w:hAnsi="Calibri" w:cs="Calibri"/>
          <w:color w:val="1A1A1A"/>
        </w:rPr>
        <w:t xml:space="preserve"> » et constitue « </w:t>
      </w:r>
      <w:r>
        <w:rPr>
          <w:rFonts w:ascii="Calibri" w:eastAsia="Calibri" w:hAnsi="Calibri" w:cs="Calibri"/>
          <w:i/>
          <w:iCs/>
          <w:color w:val="1A1A1A"/>
        </w:rPr>
        <w:t>la valeur suprême dans l’échelle des droits de l’homme sur le plan international</w:t>
      </w:r>
      <w:r>
        <w:rPr>
          <w:rFonts w:ascii="Calibri" w:eastAsia="Calibri" w:hAnsi="Calibri" w:cs="Calibri"/>
          <w:color w:val="1A1A1A"/>
        </w:rPr>
        <w:t xml:space="preserve"> ». Et pourtant, </w:t>
      </w:r>
      <w:r>
        <w:rPr>
          <w:rFonts w:ascii="Calibri" w:eastAsia="Calibri" w:hAnsi="Calibri" w:cs="Calibri"/>
          <w:b/>
          <w:bCs/>
          <w:color w:val="1A1A1A"/>
        </w:rPr>
        <w:t>ni la Constitution française ni le Conseil constitutionnel ne lui reconnaissent de valeur suprême</w:t>
      </w:r>
      <w:r>
        <w:rPr>
          <w:rFonts w:ascii="Calibri" w:eastAsia="Calibri" w:hAnsi="Calibri" w:cs="Calibri"/>
          <w:color w:val="1A1A1A"/>
        </w:rPr>
        <w:t xml:space="preserve"> : cette place revient à la dignité.</w:t>
      </w:r>
    </w:p>
    <w:p w14:paraId="61230FF9"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xml:space="preserve">Accroche alternative : </w:t>
      </w:r>
      <w:r>
        <w:rPr>
          <w:rFonts w:ascii="Calibri" w:eastAsia="Calibri" w:hAnsi="Calibri" w:cs="Calibri"/>
          <w:color w:val="E91E63"/>
        </w:rPr>
        <w:t>CEDH, 17 septembre 1995, McCann c. Royaume-Uni, n° 18984/91</w:t>
      </w:r>
      <w:r>
        <w:rPr>
          <w:rFonts w:ascii="Calibri" w:eastAsia="Calibri" w:hAnsi="Calibri" w:cs="Calibri"/>
          <w:color w:val="1A1A1A"/>
        </w:rPr>
        <w:t xml:space="preserve"> — le droit à la vie, bien que fondamental, « </w:t>
      </w:r>
      <w:r>
        <w:rPr>
          <w:rFonts w:ascii="Calibri" w:eastAsia="Calibri" w:hAnsi="Calibri" w:cs="Calibri"/>
          <w:i/>
          <w:iCs/>
          <w:color w:val="1A1A1A"/>
        </w:rPr>
        <w:t>n’est pas absolu et doit s’articuler avec les nécessités inhérentes à la vie en société démocratique</w:t>
      </w:r>
      <w:r>
        <w:rPr>
          <w:rFonts w:ascii="Calibri" w:eastAsia="Calibri" w:hAnsi="Calibri" w:cs="Calibri"/>
          <w:color w:val="1A1A1A"/>
        </w:rPr>
        <w:t xml:space="preserve"> ».</w:t>
      </w:r>
    </w:p>
    <w:p w14:paraId="1928B846" w14:textId="77777777" w:rsidR="004A4E1F" w:rsidRDefault="00000000">
      <w:pPr>
        <w:pStyle w:val="Titre3"/>
        <w:spacing w:before="200" w:after="90"/>
      </w:pPr>
      <w:r>
        <w:rPr>
          <w:rFonts w:ascii="Calibri" w:eastAsia="Calibri" w:hAnsi="Calibri" w:cs="Calibri"/>
          <w:b/>
          <w:bCs/>
          <w:i/>
          <w:iCs/>
          <w:color w:val="5A5A5A"/>
          <w:sz w:val="21"/>
          <w:szCs w:val="21"/>
        </w:rPr>
        <w:t>Définition en trois lignes</w:t>
      </w:r>
    </w:p>
    <w:p w14:paraId="4A320FB9"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xml:space="preserve">Droit </w:t>
      </w:r>
      <w:r>
        <w:rPr>
          <w:rFonts w:ascii="Calibri" w:eastAsia="Calibri" w:hAnsi="Calibri" w:cs="Calibri"/>
          <w:b/>
          <w:bCs/>
          <w:color w:val="1A1A1A"/>
        </w:rPr>
        <w:t>indérogeable</w:t>
      </w:r>
      <w:r>
        <w:rPr>
          <w:rFonts w:ascii="Calibri" w:eastAsia="Calibri" w:hAnsi="Calibri" w:cs="Calibri"/>
          <w:color w:val="1A1A1A"/>
        </w:rPr>
        <w:t xml:space="preserve"> (</w:t>
      </w:r>
      <w:r>
        <w:rPr>
          <w:rFonts w:ascii="Calibri" w:eastAsia="Calibri" w:hAnsi="Calibri" w:cs="Calibri"/>
          <w:color w:val="1E88E5"/>
        </w:rPr>
        <w:t>art. 15 CEDH</w:t>
      </w:r>
      <w:r>
        <w:rPr>
          <w:rFonts w:ascii="Calibri" w:eastAsia="Calibri" w:hAnsi="Calibri" w:cs="Calibri"/>
          <w:color w:val="1A1A1A"/>
        </w:rPr>
        <w:t xml:space="preserve">, </w:t>
      </w:r>
      <w:r>
        <w:rPr>
          <w:rFonts w:ascii="Calibri" w:eastAsia="Calibri" w:hAnsi="Calibri" w:cs="Calibri"/>
          <w:color w:val="1E88E5"/>
        </w:rPr>
        <w:t>art. 4 § 2 PIDCP</w:t>
      </w:r>
      <w:r>
        <w:rPr>
          <w:rFonts w:ascii="Calibri" w:eastAsia="Calibri" w:hAnsi="Calibri" w:cs="Calibri"/>
          <w:color w:val="1A1A1A"/>
        </w:rPr>
        <w:t xml:space="preserve">) au sens où il ne peut faire l’objet de dérogation en temps de troubles internes ou de crises politiques ; il constitue la </w:t>
      </w:r>
      <w:r>
        <w:rPr>
          <w:rFonts w:ascii="Calibri" w:eastAsia="Calibri" w:hAnsi="Calibri" w:cs="Calibri"/>
          <w:b/>
          <w:bCs/>
          <w:color w:val="1A1A1A"/>
        </w:rPr>
        <w:t>condition essentielle</w:t>
      </w:r>
      <w:r>
        <w:rPr>
          <w:rFonts w:ascii="Calibri" w:eastAsia="Calibri" w:hAnsi="Calibri" w:cs="Calibri"/>
          <w:color w:val="1A1A1A"/>
        </w:rPr>
        <w:t xml:space="preserve"> de l’exercice de tous les autres droits. Le Comité des droits de l’homme le qualifie de « </w:t>
      </w:r>
      <w:r>
        <w:rPr>
          <w:rFonts w:ascii="Calibri" w:eastAsia="Calibri" w:hAnsi="Calibri" w:cs="Calibri"/>
          <w:b/>
          <w:bCs/>
          <w:color w:val="1A1A1A"/>
        </w:rPr>
        <w:t>droit suprême</w:t>
      </w:r>
      <w:r>
        <w:rPr>
          <w:rFonts w:ascii="Calibri" w:eastAsia="Calibri" w:hAnsi="Calibri" w:cs="Calibri"/>
          <w:color w:val="1A1A1A"/>
        </w:rPr>
        <w:t xml:space="preserve"> » de l’être humain.</w:t>
      </w:r>
    </w:p>
    <w:p w14:paraId="7D92122E"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Trois volets à annoncer</w:t>
      </w:r>
      <w:r>
        <w:rPr>
          <w:rFonts w:ascii="Calibri" w:eastAsia="Calibri" w:hAnsi="Calibri" w:cs="Calibri"/>
          <w:color w:val="1A1A1A"/>
        </w:rPr>
        <w:t xml:space="preserve"> : une </w:t>
      </w:r>
      <w:r>
        <w:rPr>
          <w:rFonts w:ascii="Calibri" w:eastAsia="Calibri" w:hAnsi="Calibri" w:cs="Calibri"/>
          <w:b/>
          <w:bCs/>
          <w:color w:val="1A1A1A"/>
        </w:rPr>
        <w:t>obligation négative</w:t>
      </w:r>
      <w:r>
        <w:rPr>
          <w:rFonts w:ascii="Calibri" w:eastAsia="Calibri" w:hAnsi="Calibri" w:cs="Calibri"/>
          <w:color w:val="1A1A1A"/>
        </w:rPr>
        <w:t xml:space="preserve"> (s’abstenir d’infliger arbitrairement la mort) ; des </w:t>
      </w:r>
      <w:r>
        <w:rPr>
          <w:rFonts w:ascii="Calibri" w:eastAsia="Calibri" w:hAnsi="Calibri" w:cs="Calibri"/>
          <w:b/>
          <w:bCs/>
          <w:color w:val="1A1A1A"/>
        </w:rPr>
        <w:t>obligations procédurales</w:t>
      </w:r>
      <w:r>
        <w:rPr>
          <w:rFonts w:ascii="Calibri" w:eastAsia="Calibri" w:hAnsi="Calibri" w:cs="Calibri"/>
          <w:color w:val="1A1A1A"/>
        </w:rPr>
        <w:t xml:space="preserve"> (enquête prompte, effective et indépendante, </w:t>
      </w:r>
      <w:r>
        <w:rPr>
          <w:rFonts w:ascii="Calibri" w:eastAsia="Calibri" w:hAnsi="Calibri" w:cs="Calibri"/>
          <w:b/>
          <w:bCs/>
          <w:color w:val="1A1A1A"/>
        </w:rPr>
        <w:t>obligation de moyen</w:t>
      </w:r>
      <w:r>
        <w:rPr>
          <w:rFonts w:ascii="Calibri" w:eastAsia="Calibri" w:hAnsi="Calibri" w:cs="Calibri"/>
          <w:color w:val="1A1A1A"/>
        </w:rPr>
        <w:t xml:space="preserve">) ; des </w:t>
      </w:r>
      <w:r>
        <w:rPr>
          <w:rFonts w:ascii="Calibri" w:eastAsia="Calibri" w:hAnsi="Calibri" w:cs="Calibri"/>
          <w:b/>
          <w:bCs/>
          <w:color w:val="1A1A1A"/>
        </w:rPr>
        <w:t>obligations positives</w:t>
      </w:r>
      <w:r>
        <w:rPr>
          <w:rFonts w:ascii="Calibri" w:eastAsia="Calibri" w:hAnsi="Calibri" w:cs="Calibri"/>
          <w:color w:val="1A1A1A"/>
        </w:rPr>
        <w:t xml:space="preserve"> (prévenir les atteintes, y compris entre particuliers, et protéger contre les aléas).</w:t>
      </w:r>
    </w:p>
    <w:p w14:paraId="67D07714" w14:textId="77777777" w:rsidR="004A4E1F" w:rsidRDefault="00000000">
      <w:pPr>
        <w:pStyle w:val="Titre3"/>
        <w:spacing w:before="200" w:after="90"/>
      </w:pPr>
      <w:r>
        <w:rPr>
          <w:rFonts w:ascii="Calibri" w:eastAsia="Calibri" w:hAnsi="Calibri" w:cs="Calibri"/>
          <w:b/>
          <w:bCs/>
          <w:i/>
          <w:iCs/>
          <w:color w:val="5A5A5A"/>
          <w:sz w:val="21"/>
          <w:szCs w:val="21"/>
        </w:rPr>
        <w:t>Les cinq références incontournables</w:t>
      </w:r>
    </w:p>
    <w:p w14:paraId="43752A95"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GC, 22 mars 2001, Streletz, Kessler et Krenz c. Allemagne, n° 34044/96</w:t>
      </w:r>
      <w:r>
        <w:rPr>
          <w:rFonts w:ascii="Calibri" w:eastAsia="Calibri" w:hAnsi="Calibri" w:cs="Calibri"/>
          <w:color w:val="1A1A1A"/>
        </w:rPr>
        <w:t xml:space="preserve"> : attribut inaliénable, valeur suprême.</w:t>
      </w:r>
    </w:p>
    <w:p w14:paraId="00EF7AB0"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17 septembre 1995, McCann c. Royaume-Uni, n° 18984/91</w:t>
      </w:r>
      <w:r>
        <w:rPr>
          <w:rFonts w:ascii="Calibri" w:eastAsia="Calibri" w:hAnsi="Calibri" w:cs="Calibri"/>
          <w:color w:val="1A1A1A"/>
        </w:rPr>
        <w:t xml:space="preserve"> : usage de la force — contrôle strict de la </w:t>
      </w:r>
      <w:r>
        <w:rPr>
          <w:rFonts w:ascii="Calibri" w:eastAsia="Calibri" w:hAnsi="Calibri" w:cs="Calibri"/>
          <w:b/>
          <w:bCs/>
          <w:color w:val="1A1A1A"/>
        </w:rPr>
        <w:t>nécessité absolue</w:t>
      </w:r>
      <w:r>
        <w:rPr>
          <w:rFonts w:ascii="Calibri" w:eastAsia="Calibri" w:hAnsi="Calibri" w:cs="Calibri"/>
          <w:color w:val="1A1A1A"/>
        </w:rPr>
        <w:t xml:space="preserve">, de la stricte proportionnalité, de la </w:t>
      </w:r>
      <w:r>
        <w:rPr>
          <w:rFonts w:ascii="Calibri" w:eastAsia="Calibri" w:hAnsi="Calibri" w:cs="Calibri"/>
          <w:b/>
          <w:bCs/>
          <w:color w:val="1A1A1A"/>
        </w:rPr>
        <w:t>planification sérieuse</w:t>
      </w:r>
      <w:r>
        <w:rPr>
          <w:rFonts w:ascii="Calibri" w:eastAsia="Calibri" w:hAnsi="Calibri" w:cs="Calibri"/>
          <w:color w:val="1A1A1A"/>
        </w:rPr>
        <w:t xml:space="preserve"> de l’opération et des précautions prises pour protéger la population civile.</w:t>
      </w:r>
    </w:p>
    <w:p w14:paraId="7E425C45"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28 octobre 1998, Osman c. Royaume-Uni, n° 87/1997/871/1083</w:t>
      </w:r>
      <w:r>
        <w:rPr>
          <w:rFonts w:ascii="Calibri" w:eastAsia="Calibri" w:hAnsi="Calibri" w:cs="Calibri"/>
          <w:color w:val="1A1A1A"/>
        </w:rPr>
        <w:t xml:space="preserve"> : obligations positives lorsque les autorités savaient ou auraient dû savoir l’existence d’un </w:t>
      </w:r>
      <w:r>
        <w:rPr>
          <w:rFonts w:ascii="Calibri" w:eastAsia="Calibri" w:hAnsi="Calibri" w:cs="Calibri"/>
          <w:b/>
          <w:bCs/>
          <w:color w:val="1A1A1A"/>
        </w:rPr>
        <w:t>risque réel, sérieux et immédiat</w:t>
      </w:r>
      <w:r>
        <w:rPr>
          <w:rFonts w:ascii="Calibri" w:eastAsia="Calibri" w:hAnsi="Calibri" w:cs="Calibri"/>
          <w:color w:val="1A1A1A"/>
        </w:rPr>
        <w:t xml:space="preserve">, sans imposer un </w:t>
      </w:r>
      <w:r>
        <w:rPr>
          <w:rFonts w:ascii="Calibri" w:eastAsia="Calibri" w:hAnsi="Calibri" w:cs="Calibri"/>
          <w:b/>
          <w:bCs/>
          <w:color w:val="1A1A1A"/>
        </w:rPr>
        <w:t>fardeau déraisonnable ou excessif</w:t>
      </w:r>
      <w:r>
        <w:rPr>
          <w:rFonts w:ascii="Calibri" w:eastAsia="Calibri" w:hAnsi="Calibri" w:cs="Calibri"/>
          <w:color w:val="1A1A1A"/>
        </w:rPr>
        <w:t>.</w:t>
      </w:r>
    </w:p>
    <w:p w14:paraId="52DAB4F5"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29 avril 2002, Pretty c. Royaume-Uni, n° 2346/02</w:t>
      </w:r>
      <w:r>
        <w:rPr>
          <w:rFonts w:ascii="Calibri" w:eastAsia="Calibri" w:hAnsi="Calibri" w:cs="Calibri"/>
          <w:color w:val="1A1A1A"/>
        </w:rPr>
        <w:t xml:space="preserve"> : l’</w:t>
      </w:r>
      <w:r>
        <w:rPr>
          <w:rFonts w:ascii="Calibri" w:eastAsia="Calibri" w:hAnsi="Calibri" w:cs="Calibri"/>
          <w:color w:val="1E88E5"/>
        </w:rPr>
        <w:t>art. 2</w:t>
      </w:r>
      <w:r>
        <w:rPr>
          <w:rFonts w:ascii="Calibri" w:eastAsia="Calibri" w:hAnsi="Calibri" w:cs="Calibri"/>
          <w:color w:val="1A1A1A"/>
        </w:rPr>
        <w:t xml:space="preserve"> ne comporte </w:t>
      </w:r>
      <w:r>
        <w:rPr>
          <w:rFonts w:ascii="Calibri" w:eastAsia="Calibri" w:hAnsi="Calibri" w:cs="Calibri"/>
          <w:b/>
          <w:bCs/>
          <w:color w:val="1A1A1A"/>
        </w:rPr>
        <w:t>pas de dimension négative</w:t>
      </w:r>
      <w:r>
        <w:rPr>
          <w:rFonts w:ascii="Calibri" w:eastAsia="Calibri" w:hAnsi="Calibri" w:cs="Calibri"/>
          <w:color w:val="1A1A1A"/>
        </w:rPr>
        <w:t xml:space="preserve"> — pas de « droit à mourir » ni de droit de choisir la mort plutôt que la vie.</w:t>
      </w:r>
    </w:p>
    <w:p w14:paraId="2B5D03FB"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30 janvier 2025, Cannavacciuolo et autres c. Italie, n° 51567/14, 39742/14, 74208/14 et 24215/15</w:t>
      </w:r>
      <w:r>
        <w:rPr>
          <w:rFonts w:ascii="Calibri" w:eastAsia="Calibri" w:hAnsi="Calibri" w:cs="Calibri"/>
          <w:color w:val="1A1A1A"/>
        </w:rPr>
        <w:t xml:space="preserve"> : « Terre des feux » — violation de l’</w:t>
      </w:r>
      <w:r>
        <w:rPr>
          <w:rFonts w:ascii="Calibri" w:eastAsia="Calibri" w:hAnsi="Calibri" w:cs="Calibri"/>
          <w:color w:val="1E88E5"/>
        </w:rPr>
        <w:t>art. 2</w:t>
      </w:r>
      <w:r>
        <w:rPr>
          <w:rFonts w:ascii="Calibri" w:eastAsia="Calibri" w:hAnsi="Calibri" w:cs="Calibri"/>
          <w:color w:val="1A1A1A"/>
        </w:rPr>
        <w:t xml:space="preserve"> pour défaut de diligence face à une pollution environnementale grave et durable ; </w:t>
      </w:r>
      <w:r>
        <w:rPr>
          <w:rFonts w:ascii="Calibri" w:eastAsia="Calibri" w:hAnsi="Calibri" w:cs="Calibri"/>
          <w:b/>
          <w:bCs/>
          <w:color w:val="1A1A1A"/>
        </w:rPr>
        <w:t>arrêt pilote</w:t>
      </w:r>
      <w:r>
        <w:rPr>
          <w:rFonts w:ascii="Calibri" w:eastAsia="Calibri" w:hAnsi="Calibri" w:cs="Calibri"/>
          <w:color w:val="1A1A1A"/>
        </w:rPr>
        <w:t>.</w:t>
      </w:r>
    </w:p>
    <w:p w14:paraId="2A6E7A05" w14:textId="77777777" w:rsidR="004A4E1F" w:rsidRDefault="00000000">
      <w:pPr>
        <w:pStyle w:val="Titre3"/>
        <w:spacing w:before="200" w:after="90"/>
      </w:pPr>
      <w:r>
        <w:rPr>
          <w:rFonts w:ascii="Calibri" w:eastAsia="Calibri" w:hAnsi="Calibri" w:cs="Calibri"/>
          <w:b/>
          <w:bCs/>
          <w:i/>
          <w:iCs/>
          <w:color w:val="5A5A5A"/>
          <w:sz w:val="21"/>
          <w:szCs w:val="21"/>
        </w:rPr>
        <w:t>Deux matrices de plan</w:t>
      </w:r>
    </w:p>
    <w:p w14:paraId="6B4BD061"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Sujet « La fin de vie »</w:t>
      </w:r>
      <w:r>
        <w:rPr>
          <w:rFonts w:ascii="Calibri" w:eastAsia="Calibri" w:hAnsi="Calibri" w:cs="Calibri"/>
          <w:color w:val="1A1A1A"/>
        </w:rPr>
        <w:t xml:space="preserve"> — </w:t>
      </w:r>
      <w:r>
        <w:rPr>
          <w:rFonts w:ascii="Calibri" w:eastAsia="Calibri" w:hAnsi="Calibri" w:cs="Calibri"/>
          <w:b/>
          <w:bCs/>
          <w:color w:val="1A1A1A"/>
        </w:rPr>
        <w:t>I. Un encadrement strict pour la protection de la vie en toutes circonstances</w:t>
      </w:r>
      <w:r>
        <w:rPr>
          <w:rFonts w:ascii="Calibri" w:eastAsia="Calibri" w:hAnsi="Calibri" w:cs="Calibri"/>
          <w:color w:val="1A1A1A"/>
        </w:rPr>
        <w:t xml:space="preserve"> (A. La protection de la vie comme valeur essentielle : </w:t>
      </w:r>
      <w:r>
        <w:rPr>
          <w:rFonts w:ascii="Calibri" w:eastAsia="Calibri" w:hAnsi="Calibri" w:cs="Calibri"/>
          <w:color w:val="E91E63"/>
        </w:rPr>
        <w:t>Streletz</w:t>
      </w:r>
      <w:r>
        <w:rPr>
          <w:rFonts w:ascii="Calibri" w:eastAsia="Calibri" w:hAnsi="Calibri" w:cs="Calibri"/>
          <w:color w:val="1A1A1A"/>
        </w:rPr>
        <w:t xml:space="preserve">, </w:t>
      </w:r>
      <w:r>
        <w:rPr>
          <w:rFonts w:ascii="Calibri" w:eastAsia="Calibri" w:hAnsi="Calibri" w:cs="Calibri"/>
          <w:color w:val="E91E63"/>
        </w:rPr>
        <w:t>CDH, Baboeram c. Suriname</w:t>
      </w:r>
      <w:r>
        <w:rPr>
          <w:rFonts w:ascii="Calibri" w:eastAsia="Calibri" w:hAnsi="Calibri" w:cs="Calibri"/>
          <w:color w:val="1A1A1A"/>
        </w:rPr>
        <w:t xml:space="preserve">, </w:t>
      </w:r>
      <w:r>
        <w:rPr>
          <w:rFonts w:ascii="Calibri" w:eastAsia="Calibri" w:hAnsi="Calibri" w:cs="Calibri"/>
          <w:color w:val="E91E63"/>
        </w:rPr>
        <w:t>CE, ord., Commune de St Leu</w:t>
      </w:r>
      <w:r>
        <w:rPr>
          <w:rFonts w:ascii="Calibri" w:eastAsia="Calibri" w:hAnsi="Calibri" w:cs="Calibri"/>
          <w:color w:val="1A1A1A"/>
        </w:rPr>
        <w:t xml:space="preserve"> ; B. La nécessité d’un encadrement strict : </w:t>
      </w:r>
      <w:r>
        <w:rPr>
          <w:rFonts w:ascii="Calibri" w:eastAsia="Calibri" w:hAnsi="Calibri" w:cs="Calibri"/>
          <w:color w:val="1E88E5"/>
        </w:rPr>
        <w:t>art. R. 4127-38 CSP</w:t>
      </w:r>
      <w:r>
        <w:rPr>
          <w:rFonts w:ascii="Calibri" w:eastAsia="Calibri" w:hAnsi="Calibri" w:cs="Calibri"/>
          <w:color w:val="1A1A1A"/>
        </w:rPr>
        <w:t xml:space="preserve">, lois Leonetti et Claeys-Leonetti, référé) / </w:t>
      </w:r>
      <w:r>
        <w:rPr>
          <w:rFonts w:ascii="Calibri" w:eastAsia="Calibri" w:hAnsi="Calibri" w:cs="Calibri"/>
          <w:b/>
          <w:bCs/>
          <w:color w:val="1A1A1A"/>
        </w:rPr>
        <w:t>II. La protection de la dignité dans la fin de vie</w:t>
      </w:r>
      <w:r>
        <w:rPr>
          <w:rFonts w:ascii="Calibri" w:eastAsia="Calibri" w:hAnsi="Calibri" w:cs="Calibri"/>
          <w:color w:val="1A1A1A"/>
        </w:rPr>
        <w:t xml:space="preserve"> (A. Une reconnaissance jurisprudentielle : </w:t>
      </w:r>
      <w:r>
        <w:rPr>
          <w:rFonts w:ascii="Calibri" w:eastAsia="Calibri" w:hAnsi="Calibri" w:cs="Calibri"/>
          <w:color w:val="E91E63"/>
        </w:rPr>
        <w:t>Mortier c. Belgique</w:t>
      </w:r>
      <w:r>
        <w:rPr>
          <w:rFonts w:ascii="Calibri" w:eastAsia="Calibri" w:hAnsi="Calibri" w:cs="Calibri"/>
          <w:color w:val="1A1A1A"/>
        </w:rPr>
        <w:t xml:space="preserve">, </w:t>
      </w:r>
      <w:r>
        <w:rPr>
          <w:rFonts w:ascii="Calibri" w:eastAsia="Calibri" w:hAnsi="Calibri" w:cs="Calibri"/>
          <w:color w:val="E91E63"/>
        </w:rPr>
        <w:t>Lambert</w:t>
      </w:r>
      <w:r>
        <w:rPr>
          <w:rFonts w:ascii="Calibri" w:eastAsia="Calibri" w:hAnsi="Calibri" w:cs="Calibri"/>
          <w:color w:val="1A1A1A"/>
        </w:rPr>
        <w:t xml:space="preserve">, </w:t>
      </w:r>
      <w:r>
        <w:rPr>
          <w:rFonts w:ascii="Calibri" w:eastAsia="Calibri" w:hAnsi="Calibri" w:cs="Calibri"/>
          <w:color w:val="E91E63"/>
        </w:rPr>
        <w:t>2017-632 QPC</w:t>
      </w:r>
      <w:r>
        <w:rPr>
          <w:rFonts w:ascii="Calibri" w:eastAsia="Calibri" w:hAnsi="Calibri" w:cs="Calibri"/>
          <w:color w:val="1A1A1A"/>
        </w:rPr>
        <w:t xml:space="preserve"> ; B. Un droit à une fin de vie digne ? Convention citoyenne, rapport parlementaire du 29 mars 2023, avis défavorable de l’Ordre des médecins du 1er avril 2023, loi de 2026).</w:t>
      </w:r>
    </w:p>
    <w:p w14:paraId="56860CC7"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Sujet « Le droit à la vie est-il un droit absolu ? »</w:t>
      </w:r>
      <w:r>
        <w:rPr>
          <w:rFonts w:ascii="Calibri" w:eastAsia="Calibri" w:hAnsi="Calibri" w:cs="Calibri"/>
          <w:color w:val="1A1A1A"/>
        </w:rPr>
        <w:t xml:space="preserve"> — </w:t>
      </w:r>
      <w:r>
        <w:rPr>
          <w:rFonts w:ascii="Calibri" w:eastAsia="Calibri" w:hAnsi="Calibri" w:cs="Calibri"/>
          <w:b/>
          <w:bCs/>
          <w:color w:val="1A1A1A"/>
        </w:rPr>
        <w:t>I. Un droit présenté comme suprême et indérogeable</w:t>
      </w:r>
      <w:r>
        <w:rPr>
          <w:rFonts w:ascii="Calibri" w:eastAsia="Calibri" w:hAnsi="Calibri" w:cs="Calibri"/>
          <w:color w:val="1A1A1A"/>
        </w:rPr>
        <w:t xml:space="preserve"> (A. Les proclamations internationales ; B. L’abolition de la peine de mort : </w:t>
      </w:r>
      <w:r>
        <w:rPr>
          <w:rFonts w:ascii="Calibri" w:eastAsia="Calibri" w:hAnsi="Calibri" w:cs="Calibri"/>
          <w:color w:val="1E88E5"/>
        </w:rPr>
        <w:t>Protocoles n° 6 et 13</w:t>
      </w:r>
      <w:r>
        <w:rPr>
          <w:rFonts w:ascii="Calibri" w:eastAsia="Calibri" w:hAnsi="Calibri" w:cs="Calibri"/>
          <w:color w:val="1A1A1A"/>
        </w:rPr>
        <w:t xml:space="preserve">, </w:t>
      </w:r>
      <w:r>
        <w:rPr>
          <w:rFonts w:ascii="Calibri" w:eastAsia="Calibri" w:hAnsi="Calibri" w:cs="Calibri"/>
          <w:color w:val="1E88E5"/>
        </w:rPr>
        <w:t>art. 66-1 C.</w:t>
      </w:r>
      <w:r>
        <w:rPr>
          <w:rFonts w:ascii="Calibri" w:eastAsia="Calibri" w:hAnsi="Calibri" w:cs="Calibri"/>
          <w:color w:val="1A1A1A"/>
        </w:rPr>
        <w:t xml:space="preserve">) / </w:t>
      </w:r>
      <w:r>
        <w:rPr>
          <w:rFonts w:ascii="Calibri" w:eastAsia="Calibri" w:hAnsi="Calibri" w:cs="Calibri"/>
          <w:b/>
          <w:bCs/>
          <w:color w:val="1A1A1A"/>
        </w:rPr>
        <w:t>II. Un droit relatif dans sa mise en œuvre</w:t>
      </w:r>
      <w:r>
        <w:rPr>
          <w:rFonts w:ascii="Calibri" w:eastAsia="Calibri" w:hAnsi="Calibri" w:cs="Calibri"/>
          <w:color w:val="1A1A1A"/>
        </w:rPr>
        <w:t xml:space="preserve"> (A. Les atteintes admises : nécessité absolue, privilège du combattant, actes licites de guerre ; B. Les marges d’appréciation : début de la vie (</w:t>
      </w:r>
      <w:r>
        <w:rPr>
          <w:rFonts w:ascii="Calibri" w:eastAsia="Calibri" w:hAnsi="Calibri" w:cs="Calibri"/>
          <w:color w:val="E91E63"/>
        </w:rPr>
        <w:t>Vo c. France</w:t>
      </w:r>
      <w:r>
        <w:rPr>
          <w:rFonts w:ascii="Calibri" w:eastAsia="Calibri" w:hAnsi="Calibri" w:cs="Calibri"/>
          <w:color w:val="1A1A1A"/>
        </w:rPr>
        <w:t>) et fin de vie (</w:t>
      </w:r>
      <w:r>
        <w:rPr>
          <w:rFonts w:ascii="Calibri" w:eastAsia="Calibri" w:hAnsi="Calibri" w:cs="Calibri"/>
          <w:color w:val="E91E63"/>
        </w:rPr>
        <w:t>Lambert</w:t>
      </w:r>
      <w:r>
        <w:rPr>
          <w:rFonts w:ascii="Calibri" w:eastAsia="Calibri" w:hAnsi="Calibri" w:cs="Calibri"/>
          <w:color w:val="1A1A1A"/>
        </w:rPr>
        <w:t xml:space="preserve">, </w:t>
      </w:r>
      <w:r>
        <w:rPr>
          <w:rFonts w:ascii="Calibri" w:eastAsia="Calibri" w:hAnsi="Calibri" w:cs="Calibri"/>
          <w:color w:val="E91E63"/>
        </w:rPr>
        <w:t>Karsai</w:t>
      </w:r>
      <w:r>
        <w:rPr>
          <w:rFonts w:ascii="Calibri" w:eastAsia="Calibri" w:hAnsi="Calibri" w:cs="Calibri"/>
          <w:color w:val="1A1A1A"/>
        </w:rPr>
        <w:t>)).</w:t>
      </w:r>
    </w:p>
    <w:p w14:paraId="6FA50B93" w14:textId="77777777" w:rsidR="004A4E1F" w:rsidRDefault="00000000">
      <w:pPr>
        <w:pStyle w:val="Titre3"/>
        <w:spacing w:before="200" w:after="90"/>
      </w:pPr>
      <w:r>
        <w:rPr>
          <w:rFonts w:ascii="Calibri" w:eastAsia="Calibri" w:hAnsi="Calibri" w:cs="Calibri"/>
          <w:b/>
          <w:bCs/>
          <w:i/>
          <w:iCs/>
          <w:color w:val="5A5A5A"/>
          <w:sz w:val="21"/>
          <w:szCs w:val="21"/>
        </w:rPr>
        <w:t>Trois pièges</w:t>
      </w:r>
    </w:p>
    <w:p w14:paraId="29BA0C13"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L’article 2 n’est pas totalement indérogeable</w:t>
      </w:r>
      <w:r>
        <w:rPr>
          <w:rFonts w:ascii="Calibri" w:eastAsia="Calibri" w:hAnsi="Calibri" w:cs="Calibri"/>
          <w:color w:val="1A1A1A"/>
        </w:rPr>
        <w:t xml:space="preserve"> : l’</w:t>
      </w:r>
      <w:r>
        <w:rPr>
          <w:rFonts w:ascii="Calibri" w:eastAsia="Calibri" w:hAnsi="Calibri" w:cs="Calibri"/>
          <w:color w:val="1E88E5"/>
        </w:rPr>
        <w:t>art. 15 CEDH</w:t>
      </w:r>
      <w:r>
        <w:rPr>
          <w:rFonts w:ascii="Calibri" w:eastAsia="Calibri" w:hAnsi="Calibri" w:cs="Calibri"/>
          <w:color w:val="1A1A1A"/>
        </w:rPr>
        <w:t xml:space="preserve"> réserve expressément le cas du « </w:t>
      </w:r>
      <w:r>
        <w:rPr>
          <w:rFonts w:ascii="Calibri" w:eastAsia="Calibri" w:hAnsi="Calibri" w:cs="Calibri"/>
          <w:i/>
          <w:iCs/>
          <w:color w:val="1A1A1A"/>
        </w:rPr>
        <w:t>décès résultant d’actes licites de guerre</w:t>
      </w:r>
      <w:r>
        <w:rPr>
          <w:rFonts w:ascii="Calibri" w:eastAsia="Calibri" w:hAnsi="Calibri" w:cs="Calibri"/>
          <w:color w:val="1A1A1A"/>
        </w:rPr>
        <w:t xml:space="preserve"> ». Dire que le droit à la vie est absolu sans cette réserve est une erreur immédiatement relevée.</w:t>
      </w:r>
    </w:p>
    <w:p w14:paraId="616E108A"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lastRenderedPageBreak/>
        <w:t>Ni la Constitution ni le Conseil constitutionnel ne consacrent un droit suprême à la vie</w:t>
      </w:r>
      <w:r>
        <w:rPr>
          <w:rFonts w:ascii="Calibri" w:eastAsia="Calibri" w:hAnsi="Calibri" w:cs="Calibri"/>
          <w:color w:val="1A1A1A"/>
        </w:rPr>
        <w:t xml:space="preserve"> : c’est la </w:t>
      </w:r>
      <w:r>
        <w:rPr>
          <w:rFonts w:ascii="Calibri" w:eastAsia="Calibri" w:hAnsi="Calibri" w:cs="Calibri"/>
          <w:b/>
          <w:bCs/>
          <w:color w:val="1A1A1A"/>
        </w:rPr>
        <w:t>dignité</w:t>
      </w:r>
      <w:r>
        <w:rPr>
          <w:rFonts w:ascii="Calibri" w:eastAsia="Calibri" w:hAnsi="Calibri" w:cs="Calibri"/>
          <w:color w:val="1A1A1A"/>
        </w:rPr>
        <w:t xml:space="preserve"> qui a ce caractère (</w:t>
      </w:r>
      <w:r>
        <w:rPr>
          <w:rFonts w:ascii="Calibri" w:eastAsia="Calibri" w:hAnsi="Calibri" w:cs="Calibri"/>
          <w:color w:val="E91E63"/>
        </w:rPr>
        <w:t>94-343/344 DC</w:t>
      </w:r>
      <w:r>
        <w:rPr>
          <w:rFonts w:ascii="Calibri" w:eastAsia="Calibri" w:hAnsi="Calibri" w:cs="Calibri"/>
          <w:color w:val="1A1A1A"/>
        </w:rPr>
        <w:t>). En revanche, le juge administratif en a consacré le caractère fondamental au sens de l’</w:t>
      </w:r>
      <w:r>
        <w:rPr>
          <w:rFonts w:ascii="Calibri" w:eastAsia="Calibri" w:hAnsi="Calibri" w:cs="Calibri"/>
          <w:color w:val="1E88E5"/>
        </w:rPr>
        <w:t>art. L. 521-2 CJA</w:t>
      </w:r>
      <w:r>
        <w:rPr>
          <w:rFonts w:ascii="Calibri" w:eastAsia="Calibri" w:hAnsi="Calibri" w:cs="Calibri"/>
          <w:color w:val="1A1A1A"/>
        </w:rPr>
        <w:t xml:space="preserve"> (</w:t>
      </w:r>
      <w:r>
        <w:rPr>
          <w:rFonts w:ascii="Calibri" w:eastAsia="Calibri" w:hAnsi="Calibri" w:cs="Calibri"/>
          <w:color w:val="E91E63"/>
        </w:rPr>
        <w:t>CE, ord., 13 août 2013, Commune de St Leu, n° 370902</w:t>
      </w:r>
      <w:r>
        <w:rPr>
          <w:rFonts w:ascii="Calibri" w:eastAsia="Calibri" w:hAnsi="Calibri" w:cs="Calibri"/>
          <w:color w:val="1A1A1A"/>
        </w:rPr>
        <w:t>).</w:t>
      </w:r>
    </w:p>
    <w:p w14:paraId="567D5D97"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L’obligation d’enquête est une obligation de moyen, non de résultat.</w:t>
      </w:r>
      <w:r>
        <w:rPr>
          <w:rFonts w:ascii="Calibri" w:eastAsia="Calibri" w:hAnsi="Calibri" w:cs="Calibri"/>
          <w:color w:val="1A1A1A"/>
        </w:rPr>
        <w:t xml:space="preserve"> Elle joue d’office, sans plainte de la victime, et devient une </w:t>
      </w:r>
      <w:r>
        <w:rPr>
          <w:rFonts w:ascii="Calibri" w:eastAsia="Calibri" w:hAnsi="Calibri" w:cs="Calibri"/>
          <w:b/>
          <w:bCs/>
          <w:color w:val="1A1A1A"/>
        </w:rPr>
        <w:t>violation continue</w:t>
      </w:r>
      <w:r>
        <w:rPr>
          <w:rFonts w:ascii="Calibri" w:eastAsia="Calibri" w:hAnsi="Calibri" w:cs="Calibri"/>
          <w:color w:val="1A1A1A"/>
        </w:rPr>
        <w:t xml:space="preserve"> en cas de disparition forcée (</w:t>
      </w:r>
      <w:r>
        <w:rPr>
          <w:rFonts w:ascii="Calibri" w:eastAsia="Calibri" w:hAnsi="Calibri" w:cs="Calibri"/>
          <w:color w:val="E91E63"/>
        </w:rPr>
        <w:t>CEDH, GC, 18 septembre 2009, Varnava et a. c. Turquie, n° 16064/90</w:t>
      </w:r>
      <w:r>
        <w:rPr>
          <w:rFonts w:ascii="Calibri" w:eastAsia="Calibri" w:hAnsi="Calibri" w:cs="Calibri"/>
          <w:color w:val="1A1A1A"/>
        </w:rPr>
        <w:t>).</w:t>
      </w:r>
    </w:p>
    <w:p w14:paraId="227C536E" w14:textId="77777777" w:rsidR="004A4E1F" w:rsidRDefault="00000000">
      <w:r>
        <w:br w:type="page"/>
      </w:r>
    </w:p>
    <w:p w14:paraId="16997A2E" w14:textId="77777777" w:rsidR="004A4E1F" w:rsidRDefault="00000000">
      <w:pPr>
        <w:pStyle w:val="Titre2"/>
        <w:spacing w:before="280" w:after="120"/>
      </w:pPr>
      <w:r>
        <w:rPr>
          <w:rFonts w:ascii="Calibri" w:eastAsia="Calibri" w:hAnsi="Calibri" w:cs="Calibri"/>
          <w:b/>
          <w:bCs/>
          <w:color w:val="1A1A1A"/>
          <w:sz w:val="24"/>
          <w:szCs w:val="24"/>
        </w:rPr>
        <w:lastRenderedPageBreak/>
        <w:t>1. Architecture textuelle</w:t>
      </w:r>
    </w:p>
    <w:p w14:paraId="18F0FAAC" w14:textId="77777777" w:rsidR="004A4E1F" w:rsidRDefault="00000000">
      <w:pPr>
        <w:pStyle w:val="Paragraphedeliste"/>
        <w:numPr>
          <w:ilvl w:val="0"/>
          <w:numId w:val="2"/>
        </w:numPr>
        <w:spacing w:after="70" w:line="264" w:lineRule="auto"/>
        <w:jc w:val="both"/>
      </w:pPr>
      <w:r>
        <w:rPr>
          <w:rFonts w:ascii="Calibri" w:eastAsia="Calibri" w:hAnsi="Calibri" w:cs="Calibri"/>
          <w:color w:val="1E88E5"/>
        </w:rPr>
        <w:t>Art. 3 DUDH</w:t>
      </w:r>
      <w:r>
        <w:rPr>
          <w:rFonts w:ascii="Calibri" w:eastAsia="Calibri" w:hAnsi="Calibri" w:cs="Calibri"/>
          <w:color w:val="1A1A1A"/>
        </w:rPr>
        <w:t xml:space="preserve"> ; </w:t>
      </w:r>
      <w:r>
        <w:rPr>
          <w:rFonts w:ascii="Calibri" w:eastAsia="Calibri" w:hAnsi="Calibri" w:cs="Calibri"/>
          <w:color w:val="1E88E5"/>
        </w:rPr>
        <w:t>art. 6-1 PIDCP</w:t>
      </w:r>
      <w:r>
        <w:rPr>
          <w:rFonts w:ascii="Calibri" w:eastAsia="Calibri" w:hAnsi="Calibri" w:cs="Calibri"/>
          <w:color w:val="1A1A1A"/>
        </w:rPr>
        <w:t xml:space="preserve"> (« Le droit à la vie est inhérent à la personne humaine. Ce droit doit être protégé par la loi. Nul ne peut être arbitrairement privé de la vie ») ; </w:t>
      </w:r>
      <w:r>
        <w:rPr>
          <w:rFonts w:ascii="Calibri" w:eastAsia="Calibri" w:hAnsi="Calibri" w:cs="Calibri"/>
          <w:color w:val="1E88E5"/>
        </w:rPr>
        <w:t>art. 2 CEDH</w:t>
      </w:r>
      <w:r>
        <w:rPr>
          <w:rFonts w:ascii="Calibri" w:eastAsia="Calibri" w:hAnsi="Calibri" w:cs="Calibri"/>
          <w:color w:val="1A1A1A"/>
        </w:rPr>
        <w:t xml:space="preserve"> ; </w:t>
      </w:r>
      <w:r>
        <w:rPr>
          <w:rFonts w:ascii="Calibri" w:eastAsia="Calibri" w:hAnsi="Calibri" w:cs="Calibri"/>
          <w:color w:val="1E88E5"/>
        </w:rPr>
        <w:t>art. 6 de la Convention internationale relative aux droits de l’enfant</w:t>
      </w:r>
      <w:r>
        <w:rPr>
          <w:rFonts w:ascii="Calibri" w:eastAsia="Calibri" w:hAnsi="Calibri" w:cs="Calibri"/>
          <w:color w:val="1A1A1A"/>
        </w:rPr>
        <w:t xml:space="preserve"> ; </w:t>
      </w:r>
      <w:r>
        <w:rPr>
          <w:rFonts w:ascii="Calibri" w:eastAsia="Calibri" w:hAnsi="Calibri" w:cs="Calibri"/>
          <w:color w:val="1E88E5"/>
        </w:rPr>
        <w:t>art. 2 de la Charte des droits fondamentaux de l’Union européenne</w:t>
      </w:r>
      <w:r>
        <w:rPr>
          <w:rFonts w:ascii="Calibri" w:eastAsia="Calibri" w:hAnsi="Calibri" w:cs="Calibri"/>
          <w:color w:val="1A1A1A"/>
        </w:rPr>
        <w:t>.</w:t>
      </w:r>
    </w:p>
    <w:p w14:paraId="6FCD68A8" w14:textId="77777777" w:rsidR="004A4E1F" w:rsidRDefault="00000000">
      <w:pPr>
        <w:pStyle w:val="Paragraphedeliste"/>
        <w:numPr>
          <w:ilvl w:val="0"/>
          <w:numId w:val="2"/>
        </w:numPr>
        <w:spacing w:after="70" w:line="264" w:lineRule="auto"/>
        <w:jc w:val="both"/>
      </w:pPr>
      <w:r>
        <w:rPr>
          <w:rFonts w:ascii="Calibri" w:eastAsia="Calibri" w:hAnsi="Calibri" w:cs="Calibri"/>
          <w:color w:val="1E88E5"/>
        </w:rPr>
        <w:t>Art. 122-5 du Code pénal</w:t>
      </w:r>
      <w:r>
        <w:rPr>
          <w:rFonts w:ascii="Calibri" w:eastAsia="Calibri" w:hAnsi="Calibri" w:cs="Calibri"/>
          <w:color w:val="1A1A1A"/>
        </w:rPr>
        <w:t xml:space="preserve"> (légitime défense, irresponsabilité pénale sauf disproportion entre les moyens de défense employés et la gravité de l’atteinte) ; </w:t>
      </w:r>
      <w:r>
        <w:rPr>
          <w:rFonts w:ascii="Calibri" w:eastAsia="Calibri" w:hAnsi="Calibri" w:cs="Calibri"/>
          <w:color w:val="1E88E5"/>
        </w:rPr>
        <w:t>art. L. 435-1 du Code de la sécurité intérieure</w:t>
      </w:r>
      <w:r>
        <w:rPr>
          <w:rFonts w:ascii="Calibri" w:eastAsia="Calibri" w:hAnsi="Calibri" w:cs="Calibri"/>
          <w:color w:val="1A1A1A"/>
        </w:rPr>
        <w:t xml:space="preserve"> (usage des armes : absolue nécessité et stricte proportionnalité) ; </w:t>
      </w:r>
      <w:r>
        <w:rPr>
          <w:rFonts w:ascii="Calibri" w:eastAsia="Calibri" w:hAnsi="Calibri" w:cs="Calibri"/>
          <w:color w:val="1E88E5"/>
        </w:rPr>
        <w:t>art. L. 211-9 CSI</w:t>
      </w:r>
      <w:r>
        <w:rPr>
          <w:rFonts w:ascii="Calibri" w:eastAsia="Calibri" w:hAnsi="Calibri" w:cs="Calibri"/>
          <w:color w:val="1A1A1A"/>
        </w:rPr>
        <w:t xml:space="preserve"> ; </w:t>
      </w:r>
      <w:r>
        <w:rPr>
          <w:rFonts w:ascii="Calibri" w:eastAsia="Calibri" w:hAnsi="Calibri" w:cs="Calibri"/>
          <w:color w:val="1E88E5"/>
        </w:rPr>
        <w:t>loi n° 2016-87 du 2 février 2016 dite « Claeys-Leonetti »</w:t>
      </w:r>
      <w:r>
        <w:rPr>
          <w:rFonts w:ascii="Calibri" w:eastAsia="Calibri" w:hAnsi="Calibri" w:cs="Calibri"/>
          <w:color w:val="1A1A1A"/>
        </w:rPr>
        <w:t xml:space="preserve"> ; </w:t>
      </w:r>
      <w:r>
        <w:rPr>
          <w:rFonts w:ascii="Calibri" w:eastAsia="Calibri" w:hAnsi="Calibri" w:cs="Calibri"/>
          <w:color w:val="1E88E5"/>
        </w:rPr>
        <w:t>art. 66-1 de la Constitution</w:t>
      </w:r>
      <w:r>
        <w:rPr>
          <w:rFonts w:ascii="Calibri" w:eastAsia="Calibri" w:hAnsi="Calibri" w:cs="Calibri"/>
          <w:color w:val="1A1A1A"/>
        </w:rPr>
        <w:t xml:space="preserve"> (« Nul ne peut être condamné à la peine de mort »).</w:t>
      </w:r>
    </w:p>
    <w:p w14:paraId="3634DC82" w14:textId="55771DB4" w:rsidR="004A4E1F" w:rsidRDefault="00000000">
      <w:pPr>
        <w:pStyle w:val="Paragraphedeliste"/>
        <w:numPr>
          <w:ilvl w:val="0"/>
          <w:numId w:val="2"/>
        </w:numPr>
        <w:spacing w:after="70" w:line="264" w:lineRule="auto"/>
        <w:jc w:val="both"/>
      </w:pPr>
      <w:r>
        <w:rPr>
          <w:rFonts w:ascii="Calibri" w:eastAsia="Calibri" w:hAnsi="Calibri" w:cs="Calibri"/>
          <w:color w:val="E91E63"/>
        </w:rPr>
        <w:t>CDH, 4 avril 1985, Baboeram c. Suriname, n° 146/1983, A/40/40</w:t>
      </w:r>
      <w:r>
        <w:rPr>
          <w:rFonts w:ascii="Calibri" w:eastAsia="Calibri" w:hAnsi="Calibri" w:cs="Calibri"/>
          <w:color w:val="1A1A1A"/>
        </w:rPr>
        <w:t xml:space="preserve"> : le droit à la vie est le « droit suprême ». </w:t>
      </w:r>
      <w:r>
        <w:rPr>
          <w:rFonts w:ascii="Calibri" w:eastAsia="Calibri" w:hAnsi="Calibri" w:cs="Calibri"/>
          <w:color w:val="2E7D32"/>
        </w:rPr>
        <w:t>CDH, Observation générale n° 36 sur l’article 6</w:t>
      </w:r>
      <w:r>
        <w:rPr>
          <w:rFonts w:ascii="Calibri" w:eastAsia="Calibri" w:hAnsi="Calibri" w:cs="Calibri"/>
          <w:color w:val="1A1A1A"/>
        </w:rPr>
        <w:t xml:space="preserve"> — </w:t>
      </w:r>
      <w:r>
        <w:rPr>
          <w:rFonts w:ascii="Calibri" w:eastAsia="Calibri" w:hAnsi="Calibri" w:cs="Calibri"/>
          <w:b/>
          <w:bCs/>
          <w:color w:val="1A1A1A"/>
        </w:rPr>
        <w:t>attention</w:t>
      </w:r>
      <w:r>
        <w:rPr>
          <w:rFonts w:ascii="Calibri" w:eastAsia="Calibri" w:hAnsi="Calibri" w:cs="Calibri"/>
          <w:color w:val="1A1A1A"/>
        </w:rPr>
        <w:t xml:space="preserve"> : le fascicule la date du 3-28 juillet 2017 dans cette fiche et du 3 septembre 2019 dans la fiche n° 21. Citer l’</w:t>
      </w:r>
      <w:r>
        <w:rPr>
          <w:rFonts w:ascii="Calibri" w:eastAsia="Calibri" w:hAnsi="Calibri" w:cs="Calibri"/>
          <w:b/>
          <w:bCs/>
          <w:color w:val="1A1A1A"/>
        </w:rPr>
        <w:t>apport</w:t>
      </w:r>
      <w:r>
        <w:rPr>
          <w:rFonts w:ascii="Calibri" w:eastAsia="Calibri" w:hAnsi="Calibri" w:cs="Calibri"/>
          <w:color w:val="1A1A1A"/>
        </w:rPr>
        <w:t xml:space="preserve"> (droit à une vie digne, volet économique et social du droit à la vie) plutôt qu’une date incertaine.</w:t>
      </w:r>
    </w:p>
    <w:p w14:paraId="24FC3B39"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Le droit à la survie de l’enfant</w:t>
      </w:r>
      <w:r>
        <w:rPr>
          <w:rFonts w:ascii="Calibri" w:eastAsia="Calibri" w:hAnsi="Calibri" w:cs="Calibri"/>
          <w:color w:val="1A1A1A"/>
        </w:rPr>
        <w:t xml:space="preserve"> : </w:t>
      </w:r>
      <w:r>
        <w:rPr>
          <w:rFonts w:ascii="Calibri" w:eastAsia="Calibri" w:hAnsi="Calibri" w:cs="Calibri"/>
          <w:color w:val="1E88E5"/>
        </w:rPr>
        <w:t>art. 6-2 de la CIDE</w:t>
      </w:r>
      <w:r>
        <w:rPr>
          <w:rFonts w:ascii="Calibri" w:eastAsia="Calibri" w:hAnsi="Calibri" w:cs="Calibri"/>
          <w:color w:val="1A1A1A"/>
        </w:rPr>
        <w:t xml:space="preserve"> — les États « assurent dans toute la mesure possible la survie et le développement de l’enfant » ; consubstantiel au droit au développement, il fait partie des </w:t>
      </w:r>
      <w:r>
        <w:rPr>
          <w:rFonts w:ascii="Calibri" w:eastAsia="Calibri" w:hAnsi="Calibri" w:cs="Calibri"/>
          <w:b/>
          <w:bCs/>
          <w:color w:val="1A1A1A"/>
        </w:rPr>
        <w:t>quatre principes directeurs</w:t>
      </w:r>
      <w:r>
        <w:rPr>
          <w:rFonts w:ascii="Calibri" w:eastAsia="Calibri" w:hAnsi="Calibri" w:cs="Calibri"/>
          <w:color w:val="1A1A1A"/>
        </w:rPr>
        <w:t xml:space="preserve"> de la Convention. </w:t>
      </w:r>
      <w:r>
        <w:rPr>
          <w:rFonts w:ascii="Calibri" w:eastAsia="Calibri" w:hAnsi="Calibri" w:cs="Calibri"/>
          <w:color w:val="1E88E5"/>
        </w:rPr>
        <w:t>Déclaration mondiale en faveur de la survie, de la protection et du développement de l’enfant du 18 octobre 1990 (A/45/625)</w:t>
      </w:r>
      <w:r>
        <w:rPr>
          <w:rFonts w:ascii="Calibri" w:eastAsia="Calibri" w:hAnsi="Calibri" w:cs="Calibri"/>
          <w:color w:val="1A1A1A"/>
        </w:rPr>
        <w:t xml:space="preserve"> ; </w:t>
      </w:r>
      <w:r>
        <w:rPr>
          <w:rFonts w:ascii="Calibri" w:eastAsia="Calibri" w:hAnsi="Calibri" w:cs="Calibri"/>
          <w:color w:val="2E7D32"/>
        </w:rPr>
        <w:t>CRC, Observation générale n° 26 sur les droits de l’enfant et l’environnement, 28 août 2023, CRC/C/GC/26, art. 30</w:t>
      </w:r>
      <w:r>
        <w:rPr>
          <w:rFonts w:ascii="Calibri" w:eastAsia="Calibri" w:hAnsi="Calibri" w:cs="Calibri"/>
          <w:color w:val="1A1A1A"/>
        </w:rPr>
        <w:t>.</w:t>
      </w:r>
    </w:p>
    <w:p w14:paraId="7B78C4EF" w14:textId="77777777" w:rsidR="004A4E1F" w:rsidRDefault="00000000">
      <w:pPr>
        <w:pStyle w:val="Titre2"/>
        <w:spacing w:before="280" w:after="120"/>
      </w:pPr>
      <w:r>
        <w:rPr>
          <w:rFonts w:ascii="Calibri" w:eastAsia="Calibri" w:hAnsi="Calibri" w:cs="Calibri"/>
          <w:b/>
          <w:bCs/>
          <w:color w:val="1A1A1A"/>
          <w:sz w:val="24"/>
          <w:szCs w:val="24"/>
        </w:rPr>
        <w:t>2. Ligne prétorienne &amp; évolutions</w:t>
      </w:r>
    </w:p>
    <w:p w14:paraId="6327ECBF" w14:textId="77777777" w:rsidR="004A4E1F" w:rsidRDefault="00000000">
      <w:pPr>
        <w:pStyle w:val="Titre3"/>
        <w:spacing w:before="200" w:after="90"/>
      </w:pPr>
      <w:r>
        <w:rPr>
          <w:rFonts w:ascii="Calibri" w:eastAsia="Calibri" w:hAnsi="Calibri" w:cs="Calibri"/>
          <w:b/>
          <w:bCs/>
          <w:i/>
          <w:iCs/>
          <w:color w:val="5A5A5A"/>
          <w:sz w:val="21"/>
          <w:szCs w:val="21"/>
        </w:rPr>
        <w:t>2.1. Le point de départ de la protection</w:t>
      </w:r>
    </w:p>
    <w:p w14:paraId="0DB25932" w14:textId="77777777" w:rsidR="004A4E1F" w:rsidRDefault="00000000">
      <w:pPr>
        <w:pStyle w:val="Paragraphedeliste"/>
        <w:numPr>
          <w:ilvl w:val="0"/>
          <w:numId w:val="2"/>
        </w:numPr>
        <w:spacing w:after="70" w:line="264" w:lineRule="auto"/>
        <w:jc w:val="both"/>
      </w:pPr>
      <w:r>
        <w:rPr>
          <w:rFonts w:ascii="Calibri" w:eastAsia="Calibri" w:hAnsi="Calibri" w:cs="Calibri"/>
          <w:color w:val="1E88E5"/>
        </w:rPr>
        <w:t>Art. 4 de la Convention américaine</w:t>
      </w:r>
      <w:r>
        <w:rPr>
          <w:rFonts w:ascii="Calibri" w:eastAsia="Calibri" w:hAnsi="Calibri" w:cs="Calibri"/>
          <w:color w:val="1A1A1A"/>
        </w:rPr>
        <w:t xml:space="preserve"> : le droit à la vie est protégé « </w:t>
      </w:r>
      <w:r>
        <w:rPr>
          <w:rFonts w:ascii="Calibri" w:eastAsia="Calibri" w:hAnsi="Calibri" w:cs="Calibri"/>
          <w:i/>
          <w:iCs/>
          <w:color w:val="1A1A1A"/>
        </w:rPr>
        <w:t>in general, from the moment of conception</w:t>
      </w:r>
      <w:r>
        <w:rPr>
          <w:rFonts w:ascii="Calibri" w:eastAsia="Calibri" w:hAnsi="Calibri" w:cs="Calibri"/>
          <w:color w:val="1A1A1A"/>
        </w:rPr>
        <w:t xml:space="preserve"> ». La </w:t>
      </w:r>
      <w:r>
        <w:rPr>
          <w:rFonts w:ascii="Calibri" w:eastAsia="Calibri" w:hAnsi="Calibri" w:cs="Calibri"/>
          <w:color w:val="E91E63"/>
        </w:rPr>
        <w:t>CIDH, 28 novembre 2012, Artavia Murillo et autres (Fécondation in Vitro) c. Costa Rica, Série C n° 257</w:t>
      </w:r>
      <w:r>
        <w:rPr>
          <w:rFonts w:ascii="Calibri" w:eastAsia="Calibri" w:hAnsi="Calibri" w:cs="Calibri"/>
          <w:color w:val="1A1A1A"/>
        </w:rPr>
        <w:t xml:space="preserve"> en donne une lecture souple : l’embryon ne peut être considéré comme une personne au sens de l’article 4, mais le droit à la vie peut être protégé de manière </w:t>
      </w:r>
      <w:r>
        <w:rPr>
          <w:rFonts w:ascii="Calibri" w:eastAsia="Calibri" w:hAnsi="Calibri" w:cs="Calibri"/>
          <w:b/>
          <w:bCs/>
          <w:color w:val="1A1A1A"/>
        </w:rPr>
        <w:t>graduelle et progressive</w:t>
      </w:r>
      <w:r>
        <w:rPr>
          <w:rFonts w:ascii="Calibri" w:eastAsia="Calibri" w:hAnsi="Calibri" w:cs="Calibri"/>
          <w:color w:val="1A1A1A"/>
        </w:rPr>
        <w:t xml:space="preserve"> à partir de l’</w:t>
      </w:r>
      <w:r>
        <w:rPr>
          <w:rFonts w:ascii="Calibri" w:eastAsia="Calibri" w:hAnsi="Calibri" w:cs="Calibri"/>
          <w:b/>
          <w:bCs/>
          <w:color w:val="1A1A1A"/>
        </w:rPr>
        <w:t>implantation</w:t>
      </w:r>
      <w:r>
        <w:rPr>
          <w:rFonts w:ascii="Calibri" w:eastAsia="Calibri" w:hAnsi="Calibri" w:cs="Calibri"/>
          <w:color w:val="1A1A1A"/>
        </w:rPr>
        <w:t xml:space="preserve"> de l’embryon dans l’utérus ; cette protection ne constitue pas une obligation absolue et inconditionnelle.</w:t>
      </w:r>
    </w:p>
    <w:p w14:paraId="0E1485AB"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xml:space="preserve">En Europe, le droit à l’interruption volontaire de grossesse </w:t>
      </w:r>
      <w:r>
        <w:rPr>
          <w:rFonts w:ascii="Calibri" w:eastAsia="Calibri" w:hAnsi="Calibri" w:cs="Calibri"/>
          <w:b/>
          <w:bCs/>
          <w:color w:val="1A1A1A"/>
        </w:rPr>
        <w:t>n’est pas réputé porter atteinte</w:t>
      </w:r>
      <w:r>
        <w:rPr>
          <w:rFonts w:ascii="Calibri" w:eastAsia="Calibri" w:hAnsi="Calibri" w:cs="Calibri"/>
          <w:color w:val="1A1A1A"/>
        </w:rPr>
        <w:t xml:space="preserve"> au droit à la vie. La Cour reconnaît une </w:t>
      </w:r>
      <w:r>
        <w:rPr>
          <w:rFonts w:ascii="Calibri" w:eastAsia="Calibri" w:hAnsi="Calibri" w:cs="Calibri"/>
          <w:b/>
          <w:bCs/>
          <w:color w:val="1A1A1A"/>
        </w:rPr>
        <w:t>marge d’appréciation sur la détermination du début de la vie</w:t>
      </w:r>
      <w:r>
        <w:rPr>
          <w:rFonts w:ascii="Calibri" w:eastAsia="Calibri" w:hAnsi="Calibri" w:cs="Calibri"/>
          <w:color w:val="1A1A1A"/>
        </w:rPr>
        <w:t xml:space="preserve"> et considère que l’embryon ne peut se prévaloir du droit à la vie : ★ </w:t>
      </w:r>
      <w:r>
        <w:rPr>
          <w:rFonts w:ascii="Calibri" w:eastAsia="Calibri" w:hAnsi="Calibri" w:cs="Calibri"/>
          <w:color w:val="E91E63"/>
        </w:rPr>
        <w:t>CEDH, GC, 8 juillet 2004, Vo c. France, n° 53924/00</w:t>
      </w:r>
      <w:r>
        <w:rPr>
          <w:rFonts w:ascii="Calibri" w:eastAsia="Calibri" w:hAnsi="Calibri" w:cs="Calibri"/>
          <w:color w:val="1A1A1A"/>
        </w:rPr>
        <w:t xml:space="preserve"> ; </w:t>
      </w:r>
      <w:r>
        <w:rPr>
          <w:rFonts w:ascii="Calibri" w:eastAsia="Calibri" w:hAnsi="Calibri" w:cs="Calibri"/>
          <w:color w:val="E91E63"/>
        </w:rPr>
        <w:t>CEDH, GC, 10 avril 2007, Evans c. Royaume-Uni, n° 6339/05</w:t>
      </w:r>
      <w:r>
        <w:rPr>
          <w:rFonts w:ascii="Calibri" w:eastAsia="Calibri" w:hAnsi="Calibri" w:cs="Calibri"/>
          <w:color w:val="1A1A1A"/>
        </w:rPr>
        <w:t>.</w:t>
      </w:r>
    </w:p>
    <w:p w14:paraId="4458B4EE"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En France, le Conseil constitutionnel a décliné la possibilité de connaître de l’allégation d’une atteinte au droit à la vie protégé par l’</w:t>
      </w:r>
      <w:r>
        <w:rPr>
          <w:rFonts w:ascii="Calibri" w:eastAsia="Calibri" w:hAnsi="Calibri" w:cs="Calibri"/>
          <w:color w:val="1E88E5"/>
        </w:rPr>
        <w:t>art. 2 CEDH</w:t>
      </w:r>
      <w:r>
        <w:rPr>
          <w:rFonts w:ascii="Calibri" w:eastAsia="Calibri" w:hAnsi="Calibri" w:cs="Calibri"/>
          <w:color w:val="1A1A1A"/>
        </w:rPr>
        <w:t xml:space="preserve"> dans le cas de l’IVG, en restreignant son contrôle aux seules dispositions constitutionnelles (</w:t>
      </w:r>
      <w:r>
        <w:rPr>
          <w:rFonts w:ascii="Calibri" w:eastAsia="Calibri" w:hAnsi="Calibri" w:cs="Calibri"/>
          <w:color w:val="E91E63"/>
        </w:rPr>
        <w:t>74-54 DC, 15 janvier 1975</w:t>
      </w:r>
      <w:r>
        <w:rPr>
          <w:rFonts w:ascii="Calibri" w:eastAsia="Calibri" w:hAnsi="Calibri" w:cs="Calibri"/>
          <w:color w:val="1A1A1A"/>
        </w:rPr>
        <w:t>), et a refusé de se prononcer sur le droit à la vie des embryons, considérant qu’il revient au législateur d’en déterminer l’étendue, ce droit étant un corollaire du principe de sauvegarde de la dignité (</w:t>
      </w:r>
      <w:r>
        <w:rPr>
          <w:rFonts w:ascii="Calibri" w:eastAsia="Calibri" w:hAnsi="Calibri" w:cs="Calibri"/>
          <w:color w:val="E91E63"/>
        </w:rPr>
        <w:t>94-343/344 DC, 27 juillet 1994</w:t>
      </w:r>
      <w:r>
        <w:rPr>
          <w:rFonts w:ascii="Calibri" w:eastAsia="Calibri" w:hAnsi="Calibri" w:cs="Calibri"/>
          <w:color w:val="1A1A1A"/>
        </w:rPr>
        <w:t>).</w:t>
      </w:r>
    </w:p>
    <w:p w14:paraId="1A21F710" w14:textId="77777777" w:rsidR="004A4E1F" w:rsidRPr="00C80406" w:rsidRDefault="00000000">
      <w:pPr>
        <w:pStyle w:val="Paragraphedeliste"/>
        <w:numPr>
          <w:ilvl w:val="0"/>
          <w:numId w:val="2"/>
        </w:numPr>
        <w:spacing w:after="70" w:line="264" w:lineRule="auto"/>
        <w:jc w:val="both"/>
        <w:rPr>
          <w:highlight w:val="yellow"/>
        </w:rPr>
      </w:pPr>
      <w:r>
        <w:rPr>
          <w:rFonts w:ascii="Calibri" w:eastAsia="Calibri" w:hAnsi="Calibri" w:cs="Calibri"/>
          <w:color w:val="1A1A1A"/>
        </w:rPr>
        <w:t xml:space="preserve">★ </w:t>
      </w:r>
      <w:r w:rsidRPr="00C80406">
        <w:rPr>
          <w:rFonts w:ascii="Calibri" w:eastAsia="Calibri" w:hAnsi="Calibri" w:cs="Calibri"/>
          <w:b/>
          <w:bCs/>
          <w:color w:val="1A1A1A"/>
          <w:highlight w:val="yellow"/>
        </w:rPr>
        <w:t>Actualité</w:t>
      </w:r>
      <w:r>
        <w:rPr>
          <w:rFonts w:ascii="Calibri" w:eastAsia="Calibri" w:hAnsi="Calibri" w:cs="Calibri"/>
          <w:b/>
          <w:bCs/>
          <w:color w:val="1A1A1A"/>
        </w:rPr>
        <w:t xml:space="preserve"> — GPA réalisée à l’étranger</w:t>
      </w:r>
      <w:r>
        <w:rPr>
          <w:rFonts w:ascii="Calibri" w:eastAsia="Calibri" w:hAnsi="Calibri" w:cs="Calibri"/>
          <w:color w:val="1A1A1A"/>
        </w:rPr>
        <w:t xml:space="preserve"> : </w:t>
      </w:r>
      <w:r>
        <w:rPr>
          <w:rFonts w:ascii="Calibri" w:eastAsia="Calibri" w:hAnsi="Calibri" w:cs="Calibri"/>
          <w:color w:val="E91E63"/>
        </w:rPr>
        <w:t>Cass., ass. plén., 3 juillet 2026, n° 24-50.028 et 24-50.029</w:t>
      </w:r>
      <w:r>
        <w:rPr>
          <w:rFonts w:ascii="Calibri" w:eastAsia="Calibri" w:hAnsi="Calibri" w:cs="Calibri"/>
          <w:color w:val="1A1A1A"/>
        </w:rPr>
        <w:t>. La GPA demeure interdite par l’</w:t>
      </w:r>
      <w:r>
        <w:rPr>
          <w:rFonts w:ascii="Calibri" w:eastAsia="Calibri" w:hAnsi="Calibri" w:cs="Calibri"/>
          <w:color w:val="1E88E5"/>
        </w:rPr>
        <w:t>art. 16-7 du Code civil</w:t>
      </w:r>
      <w:r>
        <w:rPr>
          <w:rFonts w:ascii="Calibri" w:eastAsia="Calibri" w:hAnsi="Calibri" w:cs="Calibri"/>
          <w:color w:val="1A1A1A"/>
        </w:rPr>
        <w:t xml:space="preserve">, prohibition constituant un principe essentiel de l’ordre juridique français ; elle ne peut cependant conduire à ignorer la situation juridique de l’enfant une fois celui-ci né. Une décision étrangère établissant </w:t>
      </w:r>
      <w:r w:rsidRPr="00C80406">
        <w:rPr>
          <w:rFonts w:ascii="Calibri" w:eastAsia="Calibri" w:hAnsi="Calibri" w:cs="Calibri"/>
          <w:color w:val="1A1A1A"/>
          <w:highlight w:val="yellow"/>
        </w:rPr>
        <w:t xml:space="preserve">la filiation d’un enfant né d’une gestation pour autrui à l’égard de ses </w:t>
      </w:r>
      <w:r w:rsidRPr="00C80406">
        <w:rPr>
          <w:rFonts w:ascii="Calibri" w:eastAsia="Calibri" w:hAnsi="Calibri" w:cs="Calibri"/>
          <w:b/>
          <w:bCs/>
          <w:color w:val="1A1A1A"/>
          <w:highlight w:val="yellow"/>
        </w:rPr>
        <w:t>parents d’intention peut être reconnue en France</w:t>
      </w:r>
      <w:r w:rsidRPr="00C80406">
        <w:rPr>
          <w:rFonts w:ascii="Calibri" w:eastAsia="Calibri" w:hAnsi="Calibri" w:cs="Calibri"/>
          <w:color w:val="1A1A1A"/>
          <w:highlight w:val="yellow"/>
        </w:rPr>
        <w:t>, la seule circonstance que la GPA soit prohibée en droit français ne suffisant pas à y faire obstacle.</w:t>
      </w:r>
      <w:r>
        <w:rPr>
          <w:rFonts w:ascii="Calibri" w:eastAsia="Calibri" w:hAnsi="Calibri" w:cs="Calibri"/>
          <w:color w:val="1A1A1A"/>
        </w:rPr>
        <w:t xml:space="preserve"> Le juge français doit vérifier que la décision présente des </w:t>
      </w:r>
      <w:r>
        <w:rPr>
          <w:rFonts w:ascii="Calibri" w:eastAsia="Calibri" w:hAnsi="Calibri" w:cs="Calibri"/>
          <w:b/>
          <w:bCs/>
          <w:color w:val="1A1A1A"/>
        </w:rPr>
        <w:t>garanties suffisantes</w:t>
      </w:r>
      <w:r>
        <w:rPr>
          <w:rFonts w:ascii="Calibri" w:eastAsia="Calibri" w:hAnsi="Calibri" w:cs="Calibri"/>
          <w:color w:val="1A1A1A"/>
        </w:rPr>
        <w:t>, notamment quant à l’identification des personnes ayant participé au projet parental et au consentement de la mère porteuse à la convention et à ses conséquences sur ses droits parentaux ; l’</w:t>
      </w:r>
      <w:r>
        <w:rPr>
          <w:rFonts w:ascii="Calibri" w:eastAsia="Calibri" w:hAnsi="Calibri" w:cs="Calibri"/>
          <w:b/>
          <w:bCs/>
          <w:color w:val="1A1A1A"/>
        </w:rPr>
        <w:t>intérêt supérieur de l’enfant</w:t>
      </w:r>
      <w:r>
        <w:rPr>
          <w:rFonts w:ascii="Calibri" w:eastAsia="Calibri" w:hAnsi="Calibri" w:cs="Calibri"/>
          <w:color w:val="1A1A1A"/>
        </w:rPr>
        <w:t xml:space="preserve"> constitue une considération primordiale. La filiation ainsi établie produit ses effets </w:t>
      </w:r>
      <w:r>
        <w:rPr>
          <w:rFonts w:ascii="Calibri" w:eastAsia="Calibri" w:hAnsi="Calibri" w:cs="Calibri"/>
          <w:b/>
          <w:bCs/>
          <w:color w:val="1A1A1A"/>
        </w:rPr>
        <w:t>en tant que filiation</w:t>
      </w:r>
      <w:r>
        <w:rPr>
          <w:rFonts w:ascii="Calibri" w:eastAsia="Calibri" w:hAnsi="Calibri" w:cs="Calibri"/>
          <w:color w:val="1A1A1A"/>
        </w:rPr>
        <w:t xml:space="preserve">, sans être transformée artificiellement en adoption. </w:t>
      </w:r>
      <w:r w:rsidRPr="00C80406">
        <w:rPr>
          <w:rFonts w:ascii="Calibri" w:eastAsia="Calibri" w:hAnsi="Calibri" w:cs="Calibri"/>
          <w:b/>
          <w:bCs/>
          <w:color w:val="1A1A1A"/>
          <w:highlight w:val="yellow"/>
        </w:rPr>
        <w:t>À retenir</w:t>
      </w:r>
      <w:r w:rsidRPr="00C80406">
        <w:rPr>
          <w:rFonts w:ascii="Calibri" w:eastAsia="Calibri" w:hAnsi="Calibri" w:cs="Calibri"/>
          <w:color w:val="1A1A1A"/>
          <w:highlight w:val="yellow"/>
        </w:rPr>
        <w:t xml:space="preserve"> : l’interdiction de la GPA protège certaines exigences bioéthiques </w:t>
      </w:r>
      <w:r w:rsidRPr="00C80406">
        <w:rPr>
          <w:rFonts w:ascii="Calibri" w:eastAsia="Calibri" w:hAnsi="Calibri" w:cs="Calibri"/>
          <w:b/>
          <w:bCs/>
          <w:color w:val="1A1A1A"/>
          <w:highlight w:val="yellow"/>
        </w:rPr>
        <w:t>avant</w:t>
      </w:r>
      <w:r w:rsidRPr="00C80406">
        <w:rPr>
          <w:rFonts w:ascii="Calibri" w:eastAsia="Calibri" w:hAnsi="Calibri" w:cs="Calibri"/>
          <w:color w:val="1A1A1A"/>
          <w:highlight w:val="yellow"/>
        </w:rPr>
        <w:t xml:space="preserve"> la naissance, mais ne permet pas de priver l’enfant déjà né de la reconnaissance de son identité et de sa filiation légalement établies à l’étranger.</w:t>
      </w:r>
    </w:p>
    <w:p w14:paraId="240FEA2B" w14:textId="77777777" w:rsidR="004A4E1F" w:rsidRDefault="00000000">
      <w:pPr>
        <w:pStyle w:val="Titre3"/>
        <w:spacing w:before="200" w:after="90"/>
      </w:pPr>
      <w:r>
        <w:rPr>
          <w:rFonts w:ascii="Calibri" w:eastAsia="Calibri" w:hAnsi="Calibri" w:cs="Calibri"/>
          <w:b/>
          <w:bCs/>
          <w:i/>
          <w:iCs/>
          <w:color w:val="5A5A5A"/>
          <w:sz w:val="21"/>
          <w:szCs w:val="21"/>
        </w:rPr>
        <w:t>2.2. L’interdiction d’infliger la mort — la peine de mort</w:t>
      </w:r>
    </w:p>
    <w:p w14:paraId="119746CB"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Évolution internationale</w:t>
      </w:r>
      <w:r>
        <w:rPr>
          <w:rFonts w:ascii="Calibri" w:eastAsia="Calibri" w:hAnsi="Calibri" w:cs="Calibri"/>
          <w:color w:val="1A1A1A"/>
        </w:rPr>
        <w:t xml:space="preserve"> : l’</w:t>
      </w:r>
      <w:r>
        <w:rPr>
          <w:rFonts w:ascii="Calibri" w:eastAsia="Calibri" w:hAnsi="Calibri" w:cs="Calibri"/>
          <w:color w:val="1E88E5"/>
        </w:rPr>
        <w:t>art. 6 PIDCP</w:t>
      </w:r>
      <w:r>
        <w:rPr>
          <w:rFonts w:ascii="Calibri" w:eastAsia="Calibri" w:hAnsi="Calibri" w:cs="Calibri"/>
          <w:color w:val="1A1A1A"/>
        </w:rPr>
        <w:t xml:space="preserve"> n’interdit pas la peine de mort mais impose des limites (enfants, femmes enceintes) et des garanties procédurales ; le </w:t>
      </w:r>
      <w:r>
        <w:rPr>
          <w:rFonts w:ascii="Calibri" w:eastAsia="Calibri" w:hAnsi="Calibri" w:cs="Calibri"/>
          <w:color w:val="1E88E5"/>
        </w:rPr>
        <w:t>deuxième Protocole facultatif du 15 décembre 1989</w:t>
      </w:r>
      <w:r>
        <w:rPr>
          <w:rFonts w:ascii="Calibri" w:eastAsia="Calibri" w:hAnsi="Calibri" w:cs="Calibri"/>
          <w:color w:val="1A1A1A"/>
        </w:rPr>
        <w:t>, ratifié par la France en 2007, propose son abolition au nom de la dignité humaine et du développement progressif des droits de l’homme.</w:t>
      </w:r>
    </w:p>
    <w:p w14:paraId="7383A50C"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lastRenderedPageBreak/>
        <w:t>Évolution européenne</w:t>
      </w:r>
      <w:r>
        <w:rPr>
          <w:rFonts w:ascii="Calibri" w:eastAsia="Calibri" w:hAnsi="Calibri" w:cs="Calibri"/>
          <w:color w:val="1A1A1A"/>
        </w:rPr>
        <w:t xml:space="preserve"> : l’</w:t>
      </w:r>
      <w:r>
        <w:rPr>
          <w:rFonts w:ascii="Calibri" w:eastAsia="Calibri" w:hAnsi="Calibri" w:cs="Calibri"/>
          <w:color w:val="1E88E5"/>
        </w:rPr>
        <w:t>art. 2 CEDH</w:t>
      </w:r>
      <w:r>
        <w:rPr>
          <w:rFonts w:ascii="Calibri" w:eastAsia="Calibri" w:hAnsi="Calibri" w:cs="Calibri"/>
          <w:color w:val="1A1A1A"/>
        </w:rPr>
        <w:t xml:space="preserve"> ne considérait pas la peine capitale comme contradictoire en 1950. La peine de mort est d’abord limitée aux actes commis en période de conflit armé par le </w:t>
      </w:r>
      <w:r>
        <w:rPr>
          <w:rFonts w:ascii="Calibri" w:eastAsia="Calibri" w:hAnsi="Calibri" w:cs="Calibri"/>
          <w:color w:val="1E88E5"/>
        </w:rPr>
        <w:t>Protocole n° 6 du 28 avril 1983</w:t>
      </w:r>
      <w:r>
        <w:rPr>
          <w:rFonts w:ascii="Calibri" w:eastAsia="Calibri" w:hAnsi="Calibri" w:cs="Calibri"/>
          <w:color w:val="1A1A1A"/>
        </w:rPr>
        <w:t xml:space="preserve">, avant d’être totalement abolie par le </w:t>
      </w:r>
      <w:r>
        <w:rPr>
          <w:rFonts w:ascii="Calibri" w:eastAsia="Calibri" w:hAnsi="Calibri" w:cs="Calibri"/>
          <w:color w:val="1E88E5"/>
        </w:rPr>
        <w:t>Protocole n° 13 du 3 mai 2002</w:t>
      </w:r>
      <w:r>
        <w:rPr>
          <w:rFonts w:ascii="Calibri" w:eastAsia="Calibri" w:hAnsi="Calibri" w:cs="Calibri"/>
          <w:color w:val="1A1A1A"/>
        </w:rPr>
        <w:t xml:space="preserve"> — </w:t>
      </w:r>
      <w:r>
        <w:rPr>
          <w:rFonts w:ascii="Calibri" w:eastAsia="Calibri" w:hAnsi="Calibri" w:cs="Calibri"/>
          <w:b/>
          <w:bCs/>
          <w:color w:val="1A1A1A"/>
        </w:rPr>
        <w:t>seul l’Azerbaïdjan ne l’a pas ratifié</w:t>
      </w:r>
      <w:r>
        <w:rPr>
          <w:rFonts w:ascii="Calibri" w:eastAsia="Calibri" w:hAnsi="Calibri" w:cs="Calibri"/>
          <w:color w:val="1A1A1A"/>
        </w:rPr>
        <w:t xml:space="preserve">, l’interdiction bénéficiant donc de la force du consensus européen. Renforcement jurisprudentiel : ★ </w:t>
      </w:r>
      <w:r>
        <w:rPr>
          <w:rFonts w:ascii="Calibri" w:eastAsia="Calibri" w:hAnsi="Calibri" w:cs="Calibri"/>
          <w:color w:val="E91E63"/>
        </w:rPr>
        <w:t>CEDH, GC, 12 mai 2005, Öcalan c. Turquie, n° 46221/99</w:t>
      </w:r>
      <w:r>
        <w:rPr>
          <w:rFonts w:ascii="Calibri" w:eastAsia="Calibri" w:hAnsi="Calibri" w:cs="Calibri"/>
          <w:color w:val="1A1A1A"/>
        </w:rPr>
        <w:t xml:space="preserve"> (forme de sanction inacceptable) ; extension à l’extradition vers un État où la personne risque la peine de mort (</w:t>
      </w:r>
      <w:r>
        <w:rPr>
          <w:rFonts w:ascii="Calibri" w:eastAsia="Calibri" w:hAnsi="Calibri" w:cs="Calibri"/>
          <w:color w:val="E91E63"/>
        </w:rPr>
        <w:t>CEDH, 8 novembre 2005, Bader c. Suède, n° 13284/04</w:t>
      </w:r>
      <w:r>
        <w:rPr>
          <w:rFonts w:ascii="Calibri" w:eastAsia="Calibri" w:hAnsi="Calibri" w:cs="Calibri"/>
          <w:color w:val="1A1A1A"/>
        </w:rPr>
        <w:t xml:space="preserve">) ; l’attente dans le </w:t>
      </w:r>
      <w:r>
        <w:rPr>
          <w:rFonts w:ascii="Calibri" w:eastAsia="Calibri" w:hAnsi="Calibri" w:cs="Calibri"/>
          <w:b/>
          <w:bCs/>
          <w:color w:val="1A1A1A"/>
        </w:rPr>
        <w:t>couloir de la mort</w:t>
      </w:r>
      <w:r>
        <w:rPr>
          <w:rFonts w:ascii="Calibri" w:eastAsia="Calibri" w:hAnsi="Calibri" w:cs="Calibri"/>
          <w:color w:val="1A1A1A"/>
        </w:rPr>
        <w:t xml:space="preserve"> constitue un traitement inhumain et dégradant au sens de l’</w:t>
      </w:r>
      <w:r>
        <w:rPr>
          <w:rFonts w:ascii="Calibri" w:eastAsia="Calibri" w:hAnsi="Calibri" w:cs="Calibri"/>
          <w:color w:val="1E88E5"/>
        </w:rPr>
        <w:t>art. 3</w:t>
      </w:r>
      <w:r>
        <w:rPr>
          <w:rFonts w:ascii="Calibri" w:eastAsia="Calibri" w:hAnsi="Calibri" w:cs="Calibri"/>
          <w:color w:val="1A1A1A"/>
        </w:rPr>
        <w:t xml:space="preserve"> (</w:t>
      </w:r>
      <w:r>
        <w:rPr>
          <w:rFonts w:ascii="Calibri" w:eastAsia="Calibri" w:hAnsi="Calibri" w:cs="Calibri"/>
          <w:color w:val="E91E63"/>
        </w:rPr>
        <w:t>CEDH, 7 juillet 1989, Soering c. Royaume-Uni, n° 14038/88</w:t>
      </w:r>
      <w:r>
        <w:rPr>
          <w:rFonts w:ascii="Calibri" w:eastAsia="Calibri" w:hAnsi="Calibri" w:cs="Calibri"/>
          <w:color w:val="1A1A1A"/>
        </w:rPr>
        <w:t>).</w:t>
      </w:r>
    </w:p>
    <w:p w14:paraId="1C5FAC41"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Droit interne</w:t>
      </w:r>
      <w:r>
        <w:rPr>
          <w:rFonts w:ascii="Calibri" w:eastAsia="Calibri" w:hAnsi="Calibri" w:cs="Calibri"/>
          <w:color w:val="1A1A1A"/>
        </w:rPr>
        <w:t xml:space="preserve"> : </w:t>
      </w:r>
      <w:r>
        <w:rPr>
          <w:rFonts w:ascii="Calibri" w:eastAsia="Calibri" w:hAnsi="Calibri" w:cs="Calibri"/>
          <w:color w:val="1E88E5"/>
        </w:rPr>
        <w:t>loi du 9 octobre 1981</w:t>
      </w:r>
      <w:r>
        <w:rPr>
          <w:rFonts w:ascii="Calibri" w:eastAsia="Calibri" w:hAnsi="Calibri" w:cs="Calibri"/>
          <w:color w:val="1A1A1A"/>
        </w:rPr>
        <w:t xml:space="preserve"> (Robert Badinter) — « la peine de mort est abolie ». La ratification du deuxième Protocole facultatif au PIDCP a suscité une réserve du Conseil constitutionnel, les dispositions ne prévoyant pas de possibilité de dénonciation et pouvant dès lors porter atteinte à la souveraineté étatique (</w:t>
      </w:r>
      <w:r>
        <w:rPr>
          <w:rFonts w:ascii="Calibri" w:eastAsia="Calibri" w:hAnsi="Calibri" w:cs="Calibri"/>
          <w:color w:val="E91E63"/>
        </w:rPr>
        <w:t>Cons. const., 2005-524/525 DC, 13 octobre 2005, Engagements internationaux relatifs à l’abolition de la peine de mort</w:t>
      </w:r>
      <w:r>
        <w:rPr>
          <w:rFonts w:ascii="Calibri" w:eastAsia="Calibri" w:hAnsi="Calibri" w:cs="Calibri"/>
          <w:color w:val="1A1A1A"/>
        </w:rPr>
        <w:t>) — d’où la révision constitutionnelle introduisant l’</w:t>
      </w:r>
      <w:r>
        <w:rPr>
          <w:rFonts w:ascii="Calibri" w:eastAsia="Calibri" w:hAnsi="Calibri" w:cs="Calibri"/>
          <w:color w:val="1E88E5"/>
        </w:rPr>
        <w:t>art. 66-1</w:t>
      </w:r>
      <w:r>
        <w:rPr>
          <w:rFonts w:ascii="Calibri" w:eastAsia="Calibri" w:hAnsi="Calibri" w:cs="Calibri"/>
          <w:color w:val="1A1A1A"/>
        </w:rPr>
        <w:t xml:space="preserve">. </w:t>
      </w:r>
      <w:r>
        <w:rPr>
          <w:rFonts w:ascii="Calibri" w:eastAsia="Calibri" w:hAnsi="Calibri" w:cs="Calibri"/>
          <w:color w:val="E91E63"/>
        </w:rPr>
        <w:t>Cons. const., 2010-79 QPC, 17 décembre 2010, M. Kamel Douadi</w:t>
      </w:r>
      <w:r>
        <w:rPr>
          <w:rFonts w:ascii="Calibri" w:eastAsia="Calibri" w:hAnsi="Calibri" w:cs="Calibri"/>
          <w:color w:val="1A1A1A"/>
        </w:rPr>
        <w:t xml:space="preserve"> : incompétence pour contrôler des dispositions internes appliquant des dispositions inconditionnelles et précises de la </w:t>
      </w:r>
      <w:r>
        <w:rPr>
          <w:rFonts w:ascii="Calibri" w:eastAsia="Calibri" w:hAnsi="Calibri" w:cs="Calibri"/>
          <w:color w:val="1E88E5"/>
        </w:rPr>
        <w:t>directive 2004/83/CE du 29 avril 2004</w:t>
      </w:r>
      <w:r>
        <w:rPr>
          <w:rFonts w:ascii="Calibri" w:eastAsia="Calibri" w:hAnsi="Calibri" w:cs="Calibri"/>
          <w:color w:val="1A1A1A"/>
        </w:rPr>
        <w:t>.</w:t>
      </w:r>
    </w:p>
    <w:p w14:paraId="1D600CDC" w14:textId="77777777" w:rsidR="004A4E1F" w:rsidRDefault="00000000">
      <w:pPr>
        <w:pStyle w:val="Titre3"/>
        <w:spacing w:before="200" w:after="90"/>
      </w:pPr>
      <w:r>
        <w:rPr>
          <w:rFonts w:ascii="Calibri" w:eastAsia="Calibri" w:hAnsi="Calibri" w:cs="Calibri"/>
          <w:b/>
          <w:bCs/>
          <w:i/>
          <w:iCs/>
          <w:color w:val="5A5A5A"/>
          <w:sz w:val="21"/>
          <w:szCs w:val="21"/>
        </w:rPr>
        <w:t>2.3. Les atteintes résultant des opérations de la puissance publique</w:t>
      </w:r>
    </w:p>
    <w:p w14:paraId="08DA2632"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Cadre légal</w:t>
      </w:r>
      <w:r>
        <w:rPr>
          <w:rFonts w:ascii="Calibri" w:eastAsia="Calibri" w:hAnsi="Calibri" w:cs="Calibri"/>
          <w:color w:val="1A1A1A"/>
        </w:rPr>
        <w:t xml:space="preserve"> : les agents de l’État doivent s’abstenir d’infliger arbitrairement la mort ou toute atteinte qui ne serait </w:t>
      </w:r>
      <w:r>
        <w:rPr>
          <w:rFonts w:ascii="Calibri" w:eastAsia="Calibri" w:hAnsi="Calibri" w:cs="Calibri"/>
          <w:b/>
          <w:bCs/>
          <w:color w:val="1A1A1A"/>
        </w:rPr>
        <w:t>pas absolument nécessaire</w:t>
      </w:r>
      <w:r>
        <w:rPr>
          <w:rFonts w:ascii="Calibri" w:eastAsia="Calibri" w:hAnsi="Calibri" w:cs="Calibri"/>
          <w:color w:val="1A1A1A"/>
        </w:rPr>
        <w:t xml:space="preserve">. </w:t>
      </w:r>
      <w:r>
        <w:rPr>
          <w:rFonts w:ascii="Calibri" w:eastAsia="Calibri" w:hAnsi="Calibri" w:cs="Calibri"/>
          <w:color w:val="1E88E5"/>
        </w:rPr>
        <w:t>Art. L. 435-1 CSI</w:t>
      </w:r>
      <w:r>
        <w:rPr>
          <w:rFonts w:ascii="Calibri" w:eastAsia="Calibri" w:hAnsi="Calibri" w:cs="Calibri"/>
          <w:color w:val="1A1A1A"/>
        </w:rPr>
        <w:t xml:space="preserve"> : usage des armes en cas d’absolue nécessité et de manière strictement proportionnée — légitime défense, péril imminent pour leur vie ou celle d’autrui, arrêt d’une personne représentant une menace grave pour l’intégrité physique d’autrui et ne pouvant être neutralisée autrement, empêchement de l’évasion de personnes dangereuses, défense d’un lieu ou de personnes confiées. </w:t>
      </w:r>
      <w:r>
        <w:rPr>
          <w:rFonts w:ascii="Calibri" w:eastAsia="Calibri" w:hAnsi="Calibri" w:cs="Calibri"/>
          <w:color w:val="1E88E5"/>
        </w:rPr>
        <w:t>Art. 122-5 du Code pénal</w:t>
      </w:r>
      <w:r>
        <w:rPr>
          <w:rFonts w:ascii="Calibri" w:eastAsia="Calibri" w:hAnsi="Calibri" w:cs="Calibri"/>
          <w:color w:val="1A1A1A"/>
        </w:rPr>
        <w:t xml:space="preserve"> : irresponsabilité pénale en cas d’acte commandé par la nécessité de la légitime défense, </w:t>
      </w:r>
      <w:r>
        <w:rPr>
          <w:rFonts w:ascii="Calibri" w:eastAsia="Calibri" w:hAnsi="Calibri" w:cs="Calibri"/>
          <w:b/>
          <w:bCs/>
          <w:color w:val="1A1A1A"/>
        </w:rPr>
        <w:t>sauf disproportion</w:t>
      </w:r>
      <w:r>
        <w:rPr>
          <w:rFonts w:ascii="Calibri" w:eastAsia="Calibri" w:hAnsi="Calibri" w:cs="Calibri"/>
          <w:color w:val="1A1A1A"/>
        </w:rPr>
        <w:t xml:space="preserve"> entre les moyens employés et la gravité de l’atteinte.</w:t>
      </w:r>
    </w:p>
    <w:p w14:paraId="33F81093" w14:textId="77777777" w:rsidR="004A4E1F" w:rsidRPr="00F72BB8" w:rsidRDefault="00000000">
      <w:pPr>
        <w:pStyle w:val="Paragraphedeliste"/>
        <w:numPr>
          <w:ilvl w:val="0"/>
          <w:numId w:val="2"/>
        </w:numPr>
        <w:spacing w:after="70" w:line="264" w:lineRule="auto"/>
        <w:jc w:val="both"/>
        <w:rPr>
          <w:highlight w:val="yellow"/>
        </w:rPr>
      </w:pPr>
      <w:r>
        <w:rPr>
          <w:rFonts w:ascii="Calibri" w:eastAsia="Calibri" w:hAnsi="Calibri" w:cs="Calibri"/>
          <w:b/>
          <w:bCs/>
          <w:color w:val="1A1A1A"/>
        </w:rPr>
        <w:t>Contrôle strict de la Cour</w:t>
      </w:r>
      <w:r>
        <w:rPr>
          <w:rFonts w:ascii="Calibri" w:eastAsia="Calibri" w:hAnsi="Calibri" w:cs="Calibri"/>
          <w:color w:val="1A1A1A"/>
        </w:rPr>
        <w:t xml:space="preserve"> : ★ </w:t>
      </w:r>
      <w:r>
        <w:rPr>
          <w:rFonts w:ascii="Calibri" w:eastAsia="Calibri" w:hAnsi="Calibri" w:cs="Calibri"/>
          <w:color w:val="E91E63"/>
        </w:rPr>
        <w:t>McCann c. Royaume-Uni</w:t>
      </w:r>
      <w:r>
        <w:rPr>
          <w:rFonts w:ascii="Calibri" w:eastAsia="Calibri" w:hAnsi="Calibri" w:cs="Calibri"/>
          <w:color w:val="1A1A1A"/>
        </w:rPr>
        <w:t xml:space="preserve"> ; </w:t>
      </w:r>
      <w:r>
        <w:rPr>
          <w:rFonts w:ascii="Calibri" w:eastAsia="Calibri" w:hAnsi="Calibri" w:cs="Calibri"/>
          <w:color w:val="E91E63"/>
        </w:rPr>
        <w:t xml:space="preserve">CEDH, GC, 24 mars 2011, Giuliani et </w:t>
      </w:r>
      <w:proofErr w:type="spellStart"/>
      <w:r>
        <w:rPr>
          <w:rFonts w:ascii="Calibri" w:eastAsia="Calibri" w:hAnsi="Calibri" w:cs="Calibri"/>
          <w:color w:val="E91E63"/>
        </w:rPr>
        <w:t>Gaggio</w:t>
      </w:r>
      <w:proofErr w:type="spellEnd"/>
      <w:r>
        <w:rPr>
          <w:rFonts w:ascii="Calibri" w:eastAsia="Calibri" w:hAnsi="Calibri" w:cs="Calibri"/>
          <w:color w:val="E91E63"/>
        </w:rPr>
        <w:t xml:space="preserve"> c. Italie, n° 23458/02</w:t>
      </w:r>
      <w:r>
        <w:rPr>
          <w:rFonts w:ascii="Calibri" w:eastAsia="Calibri" w:hAnsi="Calibri" w:cs="Calibri"/>
          <w:color w:val="1A1A1A"/>
        </w:rPr>
        <w:t xml:space="preserve"> ; </w:t>
      </w:r>
      <w:r>
        <w:rPr>
          <w:rFonts w:ascii="Calibri" w:eastAsia="Calibri" w:hAnsi="Calibri" w:cs="Calibri"/>
          <w:color w:val="E91E63"/>
        </w:rPr>
        <w:t>CEDH, GC, 6 juillet 2005, Nachova et a. c. Bulgarie, n° 43577/98</w:t>
      </w:r>
      <w:r>
        <w:rPr>
          <w:rFonts w:ascii="Calibri" w:eastAsia="Calibri" w:hAnsi="Calibri" w:cs="Calibri"/>
          <w:color w:val="1A1A1A"/>
        </w:rPr>
        <w:t xml:space="preserve">. Condamnation de la France à la suite du décès par balle du passager d’un véhicule en fuite dans lequel se trouvaient des suspects d’atteinte aux biens : « </w:t>
      </w:r>
      <w:r>
        <w:rPr>
          <w:rFonts w:ascii="Calibri" w:eastAsia="Calibri" w:hAnsi="Calibri" w:cs="Calibri"/>
          <w:i/>
          <w:iCs/>
          <w:color w:val="1A1A1A"/>
        </w:rPr>
        <w:t xml:space="preserve">Le but légitime d’effectuer une arrestation régulière ne peut justifier de mettre en danger des vies humaines </w:t>
      </w:r>
      <w:r w:rsidRPr="00F72BB8">
        <w:rPr>
          <w:rFonts w:ascii="Calibri" w:eastAsia="Calibri" w:hAnsi="Calibri" w:cs="Calibri"/>
          <w:i/>
          <w:iCs/>
          <w:color w:val="1A1A1A"/>
          <w:highlight w:val="yellow"/>
        </w:rPr>
        <w:t>qu’en cas de nécessité absolue</w:t>
      </w:r>
      <w:r>
        <w:rPr>
          <w:rFonts w:ascii="Calibri" w:eastAsia="Calibri" w:hAnsi="Calibri" w:cs="Calibri"/>
          <w:i/>
          <w:iCs/>
          <w:color w:val="1A1A1A"/>
        </w:rPr>
        <w:t xml:space="preserve">. La Cour rappelle qu’en règle générale il ne peut y avoir pareille nécessité lorsque l’on sait que la personne qui doit être arrêtée ne représente aucune menace pour la vie ou l’intégrité physique de quiconque et n’est pas soupçonnée d’avoir commis une infraction à caractère violent, </w:t>
      </w:r>
      <w:r w:rsidRPr="00F72BB8">
        <w:rPr>
          <w:rFonts w:ascii="Calibri" w:eastAsia="Calibri" w:hAnsi="Calibri" w:cs="Calibri"/>
          <w:i/>
          <w:iCs/>
          <w:color w:val="1A1A1A"/>
          <w:highlight w:val="yellow"/>
        </w:rPr>
        <w:t>même s’il peut en résulter une impossibilité d’arrêter le fugitif</w:t>
      </w:r>
      <w:r>
        <w:rPr>
          <w:rFonts w:ascii="Calibri" w:eastAsia="Calibri" w:hAnsi="Calibri" w:cs="Calibri"/>
          <w:color w:val="1A1A1A"/>
        </w:rPr>
        <w:t xml:space="preserve"> » (</w:t>
      </w:r>
      <w:r>
        <w:rPr>
          <w:rFonts w:ascii="Calibri" w:eastAsia="Calibri" w:hAnsi="Calibri" w:cs="Calibri"/>
          <w:color w:val="E91E63"/>
        </w:rPr>
        <w:t>CEDH, 7 juin 2018, Toubache c. France, n° 19510/15</w:t>
      </w:r>
      <w:r>
        <w:rPr>
          <w:rFonts w:ascii="Calibri" w:eastAsia="Calibri" w:hAnsi="Calibri" w:cs="Calibri"/>
          <w:color w:val="1A1A1A"/>
        </w:rPr>
        <w:t xml:space="preserve"> ; voir également </w:t>
      </w:r>
      <w:r>
        <w:rPr>
          <w:rFonts w:ascii="Calibri" w:eastAsia="Calibri" w:hAnsi="Calibri" w:cs="Calibri"/>
          <w:color w:val="E91E63"/>
        </w:rPr>
        <w:t>CEDH, 17 avril 2014, Guerdner c. France, n° 68780/10</w:t>
      </w:r>
      <w:r>
        <w:rPr>
          <w:rFonts w:ascii="Calibri" w:eastAsia="Calibri" w:hAnsi="Calibri" w:cs="Calibri"/>
          <w:color w:val="1A1A1A"/>
        </w:rPr>
        <w:t xml:space="preserve">). Tempérament : l’acte </w:t>
      </w:r>
      <w:r w:rsidRPr="00F72BB8">
        <w:rPr>
          <w:rFonts w:ascii="Calibri" w:eastAsia="Calibri" w:hAnsi="Calibri" w:cs="Calibri"/>
          <w:color w:val="1A1A1A"/>
          <w:highlight w:val="yellow"/>
        </w:rPr>
        <w:t xml:space="preserve">peut être justifié en cas de </w:t>
      </w:r>
      <w:r w:rsidRPr="00F72BB8">
        <w:rPr>
          <w:rFonts w:ascii="Calibri" w:eastAsia="Calibri" w:hAnsi="Calibri" w:cs="Calibri"/>
          <w:b/>
          <w:bCs/>
          <w:color w:val="1A1A1A"/>
          <w:highlight w:val="yellow"/>
        </w:rPr>
        <w:t>conviction honnête</w:t>
      </w:r>
      <w:r w:rsidRPr="00F72BB8">
        <w:rPr>
          <w:rFonts w:ascii="Calibri" w:eastAsia="Calibri" w:hAnsi="Calibri" w:cs="Calibri"/>
          <w:color w:val="1A1A1A"/>
          <w:highlight w:val="yellow"/>
        </w:rPr>
        <w:t xml:space="preserve"> de l’existence d’un danger imminent.</w:t>
      </w:r>
    </w:p>
    <w:p w14:paraId="4EA0AB06"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Les critères du contrôle</w:t>
      </w:r>
      <w:r>
        <w:rPr>
          <w:rFonts w:ascii="Calibri" w:eastAsia="Calibri" w:hAnsi="Calibri" w:cs="Calibri"/>
          <w:color w:val="1A1A1A"/>
        </w:rPr>
        <w:t xml:space="preserve"> : formation adéquate des forces de l’ordre, précision des ordres reçus, adaptation du type d’arme aux situations pour minimiser les dommages. Le juge interne a été saisi à plusieurs reprises de l’armement (</w:t>
      </w:r>
      <w:r>
        <w:rPr>
          <w:rFonts w:ascii="Calibri" w:eastAsia="Calibri" w:hAnsi="Calibri" w:cs="Calibri"/>
          <w:color w:val="E91E63"/>
        </w:rPr>
        <w:t>CE, SSR, 2 septembre 2009, Association réseau d’alerte et d’intervention pour les droits de l’homme, n° 318584 et 321715</w:t>
      </w:r>
      <w:r>
        <w:rPr>
          <w:rFonts w:ascii="Calibri" w:eastAsia="Calibri" w:hAnsi="Calibri" w:cs="Calibri"/>
          <w:color w:val="1A1A1A"/>
        </w:rPr>
        <w:t xml:space="preserve"> ; </w:t>
      </w:r>
      <w:r>
        <w:rPr>
          <w:rFonts w:ascii="Calibri" w:eastAsia="Calibri" w:hAnsi="Calibri" w:cs="Calibri"/>
          <w:color w:val="E91E63"/>
        </w:rPr>
        <w:t>CE, ord., 1er février 2019, n° 427418</w:t>
      </w:r>
      <w:r>
        <w:rPr>
          <w:rFonts w:ascii="Calibri" w:eastAsia="Calibri" w:hAnsi="Calibri" w:cs="Calibri"/>
          <w:color w:val="1A1A1A"/>
        </w:rPr>
        <w:t xml:space="preserve"> — pistolet à impulsion électrique, lanceurs de balles de défense).</w:t>
      </w:r>
    </w:p>
    <w:p w14:paraId="1F4E0308" w14:textId="77777777" w:rsidR="006C7C2B" w:rsidRPr="006C7C2B"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sidRPr="00F72BB8">
        <w:rPr>
          <w:rFonts w:ascii="Calibri" w:eastAsia="Calibri" w:hAnsi="Calibri" w:cs="Calibri"/>
          <w:b/>
          <w:bCs/>
          <w:color w:val="1A1A1A"/>
          <w:highlight w:val="yellow"/>
        </w:rPr>
        <w:t>Actualité</w:t>
      </w:r>
      <w:r>
        <w:rPr>
          <w:rFonts w:ascii="Calibri" w:eastAsia="Calibri" w:hAnsi="Calibri" w:cs="Calibri"/>
          <w:color w:val="1A1A1A"/>
        </w:rPr>
        <w:t xml:space="preserve"> — </w:t>
      </w:r>
      <w:r>
        <w:rPr>
          <w:rFonts w:ascii="Calibri" w:eastAsia="Calibri" w:hAnsi="Calibri" w:cs="Calibri"/>
          <w:color w:val="E91E63"/>
        </w:rPr>
        <w:t>CEDH, 27 février 2025, Fraisse et a. c. France, n° 47626/21</w:t>
      </w:r>
      <w:r>
        <w:rPr>
          <w:rFonts w:ascii="Calibri" w:eastAsia="Calibri" w:hAnsi="Calibri" w:cs="Calibri"/>
          <w:color w:val="1A1A1A"/>
        </w:rPr>
        <w:t xml:space="preserve"> : condamnation de la France pour absence de protection suffisante du droit à la vie dans le cadre d’affrontements entre manifestants et forces de l’ordre ; la Cour relève des </w:t>
      </w:r>
      <w:r>
        <w:rPr>
          <w:rFonts w:ascii="Calibri" w:eastAsia="Calibri" w:hAnsi="Calibri" w:cs="Calibri"/>
          <w:b/>
          <w:bCs/>
          <w:color w:val="1A1A1A"/>
        </w:rPr>
        <w:t>lacunes dans le contrôle des opérations</w:t>
      </w:r>
      <w:r>
        <w:rPr>
          <w:rFonts w:ascii="Calibri" w:eastAsia="Calibri" w:hAnsi="Calibri" w:cs="Calibri"/>
          <w:color w:val="1A1A1A"/>
        </w:rPr>
        <w:t xml:space="preserve">, des lacunes du cadre juridique et administratif et des défaillances de l’encadrement dans la préparation et la conduite des opérations litigieuses. </w:t>
      </w:r>
    </w:p>
    <w:p w14:paraId="04CDD3EF" w14:textId="5EC74FD2" w:rsidR="004A4E1F" w:rsidRDefault="00000000">
      <w:pPr>
        <w:pStyle w:val="Paragraphedeliste"/>
        <w:numPr>
          <w:ilvl w:val="0"/>
          <w:numId w:val="2"/>
        </w:numPr>
        <w:spacing w:after="70" w:line="264" w:lineRule="auto"/>
        <w:jc w:val="both"/>
      </w:pPr>
      <w:r>
        <w:rPr>
          <w:rFonts w:ascii="Calibri" w:eastAsia="Calibri" w:hAnsi="Calibri" w:cs="Calibri"/>
          <w:color w:val="1A1A1A"/>
        </w:rPr>
        <w:t xml:space="preserve">Voir aussi </w:t>
      </w:r>
      <w:r>
        <w:rPr>
          <w:rFonts w:ascii="Calibri" w:eastAsia="Calibri" w:hAnsi="Calibri" w:cs="Calibri"/>
          <w:color w:val="E91E63"/>
        </w:rPr>
        <w:t>CEDH, 21 juin 2018, Semache c. France, n° 36083/16</w:t>
      </w:r>
      <w:r>
        <w:rPr>
          <w:rFonts w:ascii="Calibri" w:eastAsia="Calibri" w:hAnsi="Calibri" w:cs="Calibri"/>
          <w:color w:val="1A1A1A"/>
        </w:rPr>
        <w:t xml:space="preserve"> : prise en compte de l’</w:t>
      </w:r>
      <w:r>
        <w:rPr>
          <w:rFonts w:ascii="Calibri" w:eastAsia="Calibri" w:hAnsi="Calibri" w:cs="Calibri"/>
          <w:b/>
          <w:bCs/>
          <w:color w:val="1A1A1A"/>
        </w:rPr>
        <w:t>état de vulnérabilité</w:t>
      </w:r>
      <w:r>
        <w:rPr>
          <w:rFonts w:ascii="Calibri" w:eastAsia="Calibri" w:hAnsi="Calibri" w:cs="Calibri"/>
          <w:color w:val="1A1A1A"/>
        </w:rPr>
        <w:t xml:space="preserve"> de la personne retenue.</w:t>
      </w:r>
    </w:p>
    <w:p w14:paraId="674827A0" w14:textId="77777777" w:rsidR="004A4E1F" w:rsidRDefault="00000000">
      <w:pPr>
        <w:pStyle w:val="Titre3"/>
        <w:spacing w:before="200" w:after="90"/>
      </w:pPr>
      <w:r>
        <w:rPr>
          <w:rFonts w:ascii="Calibri" w:eastAsia="Calibri" w:hAnsi="Calibri" w:cs="Calibri"/>
          <w:b/>
          <w:bCs/>
          <w:i/>
          <w:iCs/>
          <w:color w:val="5A5A5A"/>
          <w:sz w:val="21"/>
          <w:szCs w:val="21"/>
        </w:rPr>
        <w:t>2.4. L’état de guerre et le privilège du combattant</w:t>
      </w:r>
    </w:p>
    <w:p w14:paraId="562520FB"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Bien que le droit à la vie ne soit pas « dérogeable » au sens du déclenchement de l’</w:t>
      </w:r>
      <w:r>
        <w:rPr>
          <w:rFonts w:ascii="Calibri" w:eastAsia="Calibri" w:hAnsi="Calibri" w:cs="Calibri"/>
          <w:color w:val="1E88E5"/>
        </w:rPr>
        <w:t>art. 15</w:t>
      </w:r>
      <w:r>
        <w:rPr>
          <w:rFonts w:ascii="Calibri" w:eastAsia="Calibri" w:hAnsi="Calibri" w:cs="Calibri"/>
          <w:color w:val="1A1A1A"/>
        </w:rPr>
        <w:t xml:space="preserve">, il ne s’agit </w:t>
      </w:r>
      <w:r>
        <w:rPr>
          <w:rFonts w:ascii="Calibri" w:eastAsia="Calibri" w:hAnsi="Calibri" w:cs="Calibri"/>
          <w:b/>
          <w:bCs/>
          <w:color w:val="1A1A1A"/>
        </w:rPr>
        <w:t>pas d’un droit absolu</w:t>
      </w:r>
      <w:r>
        <w:rPr>
          <w:rFonts w:ascii="Calibri" w:eastAsia="Calibri" w:hAnsi="Calibri" w:cs="Calibri"/>
          <w:color w:val="1A1A1A"/>
        </w:rPr>
        <w:t xml:space="preserve">, comme en témoigne son régime dans un contexte de guerre. La protection européenne ne cesse pas avec le début des hostilités mais </w:t>
      </w:r>
      <w:r w:rsidRPr="006C7C2B">
        <w:rPr>
          <w:rFonts w:ascii="Calibri" w:eastAsia="Calibri" w:hAnsi="Calibri" w:cs="Calibri"/>
          <w:color w:val="1A1A1A"/>
          <w:highlight w:val="yellow"/>
        </w:rPr>
        <w:t xml:space="preserve">doit s’articuler avec le </w:t>
      </w:r>
      <w:r w:rsidRPr="006C7C2B">
        <w:rPr>
          <w:rFonts w:ascii="Calibri" w:eastAsia="Calibri" w:hAnsi="Calibri" w:cs="Calibri"/>
          <w:b/>
          <w:bCs/>
          <w:color w:val="1A1A1A"/>
          <w:highlight w:val="yellow"/>
        </w:rPr>
        <w:t>droit international humanitaire</w:t>
      </w:r>
      <w:r>
        <w:rPr>
          <w:rFonts w:ascii="Calibri" w:eastAsia="Calibri" w:hAnsi="Calibri" w:cs="Calibri"/>
          <w:color w:val="1A1A1A"/>
        </w:rPr>
        <w:t xml:space="preserve">, </w:t>
      </w:r>
      <w:r>
        <w:rPr>
          <w:rFonts w:ascii="Calibri" w:eastAsia="Calibri" w:hAnsi="Calibri" w:cs="Calibri"/>
          <w:i/>
          <w:iCs/>
          <w:color w:val="1A1A1A"/>
        </w:rPr>
        <w:t>lex specialis</w:t>
      </w:r>
      <w:r>
        <w:rPr>
          <w:rFonts w:ascii="Calibri" w:eastAsia="Calibri" w:hAnsi="Calibri" w:cs="Calibri"/>
          <w:color w:val="1A1A1A"/>
        </w:rPr>
        <w:t xml:space="preserve"> en la matière : </w:t>
      </w:r>
      <w:r>
        <w:rPr>
          <w:rFonts w:ascii="Calibri" w:eastAsia="Calibri" w:hAnsi="Calibri" w:cs="Calibri"/>
          <w:color w:val="E91E63"/>
        </w:rPr>
        <w:t>CIJ, AC, 8 juillet 1996, Licéité de l’usage ou de la menace des armes nucléaires, Rec. 1996, p. 126</w:t>
      </w:r>
      <w:r>
        <w:rPr>
          <w:rFonts w:ascii="Calibri" w:eastAsia="Calibri" w:hAnsi="Calibri" w:cs="Calibri"/>
          <w:color w:val="1A1A1A"/>
        </w:rPr>
        <w:t xml:space="preserve">. Continuité de l’applicabilité dans les conflits non internationaux, internationaux et extraterritoriaux : </w:t>
      </w:r>
      <w:r>
        <w:rPr>
          <w:rFonts w:ascii="Calibri" w:eastAsia="Calibri" w:hAnsi="Calibri" w:cs="Calibri"/>
          <w:color w:val="E91E63"/>
        </w:rPr>
        <w:t>CEDH, 2 mars 2010, Al-Saadoon et Mufdhi c. Royaume-Uni, n° 61498/08</w:t>
      </w:r>
      <w:r>
        <w:rPr>
          <w:rFonts w:ascii="Calibri" w:eastAsia="Calibri" w:hAnsi="Calibri" w:cs="Calibri"/>
          <w:color w:val="1A1A1A"/>
        </w:rPr>
        <w:t xml:space="preserve"> ; </w:t>
      </w:r>
      <w:r>
        <w:rPr>
          <w:rFonts w:ascii="Calibri" w:eastAsia="Calibri" w:hAnsi="Calibri" w:cs="Calibri"/>
          <w:color w:val="E91E63"/>
        </w:rPr>
        <w:t>CEDH, 24 février 2005, Issaieva et a. c. Russie, n° 57950/00</w:t>
      </w:r>
      <w:r>
        <w:rPr>
          <w:rFonts w:ascii="Calibri" w:eastAsia="Calibri" w:hAnsi="Calibri" w:cs="Calibri"/>
          <w:color w:val="1A1A1A"/>
        </w:rPr>
        <w:t>.</w:t>
      </w:r>
    </w:p>
    <w:p w14:paraId="696F20B0"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lastRenderedPageBreak/>
        <w:t>Le privilège de belligérance</w:t>
      </w:r>
      <w:r>
        <w:rPr>
          <w:rFonts w:ascii="Calibri" w:eastAsia="Calibri" w:hAnsi="Calibri" w:cs="Calibri"/>
          <w:color w:val="1A1A1A"/>
        </w:rPr>
        <w:t xml:space="preserve"> : le droit humanitaire attribue aux combattants une </w:t>
      </w:r>
      <w:r>
        <w:rPr>
          <w:rFonts w:ascii="Calibri" w:eastAsia="Calibri" w:hAnsi="Calibri" w:cs="Calibri"/>
          <w:b/>
          <w:bCs/>
          <w:color w:val="1A1A1A"/>
        </w:rPr>
        <w:t>immunité pénale</w:t>
      </w:r>
      <w:r>
        <w:rPr>
          <w:rFonts w:ascii="Calibri" w:eastAsia="Calibri" w:hAnsi="Calibri" w:cs="Calibri"/>
          <w:color w:val="1A1A1A"/>
        </w:rPr>
        <w:t xml:space="preserve">, codifiée implicitement aux </w:t>
      </w:r>
      <w:r>
        <w:rPr>
          <w:rFonts w:ascii="Calibri" w:eastAsia="Calibri" w:hAnsi="Calibri" w:cs="Calibri"/>
          <w:color w:val="1E88E5"/>
        </w:rPr>
        <w:t>art. 4 à 6 de la Convention de Genève relative au traitement des prisonniers de guerre du 12 août 1949</w:t>
      </w:r>
      <w:r>
        <w:rPr>
          <w:rFonts w:ascii="Calibri" w:eastAsia="Calibri" w:hAnsi="Calibri" w:cs="Calibri"/>
          <w:color w:val="1A1A1A"/>
        </w:rPr>
        <w:t xml:space="preserve"> et à l’</w:t>
      </w:r>
      <w:r>
        <w:rPr>
          <w:rFonts w:ascii="Calibri" w:eastAsia="Calibri" w:hAnsi="Calibri" w:cs="Calibri"/>
          <w:color w:val="1E88E5"/>
        </w:rPr>
        <w:t>art. 43 du Protocole additionnel I du 8 juin 1977</w:t>
      </w:r>
      <w:r>
        <w:rPr>
          <w:rFonts w:ascii="Calibri" w:eastAsia="Calibri" w:hAnsi="Calibri" w:cs="Calibri"/>
          <w:color w:val="1A1A1A"/>
        </w:rPr>
        <w:t xml:space="preserve">. Une attaque respectant les règles du droit humanitaire mais causant des victimes civiles ne peut être qualifiée de violation, résultant d’un </w:t>
      </w:r>
      <w:r>
        <w:rPr>
          <w:rFonts w:ascii="Calibri" w:eastAsia="Calibri" w:hAnsi="Calibri" w:cs="Calibri"/>
          <w:b/>
          <w:bCs/>
          <w:color w:val="1A1A1A"/>
        </w:rPr>
        <w:t>acte licite de guerre</w:t>
      </w:r>
      <w:r>
        <w:rPr>
          <w:rFonts w:ascii="Calibri" w:eastAsia="Calibri" w:hAnsi="Calibri" w:cs="Calibri"/>
          <w:color w:val="1A1A1A"/>
        </w:rPr>
        <w:t>. Le combattant doit toutefois respecter des interdictions spécifiques, comme s’abstenir d’infliger la mort à un combattant ennemi blessé, hors de combat ou qui se rend (</w:t>
      </w:r>
      <w:r>
        <w:rPr>
          <w:rFonts w:ascii="Calibri" w:eastAsia="Calibri" w:hAnsi="Calibri" w:cs="Calibri"/>
          <w:color w:val="1E88E5"/>
        </w:rPr>
        <w:t>art. D4122-9 du Code de la défense</w:t>
      </w:r>
      <w:r>
        <w:rPr>
          <w:rFonts w:ascii="Calibri" w:eastAsia="Calibri" w:hAnsi="Calibri" w:cs="Calibri"/>
          <w:color w:val="1A1A1A"/>
        </w:rPr>
        <w:t xml:space="preserve"> ; protection du civil, </w:t>
      </w:r>
      <w:r>
        <w:rPr>
          <w:rFonts w:ascii="Calibri" w:eastAsia="Calibri" w:hAnsi="Calibri" w:cs="Calibri"/>
          <w:color w:val="1E88E5"/>
        </w:rPr>
        <w:t>art. D4122-8</w:t>
      </w:r>
      <w:r>
        <w:rPr>
          <w:rFonts w:ascii="Calibri" w:eastAsia="Calibri" w:hAnsi="Calibri" w:cs="Calibri"/>
          <w:color w:val="1A1A1A"/>
        </w:rPr>
        <w:t>).</w:t>
      </w:r>
    </w:p>
    <w:p w14:paraId="6745E22B" w14:textId="77777777" w:rsidR="004A4E1F" w:rsidRDefault="00000000">
      <w:pPr>
        <w:pStyle w:val="Paragraphedeliste"/>
        <w:numPr>
          <w:ilvl w:val="0"/>
          <w:numId w:val="2"/>
        </w:numPr>
        <w:spacing w:after="70" w:line="264" w:lineRule="auto"/>
        <w:jc w:val="both"/>
      </w:pPr>
      <w:r>
        <w:rPr>
          <w:rFonts w:ascii="Calibri" w:eastAsia="Calibri" w:hAnsi="Calibri" w:cs="Calibri"/>
          <w:color w:val="E91E63"/>
        </w:rPr>
        <w:t>CE, SSR, 5 juillet 2000, Mégret et Mekhantar, n° 206303 et 206965</w:t>
      </w:r>
      <w:r>
        <w:rPr>
          <w:rFonts w:ascii="Calibri" w:eastAsia="Calibri" w:hAnsi="Calibri" w:cs="Calibri"/>
          <w:color w:val="1A1A1A"/>
        </w:rPr>
        <w:t xml:space="preserve"> : la théorie des </w:t>
      </w:r>
      <w:r>
        <w:rPr>
          <w:rFonts w:ascii="Calibri" w:eastAsia="Calibri" w:hAnsi="Calibri" w:cs="Calibri"/>
          <w:b/>
          <w:bCs/>
          <w:color w:val="1A1A1A"/>
        </w:rPr>
        <w:t>actes de gouvernement</w:t>
      </w:r>
      <w:r>
        <w:rPr>
          <w:rFonts w:ascii="Calibri" w:eastAsia="Calibri" w:hAnsi="Calibri" w:cs="Calibri"/>
          <w:color w:val="1A1A1A"/>
        </w:rPr>
        <w:t xml:space="preserve"> peut être utilisée pour éviter d’analyser la licéité de décisions militaires « non détachables de la conduite des relations internationales de la France ». Les décisions militaires peuvent néanmoins engager une </w:t>
      </w:r>
      <w:r>
        <w:rPr>
          <w:rFonts w:ascii="Calibri" w:eastAsia="Calibri" w:hAnsi="Calibri" w:cs="Calibri"/>
          <w:b/>
          <w:bCs/>
          <w:color w:val="1A1A1A"/>
        </w:rPr>
        <w:t>responsabilité pour crime de guerre</w:t>
      </w:r>
      <w:r>
        <w:rPr>
          <w:rFonts w:ascii="Calibri" w:eastAsia="Calibri" w:hAnsi="Calibri" w:cs="Calibri"/>
          <w:color w:val="1A1A1A"/>
        </w:rPr>
        <w:t xml:space="preserve"> (</w:t>
      </w:r>
      <w:r>
        <w:rPr>
          <w:rFonts w:ascii="Calibri" w:eastAsia="Calibri" w:hAnsi="Calibri" w:cs="Calibri"/>
          <w:color w:val="1E88E5"/>
        </w:rPr>
        <w:t>art. 461-1 et s. du Code pénal</w:t>
      </w:r>
      <w:r>
        <w:rPr>
          <w:rFonts w:ascii="Calibri" w:eastAsia="Calibri" w:hAnsi="Calibri" w:cs="Calibri"/>
          <w:color w:val="1A1A1A"/>
        </w:rPr>
        <w:t>) ou devant la Cour pénale internationale (</w:t>
      </w:r>
      <w:r>
        <w:rPr>
          <w:rFonts w:ascii="Calibri" w:eastAsia="Calibri" w:hAnsi="Calibri" w:cs="Calibri"/>
          <w:color w:val="1E88E5"/>
        </w:rPr>
        <w:t>art. 53-2 C.</w:t>
      </w:r>
      <w:r>
        <w:rPr>
          <w:rFonts w:ascii="Calibri" w:eastAsia="Calibri" w:hAnsi="Calibri" w:cs="Calibri"/>
          <w:color w:val="1A1A1A"/>
        </w:rPr>
        <w:t>).</w:t>
      </w:r>
    </w:p>
    <w:p w14:paraId="7F026A7A" w14:textId="77777777" w:rsidR="004A4E1F" w:rsidRDefault="00000000">
      <w:pPr>
        <w:pStyle w:val="Titre2"/>
        <w:spacing w:before="280" w:after="120"/>
      </w:pPr>
      <w:r>
        <w:rPr>
          <w:rFonts w:ascii="Calibri" w:eastAsia="Calibri" w:hAnsi="Calibri" w:cs="Calibri"/>
          <w:b/>
          <w:bCs/>
          <w:color w:val="1A1A1A"/>
          <w:sz w:val="24"/>
          <w:szCs w:val="24"/>
        </w:rPr>
        <w:t>3. La protection étendue du droit à la vie</w:t>
      </w:r>
    </w:p>
    <w:p w14:paraId="1ABBC8E0" w14:textId="77777777" w:rsidR="004A4E1F" w:rsidRDefault="00000000">
      <w:pPr>
        <w:pStyle w:val="Titre3"/>
        <w:spacing w:before="200" w:after="90"/>
      </w:pPr>
      <w:r>
        <w:rPr>
          <w:rFonts w:ascii="Calibri" w:eastAsia="Calibri" w:hAnsi="Calibri" w:cs="Calibri"/>
          <w:b/>
          <w:bCs/>
          <w:i/>
          <w:iCs/>
          <w:color w:val="5A5A5A"/>
          <w:sz w:val="21"/>
          <w:szCs w:val="21"/>
        </w:rPr>
        <w:t>3.1. Les garanties procédurales</w:t>
      </w:r>
    </w:p>
    <w:p w14:paraId="31160B46"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xml:space="preserve">Le volet procédural est </w:t>
      </w:r>
      <w:r>
        <w:rPr>
          <w:rFonts w:ascii="Calibri" w:eastAsia="Calibri" w:hAnsi="Calibri" w:cs="Calibri"/>
          <w:b/>
          <w:bCs/>
          <w:color w:val="1A1A1A"/>
        </w:rPr>
        <w:t>inhérent à l’</w:t>
      </w:r>
      <w:r>
        <w:rPr>
          <w:rFonts w:ascii="Calibri" w:eastAsia="Calibri" w:hAnsi="Calibri" w:cs="Calibri"/>
          <w:b/>
          <w:bCs/>
          <w:color w:val="1E88E5"/>
        </w:rPr>
        <w:t>art. 2</w:t>
      </w:r>
      <w:r>
        <w:rPr>
          <w:rFonts w:ascii="Calibri" w:eastAsia="Calibri" w:hAnsi="Calibri" w:cs="Calibri"/>
          <w:b/>
          <w:bCs/>
          <w:color w:val="1A1A1A"/>
        </w:rPr>
        <w:t xml:space="preserve"> et distinct</w:t>
      </w:r>
      <w:r>
        <w:rPr>
          <w:rFonts w:ascii="Calibri" w:eastAsia="Calibri" w:hAnsi="Calibri" w:cs="Calibri"/>
          <w:color w:val="1A1A1A"/>
        </w:rPr>
        <w:t xml:space="preserve"> des obligations procédurales de la même convention. Le droit à la vie nécessite l’adoption d’un </w:t>
      </w:r>
      <w:r>
        <w:rPr>
          <w:rFonts w:ascii="Calibri" w:eastAsia="Calibri" w:hAnsi="Calibri" w:cs="Calibri"/>
          <w:b/>
          <w:bCs/>
          <w:color w:val="1A1A1A"/>
        </w:rPr>
        <w:t>cadre juridique et administratif adéquat</w:t>
      </w:r>
      <w:r>
        <w:rPr>
          <w:rFonts w:ascii="Calibri" w:eastAsia="Calibri" w:hAnsi="Calibri" w:cs="Calibri"/>
          <w:color w:val="1A1A1A"/>
        </w:rPr>
        <w:t xml:space="preserve">, impliquant un cadre pénal précis et dissuasif permettant de prévenir et réprimer les atteintes et d’encadrer strictement l’usage de la force : </w:t>
      </w:r>
      <w:r>
        <w:rPr>
          <w:rFonts w:ascii="Calibri" w:eastAsia="Calibri" w:hAnsi="Calibri" w:cs="Calibri"/>
          <w:color w:val="E91E63"/>
        </w:rPr>
        <w:t>CEDH, GC, 30 mars 2016, Armani Da Silva, n° 5878/08</w:t>
      </w:r>
      <w:r>
        <w:rPr>
          <w:rFonts w:ascii="Calibri" w:eastAsia="Calibri" w:hAnsi="Calibri" w:cs="Calibri"/>
          <w:color w:val="1A1A1A"/>
        </w:rPr>
        <w:t xml:space="preserve"> — </w:t>
      </w:r>
      <w:r>
        <w:rPr>
          <w:rFonts w:ascii="Calibri" w:eastAsia="Calibri" w:hAnsi="Calibri" w:cs="Calibri"/>
          <w:b/>
          <w:bCs/>
          <w:color w:val="1A1A1A"/>
        </w:rPr>
        <w:t>attention, cet arrêt est rendu contre le Royaume-Uni</w:t>
      </w:r>
      <w:r>
        <w:rPr>
          <w:rFonts w:ascii="Calibri" w:eastAsia="Calibri" w:hAnsi="Calibri" w:cs="Calibri"/>
          <w:color w:val="1A1A1A"/>
        </w:rPr>
        <w:t>, le fascicule indiquant par erreur « c. Portugal ».</w:t>
      </w:r>
    </w:p>
    <w:p w14:paraId="35BB445D"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xml:space="preserve">En cas d’usage de la force meurtrière par les États ou par des particuliers, les autorités, </w:t>
      </w:r>
      <w:r>
        <w:rPr>
          <w:rFonts w:ascii="Calibri" w:eastAsia="Calibri" w:hAnsi="Calibri" w:cs="Calibri"/>
          <w:b/>
          <w:bCs/>
          <w:color w:val="1A1A1A"/>
        </w:rPr>
        <w:t>agissant d’office</w:t>
      </w:r>
      <w:r>
        <w:rPr>
          <w:rFonts w:ascii="Calibri" w:eastAsia="Calibri" w:hAnsi="Calibri" w:cs="Calibri"/>
          <w:color w:val="1A1A1A"/>
        </w:rPr>
        <w:t xml:space="preserve">, doivent pouvoir organiser une </w:t>
      </w:r>
      <w:r>
        <w:rPr>
          <w:rFonts w:ascii="Calibri" w:eastAsia="Calibri" w:hAnsi="Calibri" w:cs="Calibri"/>
          <w:b/>
          <w:bCs/>
          <w:color w:val="1A1A1A"/>
        </w:rPr>
        <w:t>enquête prompte, effective et indépendante</w:t>
      </w:r>
      <w:r>
        <w:rPr>
          <w:rFonts w:ascii="Calibri" w:eastAsia="Calibri" w:hAnsi="Calibri" w:cs="Calibri"/>
          <w:color w:val="1A1A1A"/>
        </w:rPr>
        <w:t xml:space="preserve"> permettant de contrôler la légalité du recours à la force meurtrière et les circonstances dans lesquelles se sont déroulés les faits (</w:t>
      </w:r>
      <w:r>
        <w:rPr>
          <w:rFonts w:ascii="Calibri" w:eastAsia="Calibri" w:hAnsi="Calibri" w:cs="Calibri"/>
          <w:color w:val="E91E63"/>
        </w:rPr>
        <w:t>McCann</w:t>
      </w:r>
      <w:r>
        <w:rPr>
          <w:rFonts w:ascii="Calibri" w:eastAsia="Calibri" w:hAnsi="Calibri" w:cs="Calibri"/>
          <w:color w:val="1A1A1A"/>
        </w:rPr>
        <w:t xml:space="preserve"> ; </w:t>
      </w:r>
      <w:r>
        <w:rPr>
          <w:rFonts w:ascii="Calibri" w:eastAsia="Calibri" w:hAnsi="Calibri" w:cs="Calibri"/>
          <w:color w:val="E91E63"/>
        </w:rPr>
        <w:t>CEDH, GC, 7 juillet 2011, Al-Skeini c. Royaume-Uni, n° 55721/07</w:t>
      </w:r>
      <w:r>
        <w:rPr>
          <w:rFonts w:ascii="Calibri" w:eastAsia="Calibri" w:hAnsi="Calibri" w:cs="Calibri"/>
          <w:color w:val="1A1A1A"/>
        </w:rPr>
        <w:t xml:space="preserve">). L’obligation s’étend à tous les types de situation dans lesquelles un individu a subi une atteinte à son droit à la vie, des blessures potentiellement mortelles aux cas de disparition forcée ; elle est </w:t>
      </w:r>
      <w:r>
        <w:rPr>
          <w:rFonts w:ascii="Calibri" w:eastAsia="Calibri" w:hAnsi="Calibri" w:cs="Calibri"/>
          <w:b/>
          <w:bCs/>
          <w:color w:val="1A1A1A"/>
        </w:rPr>
        <w:t>particulièrement rigoureuse</w:t>
      </w:r>
      <w:r>
        <w:rPr>
          <w:rFonts w:ascii="Calibri" w:eastAsia="Calibri" w:hAnsi="Calibri" w:cs="Calibri"/>
          <w:color w:val="1A1A1A"/>
        </w:rPr>
        <w:t xml:space="preserve"> lorsque l’individu était sous le contrôle des autorités. En cas de disparition forcée, l’obligation demeure tant que les circonstances et le sort de la personne ne sont pas connus, et son inexécution constitue une </w:t>
      </w:r>
      <w:r>
        <w:rPr>
          <w:rFonts w:ascii="Calibri" w:eastAsia="Calibri" w:hAnsi="Calibri" w:cs="Calibri"/>
          <w:b/>
          <w:bCs/>
          <w:color w:val="1A1A1A"/>
        </w:rPr>
        <w:t>violation continue</w:t>
      </w:r>
      <w:r>
        <w:rPr>
          <w:rFonts w:ascii="Calibri" w:eastAsia="Calibri" w:hAnsi="Calibri" w:cs="Calibri"/>
          <w:color w:val="1A1A1A"/>
        </w:rPr>
        <w:t xml:space="preserve"> (</w:t>
      </w:r>
      <w:r>
        <w:rPr>
          <w:rFonts w:ascii="Calibri" w:eastAsia="Calibri" w:hAnsi="Calibri" w:cs="Calibri"/>
          <w:color w:val="E91E63"/>
        </w:rPr>
        <w:t>Varnava et a. c. Turquie</w:t>
      </w:r>
      <w:r>
        <w:rPr>
          <w:rFonts w:ascii="Calibri" w:eastAsia="Calibri" w:hAnsi="Calibri" w:cs="Calibri"/>
          <w:color w:val="1A1A1A"/>
        </w:rPr>
        <w:t xml:space="preserve">). </w:t>
      </w:r>
      <w:r>
        <w:rPr>
          <w:rFonts w:ascii="Calibri" w:eastAsia="Calibri" w:hAnsi="Calibri" w:cs="Calibri"/>
          <w:b/>
          <w:bCs/>
          <w:color w:val="1A1A1A"/>
        </w:rPr>
        <w:t>Il s’agit d’une obligation de moyen.</w:t>
      </w:r>
    </w:p>
    <w:p w14:paraId="6C3A65A5" w14:textId="77777777" w:rsidR="004A4E1F" w:rsidRDefault="00000000">
      <w:pPr>
        <w:pStyle w:val="Titre3"/>
        <w:spacing w:before="200" w:after="90"/>
      </w:pPr>
      <w:r>
        <w:rPr>
          <w:rFonts w:ascii="Calibri" w:eastAsia="Calibri" w:hAnsi="Calibri" w:cs="Calibri"/>
          <w:b/>
          <w:bCs/>
          <w:i/>
          <w:iCs/>
          <w:color w:val="5A5A5A"/>
          <w:sz w:val="21"/>
          <w:szCs w:val="21"/>
        </w:rPr>
        <w:t>3.2. Les obligations positives et l’effet horizontal</w:t>
      </w:r>
    </w:p>
    <w:p w14:paraId="5A436F63" w14:textId="77777777" w:rsidR="00E44D5C" w:rsidRPr="00E44D5C" w:rsidRDefault="00000000">
      <w:pPr>
        <w:pStyle w:val="Paragraphedeliste"/>
        <w:numPr>
          <w:ilvl w:val="0"/>
          <w:numId w:val="2"/>
        </w:numPr>
        <w:spacing w:after="70" w:line="264" w:lineRule="auto"/>
        <w:jc w:val="both"/>
      </w:pPr>
      <w:r>
        <w:rPr>
          <w:rFonts w:ascii="Calibri" w:eastAsia="Calibri" w:hAnsi="Calibri" w:cs="Calibri"/>
          <w:color w:val="1A1A1A"/>
        </w:rPr>
        <w:t xml:space="preserve">L’État a le devoir de protéger la vie de </w:t>
      </w:r>
      <w:r>
        <w:rPr>
          <w:rFonts w:ascii="Calibri" w:eastAsia="Calibri" w:hAnsi="Calibri" w:cs="Calibri"/>
          <w:b/>
          <w:bCs/>
          <w:color w:val="1A1A1A"/>
        </w:rPr>
        <w:t>toutes les personnes relevant de sa juridiction</w:t>
      </w:r>
      <w:r>
        <w:rPr>
          <w:rFonts w:ascii="Calibri" w:eastAsia="Calibri" w:hAnsi="Calibri" w:cs="Calibri"/>
          <w:color w:val="1A1A1A"/>
        </w:rPr>
        <w:t xml:space="preserve"> en prévenant les atteintes (</w:t>
      </w:r>
      <w:r>
        <w:rPr>
          <w:rFonts w:ascii="Calibri" w:eastAsia="Calibri" w:hAnsi="Calibri" w:cs="Calibri"/>
          <w:color w:val="E91E63"/>
        </w:rPr>
        <w:t>CEDH, 9 juin 1998, L.C.B. c. Royaume-Uni, n° 23413/94</w:t>
      </w:r>
      <w:r>
        <w:rPr>
          <w:rFonts w:ascii="Calibri" w:eastAsia="Calibri" w:hAnsi="Calibri" w:cs="Calibri"/>
          <w:color w:val="1A1A1A"/>
        </w:rPr>
        <w:t xml:space="preserve">). Il peut être responsable de ne pas avoir pris les </w:t>
      </w:r>
      <w:r>
        <w:rPr>
          <w:rFonts w:ascii="Calibri" w:eastAsia="Calibri" w:hAnsi="Calibri" w:cs="Calibri"/>
          <w:b/>
          <w:bCs/>
          <w:color w:val="1A1A1A"/>
        </w:rPr>
        <w:t>mesures pratiques raisonnables</w:t>
      </w:r>
      <w:r>
        <w:rPr>
          <w:rFonts w:ascii="Calibri" w:eastAsia="Calibri" w:hAnsi="Calibri" w:cs="Calibri"/>
          <w:color w:val="1A1A1A"/>
        </w:rPr>
        <w:t xml:space="preserve"> contre les atteintes commises par un individu menaçant la vie d’autrui — </w:t>
      </w:r>
      <w:r>
        <w:rPr>
          <w:rFonts w:ascii="Calibri" w:eastAsia="Calibri" w:hAnsi="Calibri" w:cs="Calibri"/>
          <w:b/>
          <w:bCs/>
          <w:color w:val="1A1A1A"/>
        </w:rPr>
        <w:t>protection interindividuelle</w:t>
      </w:r>
      <w:r>
        <w:rPr>
          <w:rFonts w:ascii="Calibri" w:eastAsia="Calibri" w:hAnsi="Calibri" w:cs="Calibri"/>
          <w:color w:val="1A1A1A"/>
        </w:rPr>
        <w:t xml:space="preserve">. Cette nécessité joue lorsque les autorités </w:t>
      </w:r>
      <w:r>
        <w:rPr>
          <w:rFonts w:ascii="Calibri" w:eastAsia="Calibri" w:hAnsi="Calibri" w:cs="Calibri"/>
          <w:b/>
          <w:bCs/>
          <w:color w:val="1A1A1A"/>
        </w:rPr>
        <w:t>ont ou auraient dû avoir connaissance de l’existence d’un risque réel, sérieux et immédiat</w:t>
      </w:r>
      <w:r>
        <w:rPr>
          <w:rFonts w:ascii="Calibri" w:eastAsia="Calibri" w:hAnsi="Calibri" w:cs="Calibri"/>
          <w:color w:val="1A1A1A"/>
        </w:rPr>
        <w:t xml:space="preserve">. </w:t>
      </w:r>
    </w:p>
    <w:p w14:paraId="175A5E2F" w14:textId="77E65478" w:rsidR="004A4E1F" w:rsidRDefault="00000000" w:rsidP="00E44D5C">
      <w:pPr>
        <w:pStyle w:val="Paragraphedeliste"/>
        <w:spacing w:after="70" w:line="264" w:lineRule="auto"/>
        <w:ind w:left="340"/>
        <w:jc w:val="both"/>
      </w:pPr>
      <w:r>
        <w:rPr>
          <w:rFonts w:ascii="Calibri" w:eastAsia="Calibri" w:hAnsi="Calibri" w:cs="Calibri"/>
          <w:color w:val="1A1A1A"/>
        </w:rPr>
        <w:t xml:space="preserve">Contrepoids : la protection doit se concilier avec les difficultés d’exercice de l’autorité publique, les choix opérationnels en termes de priorités et de ressources et l’imprévisibilité du comportement humain — pas de </w:t>
      </w:r>
      <w:r>
        <w:rPr>
          <w:rFonts w:ascii="Calibri" w:eastAsia="Calibri" w:hAnsi="Calibri" w:cs="Calibri"/>
          <w:b/>
          <w:bCs/>
          <w:color w:val="1A1A1A"/>
        </w:rPr>
        <w:t>fardeau déraisonnable ou excessif</w:t>
      </w:r>
      <w:r>
        <w:rPr>
          <w:rFonts w:ascii="Calibri" w:eastAsia="Calibri" w:hAnsi="Calibri" w:cs="Calibri"/>
          <w:color w:val="1A1A1A"/>
        </w:rPr>
        <w:t xml:space="preserve"> (</w:t>
      </w:r>
      <w:r>
        <w:rPr>
          <w:rFonts w:ascii="Calibri" w:eastAsia="Calibri" w:hAnsi="Calibri" w:cs="Calibri"/>
          <w:color w:val="E91E63"/>
        </w:rPr>
        <w:t>Osman c. Royaume-Uni</w:t>
      </w:r>
      <w:r>
        <w:rPr>
          <w:rFonts w:ascii="Calibri" w:eastAsia="Calibri" w:hAnsi="Calibri" w:cs="Calibri"/>
          <w:color w:val="1A1A1A"/>
        </w:rPr>
        <w:t xml:space="preserve">). Illustration en matière de violences conjugales : </w:t>
      </w:r>
      <w:r>
        <w:rPr>
          <w:rFonts w:ascii="Calibri" w:eastAsia="Calibri" w:hAnsi="Calibri" w:cs="Calibri"/>
          <w:color w:val="E91E63"/>
        </w:rPr>
        <w:t>CEDH, 22 mars 2022, Y et a. c. Bulgarie, n° 9077/18</w:t>
      </w:r>
      <w:r>
        <w:rPr>
          <w:rFonts w:ascii="Calibri" w:eastAsia="Calibri" w:hAnsi="Calibri" w:cs="Calibri"/>
          <w:color w:val="1A1A1A"/>
        </w:rPr>
        <w:t>.</w:t>
      </w:r>
    </w:p>
    <w:p w14:paraId="00DBF27E" w14:textId="77777777" w:rsidR="004A4E1F" w:rsidRDefault="00000000">
      <w:pPr>
        <w:pStyle w:val="Titre3"/>
        <w:spacing w:before="200" w:after="90"/>
      </w:pPr>
      <w:r>
        <w:rPr>
          <w:rFonts w:ascii="Calibri" w:eastAsia="Calibri" w:hAnsi="Calibri" w:cs="Calibri"/>
          <w:b/>
          <w:bCs/>
          <w:i/>
          <w:iCs/>
          <w:color w:val="5A5A5A"/>
          <w:sz w:val="21"/>
          <w:szCs w:val="21"/>
        </w:rPr>
        <w:t>3.3. La protection contre les aléas</w:t>
      </w:r>
    </w:p>
    <w:p w14:paraId="10F26ED8"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xml:space="preserve">Obligation de prendre des </w:t>
      </w:r>
      <w:r>
        <w:rPr>
          <w:rFonts w:ascii="Calibri" w:eastAsia="Calibri" w:hAnsi="Calibri" w:cs="Calibri"/>
          <w:b/>
          <w:bCs/>
          <w:color w:val="1A1A1A"/>
        </w:rPr>
        <w:t>mesures préventives</w:t>
      </w:r>
      <w:r>
        <w:rPr>
          <w:rFonts w:ascii="Calibri" w:eastAsia="Calibri" w:hAnsi="Calibri" w:cs="Calibri"/>
          <w:color w:val="1A1A1A"/>
        </w:rPr>
        <w:t xml:space="preserve"> dans toutes les situations dangereuses (</w:t>
      </w:r>
      <w:r>
        <w:rPr>
          <w:rFonts w:ascii="Calibri" w:eastAsia="Calibri" w:hAnsi="Calibri" w:cs="Calibri"/>
          <w:color w:val="E91E63"/>
        </w:rPr>
        <w:t>CEDH, 14 juin 2011, Ciechońska c. Pologne, n° 19776/04</w:t>
      </w:r>
      <w:r>
        <w:rPr>
          <w:rFonts w:ascii="Calibri" w:eastAsia="Calibri" w:hAnsi="Calibri" w:cs="Calibri"/>
          <w:color w:val="1A1A1A"/>
        </w:rPr>
        <w:t xml:space="preserve">) ; diligence particulière lorsque l’individu est </w:t>
      </w:r>
      <w:r>
        <w:rPr>
          <w:rFonts w:ascii="Calibri" w:eastAsia="Calibri" w:hAnsi="Calibri" w:cs="Calibri"/>
          <w:b/>
          <w:bCs/>
          <w:color w:val="1A1A1A"/>
        </w:rPr>
        <w:t>sous le contrôle de l’État</w:t>
      </w:r>
      <w:r>
        <w:rPr>
          <w:rFonts w:ascii="Calibri" w:eastAsia="Calibri" w:hAnsi="Calibri" w:cs="Calibri"/>
          <w:color w:val="1A1A1A"/>
        </w:rPr>
        <w:t xml:space="preserve"> (</w:t>
      </w:r>
      <w:r>
        <w:rPr>
          <w:rFonts w:ascii="Calibri" w:eastAsia="Calibri" w:hAnsi="Calibri" w:cs="Calibri"/>
          <w:color w:val="E91E63"/>
        </w:rPr>
        <w:t>CEDH, GC, 17 janvier 2002, Calvelli et Ciglio c. Italie, n° 32967/96</w:t>
      </w:r>
      <w:r>
        <w:rPr>
          <w:rFonts w:ascii="Calibri" w:eastAsia="Calibri" w:hAnsi="Calibri" w:cs="Calibri"/>
          <w:color w:val="1A1A1A"/>
        </w:rPr>
        <w:t xml:space="preserve"> ; </w:t>
      </w:r>
      <w:r>
        <w:rPr>
          <w:rFonts w:ascii="Calibri" w:eastAsia="Calibri" w:hAnsi="Calibri" w:cs="Calibri"/>
          <w:color w:val="E91E63"/>
        </w:rPr>
        <w:t>CEDH, GC, 17 juillet 2014, Centre de ressources juridiques au nom de Valentin Câmpeanu c. Roumanie, n° 47848/08</w:t>
      </w:r>
      <w:r>
        <w:rPr>
          <w:rFonts w:ascii="Calibri" w:eastAsia="Calibri" w:hAnsi="Calibri" w:cs="Calibri"/>
          <w:color w:val="1A1A1A"/>
        </w:rPr>
        <w:t>) ; mesures de prévention raisonnables contre les accidents industriels ou naturels (</w:t>
      </w:r>
      <w:r>
        <w:rPr>
          <w:rFonts w:ascii="Calibri" w:eastAsia="Calibri" w:hAnsi="Calibri" w:cs="Calibri"/>
          <w:color w:val="E91E63"/>
        </w:rPr>
        <w:t>CE, ord., 13 août 2013, Commune de St Leu, n° 370902</w:t>
      </w:r>
      <w:r>
        <w:rPr>
          <w:rFonts w:ascii="Calibri" w:eastAsia="Calibri" w:hAnsi="Calibri" w:cs="Calibri"/>
          <w:color w:val="1A1A1A"/>
        </w:rPr>
        <w:t xml:space="preserve"> ; </w:t>
      </w:r>
      <w:r>
        <w:rPr>
          <w:rFonts w:ascii="Calibri" w:eastAsia="Calibri" w:hAnsi="Calibri" w:cs="Calibri"/>
          <w:color w:val="E91E63"/>
        </w:rPr>
        <w:t>CEDH, GC, 30 novembre 2004, Öneryıldız c. Turquie, n° 48939/99</w:t>
      </w:r>
      <w:r>
        <w:rPr>
          <w:rFonts w:ascii="Calibri" w:eastAsia="Calibri" w:hAnsi="Calibri" w:cs="Calibri"/>
          <w:color w:val="1A1A1A"/>
        </w:rPr>
        <w:t xml:space="preserve">). </w:t>
      </w:r>
      <w:r w:rsidRPr="00E44D5C">
        <w:rPr>
          <w:rFonts w:ascii="Calibri" w:eastAsia="Calibri" w:hAnsi="Calibri" w:cs="Calibri"/>
          <w:b/>
          <w:bCs/>
          <w:color w:val="EE0000"/>
        </w:rPr>
        <w:t>Limite</w:t>
      </w:r>
      <w:r w:rsidRPr="00E44D5C">
        <w:rPr>
          <w:rFonts w:ascii="Calibri" w:eastAsia="Calibri" w:hAnsi="Calibri" w:cs="Calibri"/>
          <w:color w:val="EE0000"/>
        </w:rPr>
        <w:t xml:space="preserve"> : le droit à la vie n’implique pas une sécurité absolue, en particulier lorsque la personne a délibérément pris le risque de se mettre en danger.</w:t>
      </w:r>
    </w:p>
    <w:p w14:paraId="3F93083F"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sidRPr="00E44D5C">
        <w:rPr>
          <w:rFonts w:ascii="Calibri" w:eastAsia="Calibri" w:hAnsi="Calibri" w:cs="Calibri"/>
          <w:b/>
          <w:bCs/>
          <w:color w:val="1A1A1A"/>
          <w:highlight w:val="yellow"/>
        </w:rPr>
        <w:t>Actualité</w:t>
      </w:r>
      <w:r>
        <w:rPr>
          <w:rFonts w:ascii="Calibri" w:eastAsia="Calibri" w:hAnsi="Calibri" w:cs="Calibri"/>
          <w:b/>
          <w:bCs/>
          <w:color w:val="1A1A1A"/>
        </w:rPr>
        <w:t xml:space="preserve"> — le droit à la vie face aux pollutions environnementales graves</w:t>
      </w:r>
      <w:r>
        <w:rPr>
          <w:rFonts w:ascii="Calibri" w:eastAsia="Calibri" w:hAnsi="Calibri" w:cs="Calibri"/>
          <w:color w:val="1A1A1A"/>
        </w:rPr>
        <w:t xml:space="preserve"> : </w:t>
      </w:r>
      <w:r>
        <w:rPr>
          <w:rFonts w:ascii="Calibri" w:eastAsia="Calibri" w:hAnsi="Calibri" w:cs="Calibri"/>
          <w:color w:val="E91E63"/>
        </w:rPr>
        <w:t>CEDH, 30 janvier 2025, Cannavacciuolo et autres c. Italie</w:t>
      </w:r>
      <w:r>
        <w:rPr>
          <w:rFonts w:ascii="Calibri" w:eastAsia="Calibri" w:hAnsi="Calibri" w:cs="Calibri"/>
          <w:color w:val="1A1A1A"/>
        </w:rPr>
        <w:t xml:space="preserve">. À propos de la « Terre des feux », région de Campanie affectée pendant plusieurs décennies par l’enfouissement, l’abandon et la combustion illégale de déchets dangereux. Les autorités connaissaient depuis longtemps l’ampleur du phénomène et les risques sanitaires, sans adopter avec suffisamment de diligence les mesures nécessaires pour protéger les habitants. La Cour conclut à une </w:t>
      </w:r>
      <w:r>
        <w:rPr>
          <w:rFonts w:ascii="Calibri" w:eastAsia="Calibri" w:hAnsi="Calibri" w:cs="Calibri"/>
          <w:b/>
          <w:bCs/>
          <w:color w:val="1A1A1A"/>
        </w:rPr>
        <w:t>violation de l’article 2</w:t>
      </w:r>
      <w:r>
        <w:rPr>
          <w:rFonts w:ascii="Calibri" w:eastAsia="Calibri" w:hAnsi="Calibri" w:cs="Calibri"/>
          <w:color w:val="1A1A1A"/>
        </w:rPr>
        <w:t xml:space="preserve"> et, compte tenu du </w:t>
      </w:r>
      <w:r>
        <w:rPr>
          <w:rFonts w:ascii="Calibri" w:eastAsia="Calibri" w:hAnsi="Calibri" w:cs="Calibri"/>
          <w:color w:val="1A1A1A"/>
        </w:rPr>
        <w:lastRenderedPageBreak/>
        <w:t xml:space="preserve">caractère structurel de la situation, recourt à la </w:t>
      </w:r>
      <w:r>
        <w:rPr>
          <w:rFonts w:ascii="Calibri" w:eastAsia="Calibri" w:hAnsi="Calibri" w:cs="Calibri"/>
          <w:b/>
          <w:bCs/>
          <w:color w:val="1A1A1A"/>
        </w:rPr>
        <w:t>procédure de l’arrêt pilote</w:t>
      </w:r>
      <w:r>
        <w:rPr>
          <w:rFonts w:ascii="Calibri" w:eastAsia="Calibri" w:hAnsi="Calibri" w:cs="Calibri"/>
          <w:color w:val="1A1A1A"/>
        </w:rPr>
        <w:t xml:space="preserve">. </w:t>
      </w:r>
      <w:r w:rsidRPr="00E44D5C">
        <w:rPr>
          <w:rFonts w:ascii="Calibri" w:eastAsia="Calibri" w:hAnsi="Calibri" w:cs="Calibri"/>
          <w:b/>
          <w:bCs/>
          <w:color w:val="1A1A1A"/>
          <w:highlight w:val="yellow"/>
        </w:rPr>
        <w:t>À retenir</w:t>
      </w:r>
      <w:r>
        <w:rPr>
          <w:rFonts w:ascii="Calibri" w:eastAsia="Calibri" w:hAnsi="Calibri" w:cs="Calibri"/>
          <w:color w:val="1A1A1A"/>
        </w:rPr>
        <w:t xml:space="preserve"> : le droit à la vie ne protège pas seulement contre une atteinte directement infligée par l’État ; il impose aux pouvoirs publics d’agir lorsqu’ils connaissent l’existence d’un risque environnemental grave et durable pour la population.</w:t>
      </w:r>
    </w:p>
    <w:p w14:paraId="06B02B93"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Le débat sur le volet économique et social</w:t>
      </w:r>
      <w:r>
        <w:rPr>
          <w:rFonts w:ascii="Calibri" w:eastAsia="Calibri" w:hAnsi="Calibri" w:cs="Calibri"/>
          <w:color w:val="1A1A1A"/>
        </w:rPr>
        <w:t xml:space="preserve"> : la Cour reste réticente à consacrer un tel droit, considérant qu’il n’existe pas de « droit à une certaine qualité de vie » (</w:t>
      </w:r>
      <w:r>
        <w:rPr>
          <w:rFonts w:ascii="Calibri" w:eastAsia="Calibri" w:hAnsi="Calibri" w:cs="Calibri"/>
          <w:color w:val="E91E63"/>
        </w:rPr>
        <w:t>CEDH, 7 juin 2001, Ivanov c. Lettonie, déc., n° 55933/00</w:t>
      </w:r>
      <w:r>
        <w:rPr>
          <w:rFonts w:ascii="Calibri" w:eastAsia="Calibri" w:hAnsi="Calibri" w:cs="Calibri"/>
          <w:color w:val="1A1A1A"/>
        </w:rPr>
        <w:t xml:space="preserve">). Le Comité des droits de l’homme a en revanche reconnu l’existence d’un </w:t>
      </w:r>
      <w:r>
        <w:rPr>
          <w:rFonts w:ascii="Calibri" w:eastAsia="Calibri" w:hAnsi="Calibri" w:cs="Calibri"/>
          <w:b/>
          <w:bCs/>
          <w:color w:val="1A1A1A"/>
        </w:rPr>
        <w:t>droit à une vie digne</w:t>
      </w:r>
      <w:r>
        <w:rPr>
          <w:rFonts w:ascii="Calibri" w:eastAsia="Calibri" w:hAnsi="Calibri" w:cs="Calibri"/>
          <w:color w:val="1A1A1A"/>
        </w:rPr>
        <w:t>, faisant le lien entre droits de première et de deuxième génération (</w:t>
      </w:r>
      <w:r>
        <w:rPr>
          <w:rFonts w:ascii="Calibri" w:eastAsia="Calibri" w:hAnsi="Calibri" w:cs="Calibri"/>
          <w:color w:val="2E7D32"/>
        </w:rPr>
        <w:t>Observation générale n° 36</w:t>
      </w:r>
      <w:r>
        <w:rPr>
          <w:rFonts w:ascii="Calibri" w:eastAsia="Calibri" w:hAnsi="Calibri" w:cs="Calibri"/>
          <w:color w:val="1A1A1A"/>
        </w:rPr>
        <w:t xml:space="preserve"> ; </w:t>
      </w:r>
      <w:r>
        <w:rPr>
          <w:rFonts w:ascii="Calibri" w:eastAsia="Calibri" w:hAnsi="Calibri" w:cs="Calibri"/>
          <w:color w:val="E91E63"/>
        </w:rPr>
        <w:t>CDH, 20 septembre 2019, Cáceres c. Paraguay, n° 2751/2016</w:t>
      </w:r>
      <w:r>
        <w:rPr>
          <w:rFonts w:ascii="Calibri" w:eastAsia="Calibri" w:hAnsi="Calibri" w:cs="Calibri"/>
          <w:color w:val="1A1A1A"/>
        </w:rPr>
        <w:t xml:space="preserve">) — approche décloisonnée </w:t>
      </w:r>
      <w:r>
        <w:rPr>
          <w:rFonts w:ascii="Calibri" w:eastAsia="Calibri" w:hAnsi="Calibri" w:cs="Calibri"/>
          <w:b/>
          <w:bCs/>
          <w:color w:val="1A1A1A"/>
        </w:rPr>
        <w:t>davantage mobilisée par les organes onusiens que par les instruments européens</w:t>
      </w:r>
      <w:r>
        <w:rPr>
          <w:rFonts w:ascii="Calibri" w:eastAsia="Calibri" w:hAnsi="Calibri" w:cs="Calibri"/>
          <w:color w:val="1A1A1A"/>
        </w:rPr>
        <w:t>.</w:t>
      </w:r>
    </w:p>
    <w:p w14:paraId="2F8457A2" w14:textId="77777777" w:rsidR="004A4E1F" w:rsidRDefault="00000000">
      <w:pPr>
        <w:pStyle w:val="Titre2"/>
        <w:spacing w:before="280" w:after="120"/>
      </w:pPr>
      <w:r>
        <w:rPr>
          <w:rFonts w:ascii="Calibri" w:eastAsia="Calibri" w:hAnsi="Calibri" w:cs="Calibri"/>
          <w:b/>
          <w:bCs/>
          <w:color w:val="1A1A1A"/>
          <w:sz w:val="24"/>
          <w:szCs w:val="24"/>
        </w:rPr>
        <w:t>4. La fin de vie</w:t>
      </w:r>
    </w:p>
    <w:p w14:paraId="0322A24B"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Le refus d’un droit à mourir</w:t>
      </w:r>
      <w:r>
        <w:rPr>
          <w:rFonts w:ascii="Calibri" w:eastAsia="Calibri" w:hAnsi="Calibri" w:cs="Calibri"/>
          <w:color w:val="1A1A1A"/>
        </w:rPr>
        <w:t xml:space="preserve"> : la Cour ne considère pas que le droit à la vie comporte une dimension négative (</w:t>
      </w:r>
      <w:r>
        <w:rPr>
          <w:rFonts w:ascii="Calibri" w:eastAsia="Calibri" w:hAnsi="Calibri" w:cs="Calibri"/>
          <w:color w:val="E91E63"/>
        </w:rPr>
        <w:t>Pretty c. Royaume-Uni</w:t>
      </w:r>
      <w:r>
        <w:rPr>
          <w:rFonts w:ascii="Calibri" w:eastAsia="Calibri" w:hAnsi="Calibri" w:cs="Calibri"/>
          <w:color w:val="1A1A1A"/>
        </w:rPr>
        <w:t xml:space="preserve">) ; l’autonomie personnelle ne donne pas un droit de « choisir la mort plutôt que la vie », le risque étant de créer un effet contraire et d’induire une </w:t>
      </w:r>
      <w:r>
        <w:rPr>
          <w:rFonts w:ascii="Calibri" w:eastAsia="Calibri" w:hAnsi="Calibri" w:cs="Calibri"/>
          <w:b/>
          <w:bCs/>
          <w:color w:val="1A1A1A"/>
        </w:rPr>
        <w:t>pression involontaire sur des personnes vulnérables</w:t>
      </w:r>
      <w:r>
        <w:rPr>
          <w:rFonts w:ascii="Calibri" w:eastAsia="Calibri" w:hAnsi="Calibri" w:cs="Calibri"/>
          <w:color w:val="1A1A1A"/>
        </w:rPr>
        <w:t xml:space="preserve">. Elle reconnaît en revanche une </w:t>
      </w:r>
      <w:r>
        <w:rPr>
          <w:rFonts w:ascii="Calibri" w:eastAsia="Calibri" w:hAnsi="Calibri" w:cs="Calibri"/>
          <w:b/>
          <w:bCs/>
          <w:color w:val="1A1A1A"/>
        </w:rPr>
        <w:t>large marge nationale d’appréciation</w:t>
      </w:r>
      <w:r>
        <w:rPr>
          <w:rFonts w:ascii="Calibri" w:eastAsia="Calibri" w:hAnsi="Calibri" w:cs="Calibri"/>
          <w:color w:val="1A1A1A"/>
        </w:rPr>
        <w:t xml:space="preserve"> (</w:t>
      </w:r>
      <w:r>
        <w:rPr>
          <w:rFonts w:ascii="Calibri" w:eastAsia="Calibri" w:hAnsi="Calibri" w:cs="Calibri"/>
          <w:color w:val="E91E63"/>
        </w:rPr>
        <w:t>CEDH, GC, 5 juin 2015, Lambert et a. c. France, n° 46043/14</w:t>
      </w:r>
      <w:r>
        <w:rPr>
          <w:rFonts w:ascii="Calibri" w:eastAsia="Calibri" w:hAnsi="Calibri" w:cs="Calibri"/>
          <w:color w:val="1A1A1A"/>
        </w:rPr>
        <w:t xml:space="preserve"> ; </w:t>
      </w:r>
      <w:r>
        <w:rPr>
          <w:rFonts w:ascii="Calibri" w:eastAsia="Calibri" w:hAnsi="Calibri" w:cs="Calibri"/>
          <w:color w:val="E91E63"/>
        </w:rPr>
        <w:t>CEDH, 4 octobre 2022, Mortier c. Belgique, n° 78017/17</w:t>
      </w:r>
      <w:r>
        <w:rPr>
          <w:rFonts w:ascii="Calibri" w:eastAsia="Calibri" w:hAnsi="Calibri" w:cs="Calibri"/>
          <w:color w:val="1A1A1A"/>
        </w:rPr>
        <w:t xml:space="preserve"> ; </w:t>
      </w:r>
      <w:r>
        <w:rPr>
          <w:rFonts w:ascii="Calibri" w:eastAsia="Calibri" w:hAnsi="Calibri" w:cs="Calibri"/>
          <w:color w:val="E91E63"/>
        </w:rPr>
        <w:t>CEDH, 13 juin 2024, Dániel Karsai c. Hongrie, n° 32312/23</w:t>
      </w:r>
      <w:r>
        <w:rPr>
          <w:rFonts w:ascii="Calibri" w:eastAsia="Calibri" w:hAnsi="Calibri" w:cs="Calibri"/>
          <w:color w:val="1A1A1A"/>
        </w:rPr>
        <w:t>).</w:t>
      </w:r>
    </w:p>
    <w:p w14:paraId="62B8D2D0"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Le cadre interne</w:t>
      </w:r>
      <w:r>
        <w:rPr>
          <w:rFonts w:ascii="Calibri" w:eastAsia="Calibri" w:hAnsi="Calibri" w:cs="Calibri"/>
          <w:color w:val="1A1A1A"/>
        </w:rPr>
        <w:t xml:space="preserve"> : </w:t>
      </w:r>
      <w:r>
        <w:rPr>
          <w:rFonts w:ascii="Calibri" w:eastAsia="Calibri" w:hAnsi="Calibri" w:cs="Calibri"/>
          <w:color w:val="1E88E5"/>
        </w:rPr>
        <w:t>art. R. 4127-38 CSP</w:t>
      </w:r>
      <w:r>
        <w:rPr>
          <w:rFonts w:ascii="Calibri" w:eastAsia="Calibri" w:hAnsi="Calibri" w:cs="Calibri"/>
          <w:color w:val="1A1A1A"/>
        </w:rPr>
        <w:t xml:space="preserve"> (le médecin n’a pas le droit d’infliger délibérément la mort) ; </w:t>
      </w:r>
      <w:r>
        <w:rPr>
          <w:rFonts w:ascii="Calibri" w:eastAsia="Calibri" w:hAnsi="Calibri" w:cs="Calibri"/>
          <w:color w:val="1E88E5"/>
        </w:rPr>
        <w:t>art. L. 1110-5 CSP</w:t>
      </w:r>
      <w:r>
        <w:rPr>
          <w:rFonts w:ascii="Calibri" w:eastAsia="Calibri" w:hAnsi="Calibri" w:cs="Calibri"/>
          <w:color w:val="1A1A1A"/>
        </w:rPr>
        <w:t xml:space="preserve"> (« toute personne a le droit d’avoir une fin de vie digne et accompagnée du meilleur apaisement possible de la souffrance ») ; </w:t>
      </w:r>
      <w:r>
        <w:rPr>
          <w:rFonts w:ascii="Calibri" w:eastAsia="Calibri" w:hAnsi="Calibri" w:cs="Calibri"/>
          <w:color w:val="1E88E5"/>
        </w:rPr>
        <w:t>art. L. 1110-5-1 CSP</w:t>
      </w:r>
      <w:r>
        <w:rPr>
          <w:rFonts w:ascii="Calibri" w:eastAsia="Calibri" w:hAnsi="Calibri" w:cs="Calibri"/>
          <w:color w:val="1A1A1A"/>
        </w:rPr>
        <w:t xml:space="preserve"> (</w:t>
      </w:r>
      <w:r>
        <w:rPr>
          <w:rFonts w:ascii="Calibri" w:eastAsia="Calibri" w:hAnsi="Calibri" w:cs="Calibri"/>
          <w:b/>
          <w:bCs/>
          <w:color w:val="1A1A1A"/>
        </w:rPr>
        <w:t>obstination déraisonnable</w:t>
      </w:r>
      <w:r>
        <w:rPr>
          <w:rFonts w:ascii="Calibri" w:eastAsia="Calibri" w:hAnsi="Calibri" w:cs="Calibri"/>
          <w:color w:val="1A1A1A"/>
        </w:rPr>
        <w:t xml:space="preserve"> : actes « inutiles, disproportionnés ou lorsqu’ils n’ont d’autre effet que le seul maintien artificiel de la vie »). </w:t>
      </w:r>
      <w:r>
        <w:rPr>
          <w:rFonts w:ascii="Calibri" w:eastAsia="Calibri" w:hAnsi="Calibri" w:cs="Calibri"/>
          <w:color w:val="1E88E5"/>
        </w:rPr>
        <w:t>Loi du 22 avril 2005 dite « Leonetti »</w:t>
      </w:r>
      <w:r>
        <w:rPr>
          <w:rFonts w:ascii="Calibri" w:eastAsia="Calibri" w:hAnsi="Calibri" w:cs="Calibri"/>
          <w:color w:val="1A1A1A"/>
        </w:rPr>
        <w:t xml:space="preserve"> ; </w:t>
      </w:r>
      <w:r>
        <w:rPr>
          <w:rFonts w:ascii="Calibri" w:eastAsia="Calibri" w:hAnsi="Calibri" w:cs="Calibri"/>
          <w:color w:val="1E88E5"/>
        </w:rPr>
        <w:t>loi du 2 février 2016 dite « Claeys-Leonetti »</w:t>
      </w:r>
      <w:r>
        <w:rPr>
          <w:rFonts w:ascii="Calibri" w:eastAsia="Calibri" w:hAnsi="Calibri" w:cs="Calibri"/>
          <w:color w:val="1A1A1A"/>
        </w:rPr>
        <w:t xml:space="preserve"> (nutrition et hydratation artificielles = traitements pouvant être arrêtés ; directives anticipées libres et éclairées, </w:t>
      </w:r>
      <w:r>
        <w:rPr>
          <w:rFonts w:ascii="Calibri" w:eastAsia="Calibri" w:hAnsi="Calibri" w:cs="Calibri"/>
          <w:color w:val="1E88E5"/>
        </w:rPr>
        <w:t>art. L. 1111-11</w:t>
      </w:r>
      <w:r>
        <w:rPr>
          <w:rFonts w:ascii="Calibri" w:eastAsia="Calibri" w:hAnsi="Calibri" w:cs="Calibri"/>
          <w:color w:val="1A1A1A"/>
        </w:rPr>
        <w:t xml:space="preserve"> ; personne de confiance, </w:t>
      </w:r>
      <w:r>
        <w:rPr>
          <w:rFonts w:ascii="Calibri" w:eastAsia="Calibri" w:hAnsi="Calibri" w:cs="Calibri"/>
          <w:color w:val="1E88E5"/>
        </w:rPr>
        <w:t>art. L. 1111-6</w:t>
      </w:r>
      <w:r>
        <w:rPr>
          <w:rFonts w:ascii="Calibri" w:eastAsia="Calibri" w:hAnsi="Calibri" w:cs="Calibri"/>
          <w:color w:val="1A1A1A"/>
        </w:rPr>
        <w:t xml:space="preserve"> ; procédure collégiale, </w:t>
      </w:r>
      <w:r>
        <w:rPr>
          <w:rFonts w:ascii="Calibri" w:eastAsia="Calibri" w:hAnsi="Calibri" w:cs="Calibri"/>
          <w:color w:val="1E88E5"/>
        </w:rPr>
        <w:t>art. L. 1110-5-1</w:t>
      </w:r>
      <w:r>
        <w:rPr>
          <w:rFonts w:ascii="Calibri" w:eastAsia="Calibri" w:hAnsi="Calibri" w:cs="Calibri"/>
          <w:color w:val="1A1A1A"/>
        </w:rPr>
        <w:t xml:space="preserve">). Conformité : </w:t>
      </w:r>
      <w:r>
        <w:rPr>
          <w:rFonts w:ascii="Calibri" w:eastAsia="Calibri" w:hAnsi="Calibri" w:cs="Calibri"/>
          <w:color w:val="E91E63"/>
        </w:rPr>
        <w:t>Cons. const., 2017-632 QPC, 2 juin 2017, UNAFTC</w:t>
      </w:r>
      <w:r>
        <w:rPr>
          <w:rFonts w:ascii="Calibri" w:eastAsia="Calibri" w:hAnsi="Calibri" w:cs="Calibri"/>
          <w:color w:val="1A1A1A"/>
        </w:rPr>
        <w:t xml:space="preserve"> ; </w:t>
      </w:r>
      <w:r>
        <w:rPr>
          <w:rFonts w:ascii="Calibri" w:eastAsia="Calibri" w:hAnsi="Calibri" w:cs="Calibri"/>
          <w:color w:val="E91E63"/>
        </w:rPr>
        <w:t>Cons. const., 2022-1022 QPC, 10 novembre 2022, Mme Zohra M. et a.</w:t>
      </w:r>
      <w:r>
        <w:rPr>
          <w:rFonts w:ascii="Calibri" w:eastAsia="Calibri" w:hAnsi="Calibri" w:cs="Calibri"/>
          <w:color w:val="1A1A1A"/>
        </w:rPr>
        <w:t xml:space="preserve"> (possibilité pour le médecin de passer outre des directives manifestement inappropriées). Contentieux : </w:t>
      </w:r>
      <w:r>
        <w:rPr>
          <w:rFonts w:ascii="Calibri" w:eastAsia="Calibri" w:hAnsi="Calibri" w:cs="Calibri"/>
          <w:color w:val="E91E63"/>
        </w:rPr>
        <w:t>CE, réf., 24 avril 2019, n° 428117</w:t>
      </w:r>
      <w:r>
        <w:rPr>
          <w:rFonts w:ascii="Calibri" w:eastAsia="Calibri" w:hAnsi="Calibri" w:cs="Calibri"/>
          <w:color w:val="1A1A1A"/>
        </w:rPr>
        <w:t xml:space="preserve"> (Lambert) ; </w:t>
      </w:r>
      <w:r>
        <w:rPr>
          <w:rFonts w:ascii="Calibri" w:eastAsia="Calibri" w:hAnsi="Calibri" w:cs="Calibri"/>
          <w:color w:val="E91E63"/>
        </w:rPr>
        <w:t>CE, ord., 19 juin 2024, n° 494976</w:t>
      </w:r>
      <w:r>
        <w:rPr>
          <w:rFonts w:ascii="Calibri" w:eastAsia="Calibri" w:hAnsi="Calibri" w:cs="Calibri"/>
          <w:color w:val="1A1A1A"/>
        </w:rPr>
        <w:t xml:space="preserve"> ; </w:t>
      </w:r>
      <w:r>
        <w:rPr>
          <w:rFonts w:ascii="Calibri" w:eastAsia="Calibri" w:hAnsi="Calibri" w:cs="Calibri"/>
          <w:color w:val="E91E63"/>
        </w:rPr>
        <w:t>CE, réf., 10 janvier 2024, n° 490403</w:t>
      </w:r>
      <w:r>
        <w:rPr>
          <w:rFonts w:ascii="Calibri" w:eastAsia="Calibri" w:hAnsi="Calibri" w:cs="Calibri"/>
          <w:color w:val="1A1A1A"/>
        </w:rPr>
        <w:t xml:space="preserve"> ; </w:t>
      </w:r>
      <w:r>
        <w:rPr>
          <w:rFonts w:ascii="Calibri" w:eastAsia="Calibri" w:hAnsi="Calibri" w:cs="Calibri"/>
          <w:color w:val="E91E63"/>
        </w:rPr>
        <w:t>CE, ord., 24 avril 2023, n° 469669</w:t>
      </w:r>
      <w:r>
        <w:rPr>
          <w:rFonts w:ascii="Calibri" w:eastAsia="Calibri" w:hAnsi="Calibri" w:cs="Calibri"/>
          <w:color w:val="1A1A1A"/>
        </w:rPr>
        <w:t xml:space="preserve"> (application aux enfants, alors que l’</w:t>
      </w:r>
      <w:r>
        <w:rPr>
          <w:rFonts w:ascii="Calibri" w:eastAsia="Calibri" w:hAnsi="Calibri" w:cs="Calibri"/>
          <w:color w:val="2E7D32"/>
        </w:rPr>
        <w:t>Observation générale n° 36</w:t>
      </w:r>
      <w:r>
        <w:rPr>
          <w:rFonts w:ascii="Calibri" w:eastAsia="Calibri" w:hAnsi="Calibri" w:cs="Calibri"/>
          <w:color w:val="1A1A1A"/>
        </w:rPr>
        <w:t xml:space="preserve"> limite son interprétation aux patients adultes).</w:t>
      </w:r>
    </w:p>
    <w:p w14:paraId="677C5EE9"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sidRPr="004755EF">
        <w:rPr>
          <w:rFonts w:ascii="Calibri" w:eastAsia="Calibri" w:hAnsi="Calibri" w:cs="Calibri"/>
          <w:b/>
          <w:bCs/>
          <w:color w:val="1A1A1A"/>
          <w:highlight w:val="yellow"/>
        </w:rPr>
        <w:t>Actualité</w:t>
      </w:r>
      <w:r>
        <w:rPr>
          <w:rFonts w:ascii="Calibri" w:eastAsia="Calibri" w:hAnsi="Calibri" w:cs="Calibri"/>
          <w:b/>
          <w:bCs/>
          <w:color w:val="1A1A1A"/>
        </w:rPr>
        <w:t xml:space="preserve"> — la consécration d’un droit à l’aide à mourir</w:t>
      </w:r>
      <w:r>
        <w:rPr>
          <w:rFonts w:ascii="Calibri" w:eastAsia="Calibri" w:hAnsi="Calibri" w:cs="Calibri"/>
          <w:color w:val="1A1A1A"/>
        </w:rPr>
        <w:t xml:space="preserve"> : le volet « soins palliatifs » a abouti à la </w:t>
      </w:r>
      <w:r>
        <w:rPr>
          <w:rFonts w:ascii="Calibri" w:eastAsia="Calibri" w:hAnsi="Calibri" w:cs="Calibri"/>
          <w:color w:val="1E88E5"/>
        </w:rPr>
        <w:t>loi du 26 mai 2026 visant à garantir l’égal accès de tous à l’accompagnement et aux soins palliatifs</w:t>
      </w:r>
      <w:r>
        <w:rPr>
          <w:rFonts w:ascii="Calibri" w:eastAsia="Calibri" w:hAnsi="Calibri" w:cs="Calibri"/>
          <w:color w:val="1A1A1A"/>
        </w:rPr>
        <w:t xml:space="preserve"> ; le texte relatif à l’aide à mourir a été </w:t>
      </w:r>
      <w:r>
        <w:rPr>
          <w:rFonts w:ascii="Calibri" w:eastAsia="Calibri" w:hAnsi="Calibri" w:cs="Calibri"/>
          <w:b/>
          <w:bCs/>
          <w:color w:val="1A1A1A"/>
        </w:rPr>
        <w:t>définitivement adopté par l’Assemblée nationale le 15 juillet 2026</w:t>
      </w:r>
      <w:r>
        <w:rPr>
          <w:rFonts w:ascii="Calibri" w:eastAsia="Calibri" w:hAnsi="Calibri" w:cs="Calibri"/>
          <w:color w:val="1A1A1A"/>
        </w:rPr>
        <w:t xml:space="preserve">. Le dispositif consacre un droit à l’aide à mourir, défini comme la possibilité pour une personne qui en a exprimé la demande de recourir à une substance létale afin de se l’administrer elle-même ou, lorsqu’elle n’est pas physiquement en mesure d’y procéder, de se la faire administrer par un médecin ou un infirmier. </w:t>
      </w:r>
      <w:r>
        <w:rPr>
          <w:rFonts w:ascii="Calibri" w:eastAsia="Calibri" w:hAnsi="Calibri" w:cs="Calibri"/>
          <w:b/>
          <w:bCs/>
          <w:color w:val="1A1A1A"/>
        </w:rPr>
        <w:t>Cinq conditions cumulatives</w:t>
      </w:r>
      <w:r>
        <w:rPr>
          <w:rFonts w:ascii="Calibri" w:eastAsia="Calibri" w:hAnsi="Calibri" w:cs="Calibri"/>
          <w:color w:val="1A1A1A"/>
        </w:rPr>
        <w:t xml:space="preserve"> : être majeur ; être de nationalité française ou résider de façon stable et régulière en France ; être atteint d’une affection grave et incurable engageant le pronostic vital en phase avancée ou terminale ; présenter une souffrance liée à cette affection ; être apte à manifester une volonté libre et éclairée.</w:t>
      </w:r>
    </w:p>
    <w:p w14:paraId="689E0D16" w14:textId="77777777" w:rsidR="00C31BF7" w:rsidRPr="00C31BF7" w:rsidRDefault="00000000">
      <w:pPr>
        <w:pStyle w:val="Paragraphedeliste"/>
        <w:numPr>
          <w:ilvl w:val="0"/>
          <w:numId w:val="2"/>
        </w:numPr>
        <w:spacing w:after="70" w:line="264" w:lineRule="auto"/>
        <w:jc w:val="both"/>
      </w:pPr>
      <w:r>
        <w:rPr>
          <w:rFonts w:ascii="Calibri" w:eastAsia="Calibri" w:hAnsi="Calibri" w:cs="Calibri"/>
          <w:b/>
          <w:bCs/>
          <w:color w:val="1A1A1A"/>
        </w:rPr>
        <w:t>Le contrôle du Conseil constitutionnel</w:t>
      </w:r>
      <w:r>
        <w:rPr>
          <w:rFonts w:ascii="Calibri" w:eastAsia="Calibri" w:hAnsi="Calibri" w:cs="Calibri"/>
          <w:color w:val="1A1A1A"/>
        </w:rPr>
        <w:t xml:space="preserve"> : </w:t>
      </w:r>
      <w:r>
        <w:rPr>
          <w:rFonts w:ascii="Calibri" w:eastAsia="Calibri" w:hAnsi="Calibri" w:cs="Calibri"/>
          <w:color w:val="E91E63"/>
        </w:rPr>
        <w:t>Cons. const., déc. n° 2026-7 RIP, 17 juin 2026</w:t>
      </w:r>
      <w:r>
        <w:rPr>
          <w:rFonts w:ascii="Calibri" w:eastAsia="Calibri" w:hAnsi="Calibri" w:cs="Calibri"/>
          <w:color w:val="1A1A1A"/>
        </w:rPr>
        <w:t xml:space="preserve"> — les questions éthiques relatives à la fin de vie constituent des questions de société ne relevant pas des objets pouvant être soumis à un référendum d’initiative partagée sur le fondement de l’</w:t>
      </w:r>
      <w:r>
        <w:rPr>
          <w:rFonts w:ascii="Calibri" w:eastAsia="Calibri" w:hAnsi="Calibri" w:cs="Calibri"/>
          <w:color w:val="1E88E5"/>
        </w:rPr>
        <w:t>art. 11 C.</w:t>
      </w:r>
      <w:r>
        <w:rPr>
          <w:rFonts w:ascii="Calibri" w:eastAsia="Calibri" w:hAnsi="Calibri" w:cs="Calibri"/>
          <w:color w:val="1A1A1A"/>
        </w:rPr>
        <w:t xml:space="preserve"> ★ </w:t>
      </w:r>
      <w:r>
        <w:rPr>
          <w:rFonts w:ascii="Calibri" w:eastAsia="Calibri" w:hAnsi="Calibri" w:cs="Calibri"/>
          <w:color w:val="E91E63"/>
        </w:rPr>
        <w:t>Cons. const., déc. n° 2026-910 DC, 14 août 2026, Loi relative au droit à l’aide à mourir</w:t>
      </w:r>
      <w:r>
        <w:rPr>
          <w:rFonts w:ascii="Calibri" w:eastAsia="Calibri" w:hAnsi="Calibri" w:cs="Calibri"/>
          <w:color w:val="1A1A1A"/>
        </w:rPr>
        <w:t xml:space="preserve"> : conformité des dispositions déférées, assortie de </w:t>
      </w:r>
      <w:r>
        <w:rPr>
          <w:rFonts w:ascii="Calibri" w:eastAsia="Calibri" w:hAnsi="Calibri" w:cs="Calibri"/>
          <w:b/>
          <w:bCs/>
          <w:color w:val="1A1A1A"/>
        </w:rPr>
        <w:t>trois réserves d’interprétation</w:t>
      </w:r>
      <w:r>
        <w:rPr>
          <w:rFonts w:ascii="Calibri" w:eastAsia="Calibri" w:hAnsi="Calibri" w:cs="Calibri"/>
          <w:color w:val="1A1A1A"/>
        </w:rPr>
        <w:t xml:space="preserve"> — </w:t>
      </w:r>
    </w:p>
    <w:p w14:paraId="61E7E19C" w14:textId="77777777" w:rsidR="00C31BF7" w:rsidRDefault="00000000" w:rsidP="00C31BF7">
      <w:pPr>
        <w:pStyle w:val="Paragraphedeliste"/>
        <w:spacing w:after="70" w:line="264" w:lineRule="auto"/>
        <w:ind w:left="340"/>
        <w:jc w:val="both"/>
        <w:rPr>
          <w:rFonts w:ascii="Calibri" w:eastAsia="Calibri" w:hAnsi="Calibri" w:cs="Calibri"/>
          <w:color w:val="1A1A1A"/>
        </w:rPr>
      </w:pPr>
      <w:r>
        <w:rPr>
          <w:rFonts w:ascii="Calibri" w:eastAsia="Calibri" w:hAnsi="Calibri" w:cs="Calibri"/>
          <w:color w:val="1A1A1A"/>
        </w:rPr>
        <w:t xml:space="preserve">(i) pour les majeurs protégés, les observations de la personne chargée de leur protection doivent être effectivement prises en compte par le médecin ; </w:t>
      </w:r>
    </w:p>
    <w:p w14:paraId="65C7A199" w14:textId="77777777" w:rsidR="00C31BF7" w:rsidRDefault="00000000" w:rsidP="00C31BF7">
      <w:pPr>
        <w:pStyle w:val="Paragraphedeliste"/>
        <w:spacing w:after="70" w:line="264" w:lineRule="auto"/>
        <w:ind w:left="340"/>
        <w:jc w:val="both"/>
        <w:rPr>
          <w:rFonts w:ascii="Calibri" w:eastAsia="Calibri" w:hAnsi="Calibri" w:cs="Calibri"/>
          <w:color w:val="1A1A1A"/>
        </w:rPr>
      </w:pPr>
      <w:r>
        <w:rPr>
          <w:rFonts w:ascii="Calibri" w:eastAsia="Calibri" w:hAnsi="Calibri" w:cs="Calibri"/>
          <w:color w:val="1A1A1A"/>
        </w:rPr>
        <w:t xml:space="preserve">(ii) la liberté de conscience s’étend aux </w:t>
      </w:r>
      <w:r>
        <w:rPr>
          <w:rFonts w:ascii="Calibri" w:eastAsia="Calibri" w:hAnsi="Calibri" w:cs="Calibri"/>
          <w:b/>
          <w:bCs/>
          <w:color w:val="1A1A1A"/>
        </w:rPr>
        <w:t>pharmaciens</w:t>
      </w:r>
      <w:r>
        <w:rPr>
          <w:rFonts w:ascii="Calibri" w:eastAsia="Calibri" w:hAnsi="Calibri" w:cs="Calibri"/>
          <w:color w:val="1A1A1A"/>
        </w:rPr>
        <w:t xml:space="preserve"> participant à la préparation ou à la délivrance de la substance létale, qui peuvent refuser de participer ; </w:t>
      </w:r>
    </w:p>
    <w:p w14:paraId="32E741E5" w14:textId="77777777" w:rsidR="00C31BF7" w:rsidRDefault="00000000" w:rsidP="00C31BF7">
      <w:pPr>
        <w:pStyle w:val="Paragraphedeliste"/>
        <w:spacing w:after="70" w:line="264" w:lineRule="auto"/>
        <w:ind w:left="340"/>
        <w:jc w:val="both"/>
        <w:rPr>
          <w:rFonts w:ascii="Calibri" w:eastAsia="Calibri" w:hAnsi="Calibri" w:cs="Calibri"/>
          <w:color w:val="1A1A1A"/>
        </w:rPr>
      </w:pPr>
      <w:r>
        <w:rPr>
          <w:rFonts w:ascii="Calibri" w:eastAsia="Calibri" w:hAnsi="Calibri" w:cs="Calibri"/>
          <w:color w:val="1A1A1A"/>
        </w:rPr>
        <w:t xml:space="preserve">(iii) le responsable d’un </w:t>
      </w:r>
      <w:r>
        <w:rPr>
          <w:rFonts w:ascii="Calibri" w:eastAsia="Calibri" w:hAnsi="Calibri" w:cs="Calibri"/>
          <w:b/>
          <w:bCs/>
          <w:color w:val="1A1A1A"/>
        </w:rPr>
        <w:t>établissement privé</w:t>
      </w:r>
      <w:r>
        <w:rPr>
          <w:rFonts w:ascii="Calibri" w:eastAsia="Calibri" w:hAnsi="Calibri" w:cs="Calibri"/>
          <w:color w:val="1A1A1A"/>
        </w:rPr>
        <w:t xml:space="preserve"> peut, sous conditions, refuser que l’aide à mourir y soit pratiquée lorsqu’elle est incompatible avec ses missions ou son projet, sous réserve que d’autres établissements soient en mesure de répondre aux besoins locaux. </w:t>
      </w:r>
    </w:p>
    <w:p w14:paraId="29521053" w14:textId="368F4F70" w:rsidR="004A4E1F" w:rsidRDefault="00000000" w:rsidP="00C31BF7">
      <w:pPr>
        <w:pStyle w:val="Paragraphedeliste"/>
        <w:spacing w:after="70" w:line="264" w:lineRule="auto"/>
        <w:ind w:left="340"/>
        <w:jc w:val="both"/>
      </w:pPr>
      <w:r>
        <w:rPr>
          <w:rFonts w:ascii="Calibri" w:eastAsia="Calibri" w:hAnsi="Calibri" w:cs="Calibri"/>
          <w:b/>
          <w:bCs/>
          <w:color w:val="1A1A1A"/>
        </w:rPr>
        <w:t>Portée exacte</w:t>
      </w:r>
      <w:r>
        <w:rPr>
          <w:rFonts w:ascii="Calibri" w:eastAsia="Calibri" w:hAnsi="Calibri" w:cs="Calibri"/>
          <w:color w:val="1A1A1A"/>
        </w:rPr>
        <w:t xml:space="preserve"> : le Conseil </w:t>
      </w:r>
      <w:r>
        <w:rPr>
          <w:rFonts w:ascii="Calibri" w:eastAsia="Calibri" w:hAnsi="Calibri" w:cs="Calibri"/>
          <w:b/>
          <w:bCs/>
          <w:color w:val="1A1A1A"/>
        </w:rPr>
        <w:t>ne consacre pas un droit constitutionnel à mourir</w:t>
      </w:r>
      <w:r>
        <w:rPr>
          <w:rFonts w:ascii="Calibri" w:eastAsia="Calibri" w:hAnsi="Calibri" w:cs="Calibri"/>
          <w:color w:val="1A1A1A"/>
        </w:rPr>
        <w:t xml:space="preserve"> ; il valide le choix du législateur d’organiser un droit légal à l’aide à mourir et vérifie que les conditions et garanties satisfont aux exigences constitutionnelles.</w:t>
      </w:r>
    </w:p>
    <w:p w14:paraId="4C490769" w14:textId="77777777" w:rsidR="004A4E1F" w:rsidRDefault="00000000">
      <w:pPr>
        <w:pStyle w:val="Titre2"/>
        <w:spacing w:before="280" w:after="120"/>
      </w:pPr>
      <w:r>
        <w:rPr>
          <w:rFonts w:ascii="Calibri" w:eastAsia="Calibri" w:hAnsi="Calibri" w:cs="Calibri"/>
          <w:b/>
          <w:bCs/>
          <w:color w:val="1A1A1A"/>
          <w:sz w:val="24"/>
          <w:szCs w:val="24"/>
        </w:rPr>
        <w:lastRenderedPageBreak/>
        <w:t>5. Dispositif « Grand Oral »</w:t>
      </w:r>
    </w:p>
    <w:p w14:paraId="28AE1705" w14:textId="77777777" w:rsidR="004A4E1F" w:rsidRDefault="00000000">
      <w:pPr>
        <w:pStyle w:val="Titre3"/>
        <w:spacing w:before="200" w:after="90"/>
      </w:pPr>
      <w:r>
        <w:rPr>
          <w:rFonts w:ascii="Calibri" w:eastAsia="Calibri" w:hAnsi="Calibri" w:cs="Calibri"/>
          <w:b/>
          <w:bCs/>
          <w:i/>
          <w:iCs/>
          <w:color w:val="5A5A5A"/>
          <w:sz w:val="21"/>
          <w:szCs w:val="21"/>
        </w:rPr>
        <w:t>5.1. Trois relances / questions pièges</w:t>
      </w:r>
    </w:p>
    <w:p w14:paraId="39B5E66B"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 Le droit à la vie est-il absolu ? »</w:t>
      </w:r>
      <w:r>
        <w:rPr>
          <w:rFonts w:ascii="Calibri" w:eastAsia="Calibri" w:hAnsi="Calibri" w:cs="Calibri"/>
          <w:color w:val="1A1A1A"/>
        </w:rPr>
        <w:t xml:space="preserve"> — Non. Trois séries de tempéraments : la réserve des </w:t>
      </w:r>
      <w:r>
        <w:rPr>
          <w:rFonts w:ascii="Calibri" w:eastAsia="Calibri" w:hAnsi="Calibri" w:cs="Calibri"/>
          <w:b/>
          <w:bCs/>
          <w:color w:val="1A1A1A"/>
        </w:rPr>
        <w:t>actes licites de guerre</w:t>
      </w:r>
      <w:r>
        <w:rPr>
          <w:rFonts w:ascii="Calibri" w:eastAsia="Calibri" w:hAnsi="Calibri" w:cs="Calibri"/>
          <w:color w:val="1A1A1A"/>
        </w:rPr>
        <w:t xml:space="preserve"> (</w:t>
      </w:r>
      <w:r>
        <w:rPr>
          <w:rFonts w:ascii="Calibri" w:eastAsia="Calibri" w:hAnsi="Calibri" w:cs="Calibri"/>
          <w:color w:val="1E88E5"/>
        </w:rPr>
        <w:t>art. 15</w:t>
      </w:r>
      <w:r>
        <w:rPr>
          <w:rFonts w:ascii="Calibri" w:eastAsia="Calibri" w:hAnsi="Calibri" w:cs="Calibri"/>
          <w:color w:val="1A1A1A"/>
        </w:rPr>
        <w:t>) ; l’usage de la force absolument nécessaire (</w:t>
      </w:r>
      <w:r>
        <w:rPr>
          <w:rFonts w:ascii="Calibri" w:eastAsia="Calibri" w:hAnsi="Calibri" w:cs="Calibri"/>
          <w:color w:val="1E88E5"/>
        </w:rPr>
        <w:t>art. L. 435-1 CSI</w:t>
      </w:r>
      <w:r>
        <w:rPr>
          <w:rFonts w:ascii="Calibri" w:eastAsia="Calibri" w:hAnsi="Calibri" w:cs="Calibri"/>
          <w:color w:val="1A1A1A"/>
        </w:rPr>
        <w:t xml:space="preserve">) ; les marges d’appréciation sur le début et la fin de la vie. Ce n’est pas contradictoire avec son caractère </w:t>
      </w:r>
      <w:r>
        <w:rPr>
          <w:rFonts w:ascii="Calibri" w:eastAsia="Calibri" w:hAnsi="Calibri" w:cs="Calibri"/>
          <w:b/>
          <w:bCs/>
          <w:color w:val="1A1A1A"/>
        </w:rPr>
        <w:t>indérogeable</w:t>
      </w:r>
      <w:r>
        <w:rPr>
          <w:rFonts w:ascii="Calibri" w:eastAsia="Calibri" w:hAnsi="Calibri" w:cs="Calibri"/>
          <w:color w:val="1A1A1A"/>
        </w:rPr>
        <w:t>, qui vise la dérogation en période de crise, non l’absence de limites.</w:t>
      </w:r>
    </w:p>
    <w:p w14:paraId="12557B47"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 La loi de 2026 crée-t-elle un droit à mourir ? »</w:t>
      </w:r>
      <w:r>
        <w:rPr>
          <w:rFonts w:ascii="Calibri" w:eastAsia="Calibri" w:hAnsi="Calibri" w:cs="Calibri"/>
          <w:color w:val="1A1A1A"/>
        </w:rPr>
        <w:t xml:space="preserve"> — Non, et c’est la nuance décisive : ni la Convention ni la Constitution ne consacrent un droit général à mourir. Le législateur a choisi d’organiser un droit </w:t>
      </w:r>
      <w:r>
        <w:rPr>
          <w:rFonts w:ascii="Calibri" w:eastAsia="Calibri" w:hAnsi="Calibri" w:cs="Calibri"/>
          <w:b/>
          <w:bCs/>
          <w:color w:val="1A1A1A"/>
        </w:rPr>
        <w:t>légal</w:t>
      </w:r>
      <w:r>
        <w:rPr>
          <w:rFonts w:ascii="Calibri" w:eastAsia="Calibri" w:hAnsi="Calibri" w:cs="Calibri"/>
          <w:color w:val="1A1A1A"/>
        </w:rPr>
        <w:t xml:space="preserve"> à l’aide à mourir, que le Conseil constitutionnel valide sous trois réserves. C’est une illustration de la marge d’appréciation, pas d’une obligation.</w:t>
      </w:r>
    </w:p>
    <w:p w14:paraId="7467158D" w14:textId="77777777" w:rsidR="004A4E1F" w:rsidRPr="005E0EDC" w:rsidRDefault="00000000">
      <w:pPr>
        <w:pStyle w:val="Paragraphedeliste"/>
        <w:numPr>
          <w:ilvl w:val="0"/>
          <w:numId w:val="2"/>
        </w:numPr>
        <w:spacing w:after="70" w:line="264" w:lineRule="auto"/>
        <w:jc w:val="both"/>
        <w:rPr>
          <w:color w:val="EE0000"/>
        </w:rPr>
      </w:pPr>
      <w:r>
        <w:rPr>
          <w:rFonts w:ascii="Calibri" w:eastAsia="Calibri" w:hAnsi="Calibri" w:cs="Calibri"/>
          <w:b/>
          <w:bCs/>
          <w:color w:val="1A1A1A"/>
        </w:rPr>
        <w:t>« L’État peut-il être responsable d’une mort qu’il n’a pas causée ? »</w:t>
      </w:r>
      <w:r>
        <w:rPr>
          <w:rFonts w:ascii="Calibri" w:eastAsia="Calibri" w:hAnsi="Calibri" w:cs="Calibri"/>
          <w:color w:val="1A1A1A"/>
        </w:rPr>
        <w:t xml:space="preserve"> — Oui, par ses </w:t>
      </w:r>
      <w:r>
        <w:rPr>
          <w:rFonts w:ascii="Calibri" w:eastAsia="Calibri" w:hAnsi="Calibri" w:cs="Calibri"/>
          <w:b/>
          <w:bCs/>
          <w:color w:val="1A1A1A"/>
        </w:rPr>
        <w:t>obligations positives</w:t>
      </w:r>
      <w:r>
        <w:rPr>
          <w:rFonts w:ascii="Calibri" w:eastAsia="Calibri" w:hAnsi="Calibri" w:cs="Calibri"/>
          <w:color w:val="1A1A1A"/>
        </w:rPr>
        <w:t xml:space="preserve"> : s’il savait ou aurait dû savoir l’existence d’un risque réel et immédiat (</w:t>
      </w:r>
      <w:r>
        <w:rPr>
          <w:rFonts w:ascii="Calibri" w:eastAsia="Calibri" w:hAnsi="Calibri" w:cs="Calibri"/>
          <w:color w:val="E91E63"/>
        </w:rPr>
        <w:t>Osman</w:t>
      </w:r>
      <w:r>
        <w:rPr>
          <w:rFonts w:ascii="Calibri" w:eastAsia="Calibri" w:hAnsi="Calibri" w:cs="Calibri"/>
          <w:color w:val="1A1A1A"/>
        </w:rPr>
        <w:t>), y compris entre particuliers (</w:t>
      </w:r>
      <w:r>
        <w:rPr>
          <w:rFonts w:ascii="Calibri" w:eastAsia="Calibri" w:hAnsi="Calibri" w:cs="Calibri"/>
          <w:color w:val="E91E63"/>
        </w:rPr>
        <w:t>Y c. Bulgarie</w:t>
      </w:r>
      <w:r>
        <w:rPr>
          <w:rFonts w:ascii="Calibri" w:eastAsia="Calibri" w:hAnsi="Calibri" w:cs="Calibri"/>
          <w:color w:val="1A1A1A"/>
        </w:rPr>
        <w:t>), face aux aléas (</w:t>
      </w:r>
      <w:r>
        <w:rPr>
          <w:rFonts w:ascii="Calibri" w:eastAsia="Calibri" w:hAnsi="Calibri" w:cs="Calibri"/>
          <w:color w:val="E91E63"/>
        </w:rPr>
        <w:t>Öneryıldız</w:t>
      </w:r>
      <w:r>
        <w:rPr>
          <w:rFonts w:ascii="Calibri" w:eastAsia="Calibri" w:hAnsi="Calibri" w:cs="Calibri"/>
          <w:color w:val="1A1A1A"/>
        </w:rPr>
        <w:t>) ou à une pollution grave (</w:t>
      </w:r>
      <w:r>
        <w:rPr>
          <w:rFonts w:ascii="Calibri" w:eastAsia="Calibri" w:hAnsi="Calibri" w:cs="Calibri"/>
          <w:color w:val="E91E63"/>
        </w:rPr>
        <w:t>Cannavacciuolo</w:t>
      </w:r>
      <w:r>
        <w:rPr>
          <w:rFonts w:ascii="Calibri" w:eastAsia="Calibri" w:hAnsi="Calibri" w:cs="Calibri"/>
          <w:color w:val="1A1A1A"/>
        </w:rPr>
        <w:t xml:space="preserve">). </w:t>
      </w:r>
      <w:r w:rsidRPr="005E0EDC">
        <w:rPr>
          <w:rFonts w:ascii="Calibri" w:eastAsia="Calibri" w:hAnsi="Calibri" w:cs="Calibri"/>
          <w:b/>
          <w:bCs/>
          <w:color w:val="EE0000"/>
        </w:rPr>
        <w:t>Limite</w:t>
      </w:r>
      <w:r w:rsidRPr="005E0EDC">
        <w:rPr>
          <w:rFonts w:ascii="Calibri" w:eastAsia="Calibri" w:hAnsi="Calibri" w:cs="Calibri"/>
          <w:color w:val="EE0000"/>
        </w:rPr>
        <w:t xml:space="preserve"> : pas de fardeau déraisonnable ou excessif.</w:t>
      </w:r>
    </w:p>
    <w:p w14:paraId="31B2BC5B" w14:textId="77777777" w:rsidR="004A4E1F" w:rsidRDefault="00000000">
      <w:pPr>
        <w:pStyle w:val="Titre3"/>
        <w:spacing w:before="200" w:after="90"/>
      </w:pPr>
      <w:r>
        <w:rPr>
          <w:rFonts w:ascii="Calibri" w:eastAsia="Calibri" w:hAnsi="Calibri" w:cs="Calibri"/>
          <w:b/>
          <w:bCs/>
          <w:i/>
          <w:iCs/>
          <w:color w:val="5A5A5A"/>
          <w:sz w:val="21"/>
          <w:szCs w:val="21"/>
        </w:rPr>
        <w:t>5.2. Sujets d’exposé rattachables</w:t>
      </w:r>
    </w:p>
    <w:p w14:paraId="30F0CBBF"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La fin de vie » (sujet de dissertation expressément proposé par le fascicule).</w:t>
      </w:r>
    </w:p>
    <w:p w14:paraId="20C52C50"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Le droit à la vie est-il un droit absolu ? » ; « L’usage de la force par les agents de l’État ».</w:t>
      </w:r>
    </w:p>
    <w:p w14:paraId="4741CF4E"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Le droit à la vie et l’environnement » ; « Le début de la vie en droit ».</w:t>
      </w:r>
    </w:p>
    <w:p w14:paraId="42BABFCC"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Les obligations positives de l’État en matière de droit à la vie » ; « L’abolition de la peine de mort ».</w:t>
      </w:r>
    </w:p>
    <w:p w14:paraId="115CD47F" w14:textId="77777777" w:rsidR="004A4E1F" w:rsidRDefault="00000000">
      <w:pPr>
        <w:pStyle w:val="Titre3"/>
        <w:spacing w:before="200" w:after="90"/>
      </w:pPr>
      <w:r>
        <w:rPr>
          <w:rFonts w:ascii="Calibri" w:eastAsia="Calibri" w:hAnsi="Calibri" w:cs="Calibri"/>
          <w:b/>
          <w:bCs/>
          <w:i/>
          <w:iCs/>
          <w:color w:val="5A5A5A"/>
          <w:sz w:val="21"/>
          <w:szCs w:val="21"/>
        </w:rPr>
        <w:t>5.3. Angles morts — en question / réponse</w:t>
      </w:r>
    </w:p>
    <w:p w14:paraId="3150C861"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Q. L’embryon est-il titulaire du droit à la vie au sens de la Convention ?</w:t>
      </w:r>
      <w:r>
        <w:rPr>
          <w:rFonts w:ascii="Calibri" w:eastAsia="Calibri" w:hAnsi="Calibri" w:cs="Calibri"/>
          <w:color w:val="1A1A1A"/>
        </w:rPr>
        <w:t xml:space="preserve"> — Non (</w:t>
      </w:r>
      <w:r>
        <w:rPr>
          <w:rFonts w:ascii="Calibri" w:eastAsia="Calibri" w:hAnsi="Calibri" w:cs="Calibri"/>
          <w:color w:val="E91E63"/>
        </w:rPr>
        <w:t>Vo c. France</w:t>
      </w:r>
      <w:r>
        <w:rPr>
          <w:rFonts w:ascii="Calibri" w:eastAsia="Calibri" w:hAnsi="Calibri" w:cs="Calibri"/>
          <w:color w:val="1A1A1A"/>
        </w:rPr>
        <w:t xml:space="preserve"> ; </w:t>
      </w:r>
      <w:r>
        <w:rPr>
          <w:rFonts w:ascii="Calibri" w:eastAsia="Calibri" w:hAnsi="Calibri" w:cs="Calibri"/>
          <w:color w:val="E91E63"/>
        </w:rPr>
        <w:t>Evans</w:t>
      </w:r>
      <w:r>
        <w:rPr>
          <w:rFonts w:ascii="Calibri" w:eastAsia="Calibri" w:hAnsi="Calibri" w:cs="Calibri"/>
          <w:color w:val="1A1A1A"/>
        </w:rPr>
        <w:t xml:space="preserve">). La détermination du début de la vie relève de la </w:t>
      </w:r>
      <w:r>
        <w:rPr>
          <w:rFonts w:ascii="Calibri" w:eastAsia="Calibri" w:hAnsi="Calibri" w:cs="Calibri"/>
          <w:b/>
          <w:bCs/>
          <w:color w:val="1A1A1A"/>
        </w:rPr>
        <w:t>marge nationale d’appréciation</w:t>
      </w:r>
      <w:r>
        <w:rPr>
          <w:rFonts w:ascii="Calibri" w:eastAsia="Calibri" w:hAnsi="Calibri" w:cs="Calibri"/>
          <w:color w:val="1A1A1A"/>
        </w:rPr>
        <w:t xml:space="preserve">. La Cour interaméricaine retient une protection </w:t>
      </w:r>
      <w:r>
        <w:rPr>
          <w:rFonts w:ascii="Calibri" w:eastAsia="Calibri" w:hAnsi="Calibri" w:cs="Calibri"/>
          <w:b/>
          <w:bCs/>
          <w:color w:val="1A1A1A"/>
        </w:rPr>
        <w:t>graduelle et progressive</w:t>
      </w:r>
      <w:r>
        <w:rPr>
          <w:rFonts w:ascii="Calibri" w:eastAsia="Calibri" w:hAnsi="Calibri" w:cs="Calibri"/>
          <w:color w:val="1A1A1A"/>
        </w:rPr>
        <w:t xml:space="preserve"> à partir de l’implantation (</w:t>
      </w:r>
      <w:r>
        <w:rPr>
          <w:rFonts w:ascii="Calibri" w:eastAsia="Calibri" w:hAnsi="Calibri" w:cs="Calibri"/>
          <w:color w:val="E91E63"/>
        </w:rPr>
        <w:t>Artavia Murillo</w:t>
      </w:r>
      <w:r>
        <w:rPr>
          <w:rFonts w:ascii="Calibri" w:eastAsia="Calibri" w:hAnsi="Calibri" w:cs="Calibri"/>
          <w:color w:val="1A1A1A"/>
        </w:rPr>
        <w:t>).</w:t>
      </w:r>
    </w:p>
    <w:p w14:paraId="03240C94"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Q. Qui n’a pas ratifié le Protocole n° 13 ?</w:t>
      </w:r>
      <w:r>
        <w:rPr>
          <w:rFonts w:ascii="Calibri" w:eastAsia="Calibri" w:hAnsi="Calibri" w:cs="Calibri"/>
          <w:color w:val="1A1A1A"/>
        </w:rPr>
        <w:t xml:space="preserve"> — L’</w:t>
      </w:r>
      <w:r>
        <w:rPr>
          <w:rFonts w:ascii="Calibri" w:eastAsia="Calibri" w:hAnsi="Calibri" w:cs="Calibri"/>
          <w:b/>
          <w:bCs/>
          <w:color w:val="1A1A1A"/>
        </w:rPr>
        <w:t>Azerbaïdjan</w:t>
      </w:r>
      <w:r>
        <w:rPr>
          <w:rFonts w:ascii="Calibri" w:eastAsia="Calibri" w:hAnsi="Calibri" w:cs="Calibri"/>
          <w:color w:val="1A1A1A"/>
        </w:rPr>
        <w:t>. C’est le seul État du Conseil de l’Europe, ce qui fonde la force du consensus européen sur l’abolition.</w:t>
      </w:r>
    </w:p>
    <w:p w14:paraId="19034D5B"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 xml:space="preserve">Q. Contre quel État l’arrêt </w:t>
      </w:r>
      <w:r>
        <w:rPr>
          <w:rFonts w:ascii="Calibri" w:eastAsia="Calibri" w:hAnsi="Calibri" w:cs="Calibri"/>
          <w:b/>
          <w:bCs/>
          <w:color w:val="E91E63"/>
        </w:rPr>
        <w:t>Armani Da Silva</w:t>
      </w:r>
      <w:r>
        <w:rPr>
          <w:rFonts w:ascii="Calibri" w:eastAsia="Calibri" w:hAnsi="Calibri" w:cs="Calibri"/>
          <w:b/>
          <w:bCs/>
          <w:color w:val="1A1A1A"/>
        </w:rPr>
        <w:t xml:space="preserve"> est-il rendu ?</w:t>
      </w:r>
      <w:r>
        <w:rPr>
          <w:rFonts w:ascii="Calibri" w:eastAsia="Calibri" w:hAnsi="Calibri" w:cs="Calibri"/>
          <w:color w:val="1A1A1A"/>
        </w:rPr>
        <w:t xml:space="preserve"> — Le </w:t>
      </w:r>
      <w:r>
        <w:rPr>
          <w:rFonts w:ascii="Calibri" w:eastAsia="Calibri" w:hAnsi="Calibri" w:cs="Calibri"/>
          <w:b/>
          <w:bCs/>
          <w:color w:val="1A1A1A"/>
        </w:rPr>
        <w:t>Royaume-Uni</w:t>
      </w:r>
      <w:r>
        <w:rPr>
          <w:rFonts w:ascii="Calibri" w:eastAsia="Calibri" w:hAnsi="Calibri" w:cs="Calibri"/>
          <w:color w:val="1A1A1A"/>
        </w:rPr>
        <w:t>. Un support de préparation indique « c. Portugal » : vérifier systématiquement.</w:t>
      </w:r>
    </w:p>
    <w:p w14:paraId="2EBB4965"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Q. L’obligation d’enquête suppose-t-elle une plainte ?</w:t>
      </w:r>
      <w:r>
        <w:rPr>
          <w:rFonts w:ascii="Calibri" w:eastAsia="Calibri" w:hAnsi="Calibri" w:cs="Calibri"/>
          <w:color w:val="1A1A1A"/>
        </w:rPr>
        <w:t xml:space="preserve"> — Non : les autorités agissent </w:t>
      </w:r>
      <w:r>
        <w:rPr>
          <w:rFonts w:ascii="Calibri" w:eastAsia="Calibri" w:hAnsi="Calibri" w:cs="Calibri"/>
          <w:b/>
          <w:bCs/>
          <w:color w:val="1A1A1A"/>
        </w:rPr>
        <w:t>d’office</w:t>
      </w:r>
      <w:r>
        <w:rPr>
          <w:rFonts w:ascii="Calibri" w:eastAsia="Calibri" w:hAnsi="Calibri" w:cs="Calibri"/>
          <w:color w:val="1A1A1A"/>
        </w:rPr>
        <w:t xml:space="preserve">. Et c’est une obligation de </w:t>
      </w:r>
      <w:r>
        <w:rPr>
          <w:rFonts w:ascii="Calibri" w:eastAsia="Calibri" w:hAnsi="Calibri" w:cs="Calibri"/>
          <w:b/>
          <w:bCs/>
          <w:color w:val="1A1A1A"/>
        </w:rPr>
        <w:t>moyen</w:t>
      </w:r>
      <w:r>
        <w:rPr>
          <w:rFonts w:ascii="Calibri" w:eastAsia="Calibri" w:hAnsi="Calibri" w:cs="Calibri"/>
          <w:color w:val="1A1A1A"/>
        </w:rPr>
        <w:t>, non de résultat.</w:t>
      </w:r>
    </w:p>
    <w:p w14:paraId="61FB6E0C"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Q. La légitime défense exonère-t-elle en toute hypothèse ?</w:t>
      </w:r>
      <w:r>
        <w:rPr>
          <w:rFonts w:ascii="Calibri" w:eastAsia="Calibri" w:hAnsi="Calibri" w:cs="Calibri"/>
          <w:color w:val="1A1A1A"/>
        </w:rPr>
        <w:t xml:space="preserve"> — Non : l’</w:t>
      </w:r>
      <w:r>
        <w:rPr>
          <w:rFonts w:ascii="Calibri" w:eastAsia="Calibri" w:hAnsi="Calibri" w:cs="Calibri"/>
          <w:color w:val="1E88E5"/>
        </w:rPr>
        <w:t>art. 122-5 C. pén.</w:t>
      </w:r>
      <w:r>
        <w:rPr>
          <w:rFonts w:ascii="Calibri" w:eastAsia="Calibri" w:hAnsi="Calibri" w:cs="Calibri"/>
          <w:color w:val="1A1A1A"/>
        </w:rPr>
        <w:t xml:space="preserve"> réserve l’hypothèse d’une </w:t>
      </w:r>
      <w:r>
        <w:rPr>
          <w:rFonts w:ascii="Calibri" w:eastAsia="Calibri" w:hAnsi="Calibri" w:cs="Calibri"/>
          <w:b/>
          <w:bCs/>
          <w:color w:val="1A1A1A"/>
        </w:rPr>
        <w:t>disproportion</w:t>
      </w:r>
      <w:r>
        <w:rPr>
          <w:rFonts w:ascii="Calibri" w:eastAsia="Calibri" w:hAnsi="Calibri" w:cs="Calibri"/>
          <w:color w:val="1A1A1A"/>
        </w:rPr>
        <w:t xml:space="preserve"> entre les moyens de défense employés et la gravité de l’atteinte.</w:t>
      </w:r>
    </w:p>
    <w:p w14:paraId="05B9B1B5"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Q. Un arrêt pilote, c’est quoi ?</w:t>
      </w:r>
      <w:r>
        <w:rPr>
          <w:rFonts w:ascii="Calibri" w:eastAsia="Calibri" w:hAnsi="Calibri" w:cs="Calibri"/>
          <w:color w:val="1A1A1A"/>
        </w:rPr>
        <w:t xml:space="preserve"> — Une procédure utilisée lorsqu’une affaire révèle un problème </w:t>
      </w:r>
      <w:r>
        <w:rPr>
          <w:rFonts w:ascii="Calibri" w:eastAsia="Calibri" w:hAnsi="Calibri" w:cs="Calibri"/>
          <w:b/>
          <w:bCs/>
          <w:color w:val="1A1A1A"/>
        </w:rPr>
        <w:t>structurel ou systémique</w:t>
      </w:r>
      <w:r>
        <w:rPr>
          <w:rFonts w:ascii="Calibri" w:eastAsia="Calibri" w:hAnsi="Calibri" w:cs="Calibri"/>
          <w:color w:val="1A1A1A"/>
        </w:rPr>
        <w:t xml:space="preserve"> : la Cour donne à l’État des directives précises et un délai pour modifier sa législation, et gèle en parallèle les affaires similaires (</w:t>
      </w:r>
      <w:r>
        <w:rPr>
          <w:rFonts w:ascii="Calibri" w:eastAsia="Calibri" w:hAnsi="Calibri" w:cs="Calibri"/>
          <w:color w:val="E91E63"/>
        </w:rPr>
        <w:t>Cannavacciuolo</w:t>
      </w:r>
      <w:r>
        <w:rPr>
          <w:rFonts w:ascii="Calibri" w:eastAsia="Calibri" w:hAnsi="Calibri" w:cs="Calibri"/>
          <w:color w:val="1A1A1A"/>
        </w:rPr>
        <w:t xml:space="preserve"> ; </w:t>
      </w:r>
      <w:proofErr w:type="spellStart"/>
      <w:r>
        <w:rPr>
          <w:rFonts w:ascii="Calibri" w:eastAsia="Calibri" w:hAnsi="Calibri" w:cs="Calibri"/>
          <w:color w:val="E91E63"/>
        </w:rPr>
        <w:t>Broniowski</w:t>
      </w:r>
      <w:proofErr w:type="spellEnd"/>
      <w:r>
        <w:rPr>
          <w:rFonts w:ascii="Calibri" w:eastAsia="Calibri" w:hAnsi="Calibri" w:cs="Calibri"/>
          <w:color w:val="1A1A1A"/>
        </w:rPr>
        <w:t>).</w:t>
      </w:r>
    </w:p>
    <w:p w14:paraId="3FE31D15" w14:textId="77777777" w:rsidR="004A4E1F" w:rsidRDefault="00000000">
      <w:r>
        <w:br w:type="page"/>
      </w:r>
    </w:p>
    <w:p w14:paraId="06DF8E8A" w14:textId="77777777" w:rsidR="004A4E1F" w:rsidRDefault="00000000">
      <w:pPr>
        <w:pStyle w:val="Titre1"/>
        <w:pBdr>
          <w:bottom w:val="single" w:sz="12" w:space="6" w:color="8C1C2B"/>
        </w:pBdr>
        <w:spacing w:before="240" w:after="200"/>
      </w:pPr>
      <w:r>
        <w:rPr>
          <w:rFonts w:ascii="Calibri" w:eastAsia="Calibri" w:hAnsi="Calibri" w:cs="Calibri"/>
          <w:b/>
          <w:bCs/>
          <w:color w:val="8C1C2B"/>
          <w:sz w:val="30"/>
          <w:szCs w:val="30"/>
        </w:rPr>
        <w:lastRenderedPageBreak/>
        <w:t>FICHE N° 27 — LE DROIT À L’INTÉGRITÉ DE LA PERSONNE</w:t>
      </w:r>
    </w:p>
    <w:p w14:paraId="496C0ACA" w14:textId="77777777" w:rsidR="004A4E1F" w:rsidRDefault="00000000">
      <w:pPr>
        <w:pStyle w:val="Titre2"/>
        <w:spacing w:before="280" w:after="120"/>
      </w:pPr>
      <w:r>
        <w:rPr>
          <w:rFonts w:ascii="Calibri" w:eastAsia="Calibri" w:hAnsi="Calibri" w:cs="Calibri"/>
          <w:b/>
          <w:bCs/>
          <w:color w:val="1A1A1A"/>
          <w:sz w:val="24"/>
          <w:szCs w:val="24"/>
        </w:rPr>
        <w:t>◆ FICHE-MÉMOIRE — à réviser en trois minutes</w:t>
      </w:r>
    </w:p>
    <w:p w14:paraId="50E6CC3C" w14:textId="77777777" w:rsidR="004A4E1F" w:rsidRDefault="00000000">
      <w:pPr>
        <w:pStyle w:val="Titre3"/>
        <w:spacing w:before="200" w:after="90"/>
      </w:pPr>
      <w:r>
        <w:rPr>
          <w:rFonts w:ascii="Calibri" w:eastAsia="Calibri" w:hAnsi="Calibri" w:cs="Calibri"/>
          <w:b/>
          <w:bCs/>
          <w:i/>
          <w:iCs/>
          <w:color w:val="5A5A5A"/>
          <w:sz w:val="21"/>
          <w:szCs w:val="21"/>
        </w:rPr>
        <w:t>Accroche</w:t>
      </w:r>
    </w:p>
    <w:p w14:paraId="4136065E"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xml:space="preserve">La notion d’intégrité est </w:t>
      </w:r>
      <w:r>
        <w:rPr>
          <w:rFonts w:ascii="Calibri" w:eastAsia="Calibri" w:hAnsi="Calibri" w:cs="Calibri"/>
          <w:b/>
          <w:bCs/>
          <w:color w:val="1A1A1A"/>
        </w:rPr>
        <w:t>absente du texte de la Convention</w:t>
      </w:r>
      <w:r>
        <w:rPr>
          <w:rFonts w:ascii="Calibri" w:eastAsia="Calibri" w:hAnsi="Calibri" w:cs="Calibri"/>
          <w:color w:val="1A1A1A"/>
        </w:rPr>
        <w:t xml:space="preserve">. Elle est protégée par ricochet, sur le fondement des </w:t>
      </w:r>
      <w:r>
        <w:rPr>
          <w:rFonts w:ascii="Calibri" w:eastAsia="Calibri" w:hAnsi="Calibri" w:cs="Calibri"/>
          <w:color w:val="1E88E5"/>
        </w:rPr>
        <w:t>art. 8 et 3</w:t>
      </w:r>
      <w:r>
        <w:rPr>
          <w:rFonts w:ascii="Calibri" w:eastAsia="Calibri" w:hAnsi="Calibri" w:cs="Calibri"/>
          <w:color w:val="1A1A1A"/>
        </w:rPr>
        <w:t xml:space="preserve">, appliqués isolément ou de manière combinée — c’est le </w:t>
      </w:r>
      <w:r>
        <w:rPr>
          <w:rFonts w:ascii="Calibri" w:eastAsia="Calibri" w:hAnsi="Calibri" w:cs="Calibri"/>
          <w:b/>
          <w:bCs/>
          <w:color w:val="1A1A1A"/>
        </w:rPr>
        <w:t>seuil de gravité</w:t>
      </w:r>
      <w:r>
        <w:rPr>
          <w:rFonts w:ascii="Calibri" w:eastAsia="Calibri" w:hAnsi="Calibri" w:cs="Calibri"/>
          <w:color w:val="1A1A1A"/>
        </w:rPr>
        <w:t xml:space="preserve"> de l’atteinte qui détermine le fondement retenu.</w:t>
      </w:r>
    </w:p>
    <w:p w14:paraId="509F258E"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xml:space="preserve">Accroche alternative : </w:t>
      </w:r>
      <w:r>
        <w:rPr>
          <w:rFonts w:ascii="Calibri" w:eastAsia="Calibri" w:hAnsi="Calibri" w:cs="Calibri"/>
          <w:color w:val="E91E63"/>
        </w:rPr>
        <w:t>CE, 15 juillet 2026, Société Z Machine, n° 513080</w:t>
      </w:r>
      <w:r>
        <w:rPr>
          <w:rFonts w:ascii="Calibri" w:eastAsia="Calibri" w:hAnsi="Calibri" w:cs="Calibri"/>
          <w:color w:val="1A1A1A"/>
        </w:rPr>
        <w:t xml:space="preserve"> — le seul consentement des personnes concernées ne suffit pas à exclure une atteinte à la dignité. Le droit français maintient une </w:t>
      </w:r>
      <w:r>
        <w:rPr>
          <w:rFonts w:ascii="Calibri" w:eastAsia="Calibri" w:hAnsi="Calibri" w:cs="Calibri"/>
          <w:b/>
          <w:bCs/>
          <w:color w:val="1A1A1A"/>
        </w:rPr>
        <w:t>conception objective</w:t>
      </w:r>
      <w:r>
        <w:rPr>
          <w:rFonts w:ascii="Calibri" w:eastAsia="Calibri" w:hAnsi="Calibri" w:cs="Calibri"/>
          <w:color w:val="1A1A1A"/>
        </w:rPr>
        <w:t xml:space="preserve"> là où la Cour européenne développe l’</w:t>
      </w:r>
      <w:r>
        <w:rPr>
          <w:rFonts w:ascii="Calibri" w:eastAsia="Calibri" w:hAnsi="Calibri" w:cs="Calibri"/>
          <w:b/>
          <w:bCs/>
          <w:color w:val="1A1A1A"/>
        </w:rPr>
        <w:t>autonomie personnelle</w:t>
      </w:r>
      <w:r>
        <w:rPr>
          <w:rFonts w:ascii="Calibri" w:eastAsia="Calibri" w:hAnsi="Calibri" w:cs="Calibri"/>
          <w:color w:val="1A1A1A"/>
        </w:rPr>
        <w:t>.</w:t>
      </w:r>
    </w:p>
    <w:p w14:paraId="04709786" w14:textId="77777777" w:rsidR="004A4E1F" w:rsidRDefault="00000000">
      <w:pPr>
        <w:pStyle w:val="Titre3"/>
        <w:spacing w:before="200" w:after="90"/>
      </w:pPr>
      <w:r>
        <w:rPr>
          <w:rFonts w:ascii="Calibri" w:eastAsia="Calibri" w:hAnsi="Calibri" w:cs="Calibri"/>
          <w:b/>
          <w:bCs/>
          <w:i/>
          <w:iCs/>
          <w:color w:val="5A5A5A"/>
          <w:sz w:val="21"/>
          <w:szCs w:val="21"/>
        </w:rPr>
        <w:t>Définition en trois lignes</w:t>
      </w:r>
    </w:p>
    <w:p w14:paraId="6E71A879"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xml:space="preserve">Le droit à l’intégrité </w:t>
      </w:r>
      <w:r>
        <w:rPr>
          <w:rFonts w:ascii="Calibri" w:eastAsia="Calibri" w:hAnsi="Calibri" w:cs="Calibri"/>
          <w:b/>
          <w:bCs/>
          <w:color w:val="1A1A1A"/>
        </w:rPr>
        <w:t>se dédouble</w:t>
      </w:r>
      <w:r>
        <w:rPr>
          <w:rFonts w:ascii="Calibri" w:eastAsia="Calibri" w:hAnsi="Calibri" w:cs="Calibri"/>
          <w:color w:val="1A1A1A"/>
        </w:rPr>
        <w:t xml:space="preserve"> : intégrité </w:t>
      </w:r>
      <w:r>
        <w:rPr>
          <w:rFonts w:ascii="Calibri" w:eastAsia="Calibri" w:hAnsi="Calibri" w:cs="Calibri"/>
          <w:b/>
          <w:bCs/>
          <w:color w:val="1A1A1A"/>
        </w:rPr>
        <w:t>physique</w:t>
      </w:r>
      <w:r>
        <w:rPr>
          <w:rFonts w:ascii="Calibri" w:eastAsia="Calibri" w:hAnsi="Calibri" w:cs="Calibri"/>
          <w:color w:val="1A1A1A"/>
        </w:rPr>
        <w:t xml:space="preserve"> (disposer librement de son corps, non-patrimonialité et indisponibilité, protection de la santé, inviolabilité) et intégrité </w:t>
      </w:r>
      <w:r>
        <w:rPr>
          <w:rFonts w:ascii="Calibri" w:eastAsia="Calibri" w:hAnsi="Calibri" w:cs="Calibri"/>
          <w:b/>
          <w:bCs/>
          <w:color w:val="1A1A1A"/>
        </w:rPr>
        <w:t>morale</w:t>
      </w:r>
      <w:r>
        <w:rPr>
          <w:rFonts w:ascii="Calibri" w:eastAsia="Calibri" w:hAnsi="Calibri" w:cs="Calibri"/>
          <w:color w:val="1A1A1A"/>
        </w:rPr>
        <w:t xml:space="preserve"> (image, identité, réputation), l’une et l’autre découlant du droit au respect de la vie privée de l’</w:t>
      </w:r>
      <w:r>
        <w:rPr>
          <w:rFonts w:ascii="Calibri" w:eastAsia="Calibri" w:hAnsi="Calibri" w:cs="Calibri"/>
          <w:color w:val="1E88E5"/>
        </w:rPr>
        <w:t>art. 8</w:t>
      </w:r>
      <w:r>
        <w:rPr>
          <w:rFonts w:ascii="Calibri" w:eastAsia="Calibri" w:hAnsi="Calibri" w:cs="Calibri"/>
          <w:color w:val="1A1A1A"/>
        </w:rPr>
        <w:t>.</w:t>
      </w:r>
    </w:p>
    <w:p w14:paraId="19591E06"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Règle d’aiguillage à énoncer</w:t>
      </w:r>
      <w:r>
        <w:rPr>
          <w:rFonts w:ascii="Calibri" w:eastAsia="Calibri" w:hAnsi="Calibri" w:cs="Calibri"/>
          <w:color w:val="1A1A1A"/>
        </w:rPr>
        <w:t xml:space="preserve"> : une atteinte à l’intégrité physique est traitée sur le fondement de l’</w:t>
      </w:r>
      <w:r>
        <w:rPr>
          <w:rFonts w:ascii="Calibri" w:eastAsia="Calibri" w:hAnsi="Calibri" w:cs="Calibri"/>
          <w:color w:val="1E88E5"/>
        </w:rPr>
        <w:t>art. 3</w:t>
      </w:r>
      <w:r>
        <w:rPr>
          <w:rFonts w:ascii="Calibri" w:eastAsia="Calibri" w:hAnsi="Calibri" w:cs="Calibri"/>
          <w:color w:val="1A1A1A"/>
        </w:rPr>
        <w:t xml:space="preserve"> si elle </w:t>
      </w:r>
      <w:r>
        <w:rPr>
          <w:rFonts w:ascii="Calibri" w:eastAsia="Calibri" w:hAnsi="Calibri" w:cs="Calibri"/>
          <w:b/>
          <w:bCs/>
          <w:color w:val="1A1A1A"/>
        </w:rPr>
        <w:t>dépasse le seuil de gravité</w:t>
      </w:r>
      <w:r>
        <w:rPr>
          <w:rFonts w:ascii="Calibri" w:eastAsia="Calibri" w:hAnsi="Calibri" w:cs="Calibri"/>
          <w:color w:val="1A1A1A"/>
        </w:rPr>
        <w:t xml:space="preserve"> requis ; en deçà, la Cour se place sur le fondement des </w:t>
      </w:r>
      <w:r>
        <w:rPr>
          <w:rFonts w:ascii="Calibri" w:eastAsia="Calibri" w:hAnsi="Calibri" w:cs="Calibri"/>
          <w:color w:val="1E88E5"/>
        </w:rPr>
        <w:t>art. 8 et 3 combinés</w:t>
      </w:r>
      <w:r>
        <w:rPr>
          <w:rFonts w:ascii="Calibri" w:eastAsia="Calibri" w:hAnsi="Calibri" w:cs="Calibri"/>
          <w:color w:val="1A1A1A"/>
        </w:rPr>
        <w:t xml:space="preserve">, ou du seul </w:t>
      </w:r>
      <w:r>
        <w:rPr>
          <w:rFonts w:ascii="Calibri" w:eastAsia="Calibri" w:hAnsi="Calibri" w:cs="Calibri"/>
          <w:color w:val="1E88E5"/>
        </w:rPr>
        <w:t>art. 8</w:t>
      </w:r>
      <w:r>
        <w:rPr>
          <w:rFonts w:ascii="Calibri" w:eastAsia="Calibri" w:hAnsi="Calibri" w:cs="Calibri"/>
          <w:color w:val="1A1A1A"/>
        </w:rPr>
        <w:t xml:space="preserve"> pour les atteintes de moindre gravité. En droit interne, le fondement est la </w:t>
      </w:r>
      <w:r>
        <w:rPr>
          <w:rFonts w:ascii="Calibri" w:eastAsia="Calibri" w:hAnsi="Calibri" w:cs="Calibri"/>
          <w:b/>
          <w:bCs/>
          <w:color w:val="1A1A1A"/>
        </w:rPr>
        <w:t>dignité</w:t>
      </w:r>
      <w:r>
        <w:rPr>
          <w:rFonts w:ascii="Calibri" w:eastAsia="Calibri" w:hAnsi="Calibri" w:cs="Calibri"/>
          <w:color w:val="1A1A1A"/>
        </w:rPr>
        <w:t>, principe à valeur constitutionnelle (</w:t>
      </w:r>
      <w:r>
        <w:rPr>
          <w:rFonts w:ascii="Calibri" w:eastAsia="Calibri" w:hAnsi="Calibri" w:cs="Calibri"/>
          <w:color w:val="E91E63"/>
        </w:rPr>
        <w:t>94-343/344 DC</w:t>
      </w:r>
      <w:r>
        <w:rPr>
          <w:rFonts w:ascii="Calibri" w:eastAsia="Calibri" w:hAnsi="Calibri" w:cs="Calibri"/>
          <w:color w:val="1A1A1A"/>
        </w:rPr>
        <w:t>).</w:t>
      </w:r>
    </w:p>
    <w:p w14:paraId="0AE18D98" w14:textId="77777777" w:rsidR="004A4E1F" w:rsidRDefault="00000000">
      <w:pPr>
        <w:pStyle w:val="Titre3"/>
        <w:spacing w:before="200" w:after="90"/>
      </w:pPr>
      <w:r>
        <w:rPr>
          <w:rFonts w:ascii="Calibri" w:eastAsia="Calibri" w:hAnsi="Calibri" w:cs="Calibri"/>
          <w:b/>
          <w:bCs/>
          <w:i/>
          <w:iCs/>
          <w:color w:val="5A5A5A"/>
          <w:sz w:val="21"/>
          <w:szCs w:val="21"/>
        </w:rPr>
        <w:t>Les cinq références incontournables</w:t>
      </w:r>
    </w:p>
    <w:p w14:paraId="0A01C9A7"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29 avril 2002, Pretty c. Royaume-Uni, n° 2346/02</w:t>
      </w:r>
      <w:r>
        <w:rPr>
          <w:rFonts w:ascii="Calibri" w:eastAsia="Calibri" w:hAnsi="Calibri" w:cs="Calibri"/>
          <w:color w:val="1A1A1A"/>
        </w:rPr>
        <w:t xml:space="preserve"> : l’</w:t>
      </w:r>
      <w:r>
        <w:rPr>
          <w:rFonts w:ascii="Calibri" w:eastAsia="Calibri" w:hAnsi="Calibri" w:cs="Calibri"/>
          <w:b/>
          <w:bCs/>
          <w:color w:val="1A1A1A"/>
        </w:rPr>
        <w:t>autonomie personnelle</w:t>
      </w:r>
      <w:r>
        <w:rPr>
          <w:rFonts w:ascii="Calibri" w:eastAsia="Calibri" w:hAnsi="Calibri" w:cs="Calibri"/>
          <w:color w:val="1A1A1A"/>
        </w:rPr>
        <w:t xml:space="preserve"> permet d’opérer des choix pouvant porter atteinte à sa propre intégrité, dès lors qu’ils sont librement et clairement consentis.</w:t>
      </w:r>
    </w:p>
    <w:p w14:paraId="01A1BF73"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6 avril 2017, A.P., Garçon et Nicot c. France, n° 79885/12, 52471/13 et 52596/13</w:t>
      </w:r>
      <w:r>
        <w:rPr>
          <w:rFonts w:ascii="Calibri" w:eastAsia="Calibri" w:hAnsi="Calibri" w:cs="Calibri"/>
          <w:color w:val="1A1A1A"/>
        </w:rPr>
        <w:t xml:space="preserve"> : l’exigence du </w:t>
      </w:r>
      <w:r>
        <w:rPr>
          <w:rFonts w:ascii="Calibri" w:eastAsia="Calibri" w:hAnsi="Calibri" w:cs="Calibri"/>
          <w:b/>
          <w:bCs/>
          <w:color w:val="1A1A1A"/>
        </w:rPr>
        <w:t>caractère irréversible</w:t>
      </w:r>
      <w:r>
        <w:rPr>
          <w:rFonts w:ascii="Calibri" w:eastAsia="Calibri" w:hAnsi="Calibri" w:cs="Calibri"/>
          <w:color w:val="1A1A1A"/>
        </w:rPr>
        <w:t xml:space="preserve"> de la transformation pour la rectification de l’état civil méconnaît le droit à l’autonomie personnelle et à l’intégrité physique → suppression par la </w:t>
      </w:r>
      <w:r>
        <w:rPr>
          <w:rFonts w:ascii="Calibri" w:eastAsia="Calibri" w:hAnsi="Calibri" w:cs="Calibri"/>
          <w:color w:val="1E88E5"/>
        </w:rPr>
        <w:t>loi n° 2016-1547 du 18 novembre 2016</w:t>
      </w:r>
      <w:r>
        <w:rPr>
          <w:rFonts w:ascii="Calibri" w:eastAsia="Calibri" w:hAnsi="Calibri" w:cs="Calibri"/>
          <w:color w:val="1A1A1A"/>
        </w:rPr>
        <w:t xml:space="preserve"> (</w:t>
      </w:r>
      <w:r>
        <w:rPr>
          <w:rFonts w:ascii="Calibri" w:eastAsia="Calibri" w:hAnsi="Calibri" w:cs="Calibri"/>
          <w:color w:val="1E88E5"/>
        </w:rPr>
        <w:t>art. 61-6 du Code civil</w:t>
      </w:r>
      <w:r>
        <w:rPr>
          <w:rFonts w:ascii="Calibri" w:eastAsia="Calibri" w:hAnsi="Calibri" w:cs="Calibri"/>
          <w:color w:val="1A1A1A"/>
        </w:rPr>
        <w:t>).</w:t>
      </w:r>
    </w:p>
    <w:p w14:paraId="353A3F99"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GC, 25 septembre 2018, Denisov c. Ukraine, n° 76639/11</w:t>
      </w:r>
      <w:r>
        <w:rPr>
          <w:rFonts w:ascii="Calibri" w:eastAsia="Calibri" w:hAnsi="Calibri" w:cs="Calibri"/>
          <w:color w:val="1A1A1A"/>
        </w:rPr>
        <w:t xml:space="preserve"> : critères de l’atteinte à l’intégrité morale — </w:t>
      </w:r>
      <w:r>
        <w:rPr>
          <w:rFonts w:ascii="Calibri" w:eastAsia="Calibri" w:hAnsi="Calibri" w:cs="Calibri"/>
          <w:b/>
          <w:bCs/>
          <w:color w:val="1A1A1A"/>
        </w:rPr>
        <w:t>niveau de gravité</w:t>
      </w:r>
      <w:r>
        <w:rPr>
          <w:rFonts w:ascii="Calibri" w:eastAsia="Calibri" w:hAnsi="Calibri" w:cs="Calibri"/>
          <w:color w:val="1A1A1A"/>
        </w:rPr>
        <w:t xml:space="preserve"> suffisant et atteinte à la </w:t>
      </w:r>
      <w:r>
        <w:rPr>
          <w:rFonts w:ascii="Calibri" w:eastAsia="Calibri" w:hAnsi="Calibri" w:cs="Calibri"/>
          <w:b/>
          <w:bCs/>
          <w:color w:val="1A1A1A"/>
        </w:rPr>
        <w:t>jouissance personnelle</w:t>
      </w:r>
      <w:r>
        <w:rPr>
          <w:rFonts w:ascii="Calibri" w:eastAsia="Calibri" w:hAnsi="Calibri" w:cs="Calibri"/>
          <w:color w:val="1A1A1A"/>
        </w:rPr>
        <w:t xml:space="preserve"> du droit au respect de la vie privée, la sphère professionnelle étant incluse.</w:t>
      </w:r>
    </w:p>
    <w:p w14:paraId="16A6997E"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24 avril 2025, L. et a. c. France, n° 46949/21 et 2 autres</w:t>
      </w:r>
      <w:r>
        <w:rPr>
          <w:rFonts w:ascii="Calibri" w:eastAsia="Calibri" w:hAnsi="Calibri" w:cs="Calibri"/>
          <w:color w:val="1A1A1A"/>
        </w:rPr>
        <w:t xml:space="preserve"> : violation des </w:t>
      </w:r>
      <w:r>
        <w:rPr>
          <w:rFonts w:ascii="Calibri" w:eastAsia="Calibri" w:hAnsi="Calibri" w:cs="Calibri"/>
          <w:color w:val="1E88E5"/>
        </w:rPr>
        <w:t>art. 3 et 8</w:t>
      </w:r>
      <w:r>
        <w:rPr>
          <w:rFonts w:ascii="Calibri" w:eastAsia="Calibri" w:hAnsi="Calibri" w:cs="Calibri"/>
          <w:color w:val="1A1A1A"/>
        </w:rPr>
        <w:t xml:space="preserve"> faute d’un régime apte à réprimer les actes sexuels non consentis commis sur des personnes </w:t>
      </w:r>
      <w:r>
        <w:rPr>
          <w:rFonts w:ascii="Calibri" w:eastAsia="Calibri" w:hAnsi="Calibri" w:cs="Calibri"/>
          <w:b/>
          <w:bCs/>
          <w:color w:val="1A1A1A"/>
        </w:rPr>
        <w:t>particulièrement vulnérables</w:t>
      </w:r>
      <w:r>
        <w:rPr>
          <w:rFonts w:ascii="Calibri" w:eastAsia="Calibri" w:hAnsi="Calibri" w:cs="Calibri"/>
          <w:color w:val="1A1A1A"/>
        </w:rPr>
        <w:t>.</w:t>
      </w:r>
    </w:p>
    <w:p w14:paraId="105B2BA3"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 15 juillet 2026, Société Z Machine, n° 513080</w:t>
      </w:r>
      <w:r>
        <w:rPr>
          <w:rFonts w:ascii="Calibri" w:eastAsia="Calibri" w:hAnsi="Calibri" w:cs="Calibri"/>
          <w:color w:val="1A1A1A"/>
        </w:rPr>
        <w:t xml:space="preserve"> : actualisation directe de </w:t>
      </w:r>
      <w:r>
        <w:rPr>
          <w:rFonts w:ascii="Calibri" w:eastAsia="Calibri" w:hAnsi="Calibri" w:cs="Calibri"/>
          <w:color w:val="E91E63"/>
        </w:rPr>
        <w:t>Morsang-sur-Orge</w:t>
      </w:r>
      <w:r>
        <w:rPr>
          <w:rFonts w:ascii="Calibri" w:eastAsia="Calibri" w:hAnsi="Calibri" w:cs="Calibri"/>
          <w:color w:val="1A1A1A"/>
        </w:rPr>
        <w:t xml:space="preserve"> — le consentement ne fait pas nécessairement disparaître la </w:t>
      </w:r>
      <w:r>
        <w:rPr>
          <w:rFonts w:ascii="Calibri" w:eastAsia="Calibri" w:hAnsi="Calibri" w:cs="Calibri"/>
          <w:b/>
          <w:bCs/>
          <w:color w:val="1A1A1A"/>
        </w:rPr>
        <w:t>réification</w:t>
      </w:r>
      <w:r>
        <w:rPr>
          <w:rFonts w:ascii="Calibri" w:eastAsia="Calibri" w:hAnsi="Calibri" w:cs="Calibri"/>
          <w:color w:val="1A1A1A"/>
        </w:rPr>
        <w:t xml:space="preserve"> de la personne.</w:t>
      </w:r>
    </w:p>
    <w:p w14:paraId="14A5D888" w14:textId="77777777" w:rsidR="004A4E1F" w:rsidRDefault="00000000">
      <w:pPr>
        <w:pStyle w:val="Titre3"/>
        <w:spacing w:before="200" w:after="90"/>
      </w:pPr>
      <w:r>
        <w:rPr>
          <w:rFonts w:ascii="Calibri" w:eastAsia="Calibri" w:hAnsi="Calibri" w:cs="Calibri"/>
          <w:b/>
          <w:bCs/>
          <w:i/>
          <w:iCs/>
          <w:color w:val="5A5A5A"/>
          <w:sz w:val="21"/>
          <w:szCs w:val="21"/>
        </w:rPr>
        <w:t>Deux matrices de plan</w:t>
      </w:r>
    </w:p>
    <w:p w14:paraId="3970A01A"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Sujet « Soutenez que le devoir conjugal constitue une atteinte grave à l’intégrité des personnes »</w:t>
      </w:r>
      <w:r>
        <w:rPr>
          <w:rFonts w:ascii="Calibri" w:eastAsia="Calibri" w:hAnsi="Calibri" w:cs="Calibri"/>
          <w:color w:val="1A1A1A"/>
        </w:rPr>
        <w:t xml:space="preserve"> — </w:t>
      </w:r>
      <w:r>
        <w:rPr>
          <w:rFonts w:ascii="Calibri" w:eastAsia="Calibri" w:hAnsi="Calibri" w:cs="Calibri"/>
          <w:b/>
          <w:bCs/>
          <w:color w:val="1A1A1A"/>
        </w:rPr>
        <w:t>I. Le maintien critiquable d’une obligation civile à consentir à des actes sexuels</w:t>
      </w:r>
      <w:r>
        <w:rPr>
          <w:rFonts w:ascii="Calibri" w:eastAsia="Calibri" w:hAnsi="Calibri" w:cs="Calibri"/>
          <w:color w:val="1A1A1A"/>
        </w:rPr>
        <w:t xml:space="preserve"> (A. Une atteinte à l’autonomie personnelle : </w:t>
      </w:r>
      <w:r>
        <w:rPr>
          <w:rFonts w:ascii="Calibri" w:eastAsia="Calibri" w:hAnsi="Calibri" w:cs="Calibri"/>
          <w:color w:val="E91E63"/>
        </w:rPr>
        <w:t>K.A. et A.D. c. Belgique</w:t>
      </w:r>
      <w:r>
        <w:rPr>
          <w:rFonts w:ascii="Calibri" w:eastAsia="Calibri" w:hAnsi="Calibri" w:cs="Calibri"/>
          <w:color w:val="1A1A1A"/>
        </w:rPr>
        <w:t>, l’</w:t>
      </w:r>
      <w:r>
        <w:rPr>
          <w:rFonts w:ascii="Calibri" w:eastAsia="Calibri" w:hAnsi="Calibri" w:cs="Calibri"/>
          <w:color w:val="1E88E5"/>
        </w:rPr>
        <w:t>art. 215 C. civ.</w:t>
      </w:r>
      <w:r>
        <w:rPr>
          <w:rFonts w:ascii="Calibri" w:eastAsia="Calibri" w:hAnsi="Calibri" w:cs="Calibri"/>
          <w:color w:val="1A1A1A"/>
        </w:rPr>
        <w:t xml:space="preserve"> et la communauté de lit ; B. Le risque d’affaiblissement du consentement : responsabilité délictuelle, divorce pour faute, faux dilemme) / </w:t>
      </w:r>
      <w:r>
        <w:rPr>
          <w:rFonts w:ascii="Calibri" w:eastAsia="Calibri" w:hAnsi="Calibri" w:cs="Calibri"/>
          <w:b/>
          <w:bCs/>
          <w:color w:val="1A1A1A"/>
        </w:rPr>
        <w:t>II. L’inacceptabilité de la présomption du consentement des époux</w:t>
      </w:r>
      <w:r>
        <w:rPr>
          <w:rFonts w:ascii="Calibri" w:eastAsia="Calibri" w:hAnsi="Calibri" w:cs="Calibri"/>
          <w:color w:val="1A1A1A"/>
        </w:rPr>
        <w:t xml:space="preserve"> (A. Une contradiction avec la pénalisation du viol entre époux : </w:t>
      </w:r>
      <w:r>
        <w:rPr>
          <w:rFonts w:ascii="Calibri" w:eastAsia="Calibri" w:hAnsi="Calibri" w:cs="Calibri"/>
          <w:color w:val="E91E63"/>
        </w:rPr>
        <w:t>Cass. crim., 17 juillet 1984</w:t>
      </w:r>
      <w:r>
        <w:rPr>
          <w:rFonts w:ascii="Calibri" w:eastAsia="Calibri" w:hAnsi="Calibri" w:cs="Calibri"/>
          <w:color w:val="1A1A1A"/>
        </w:rPr>
        <w:t xml:space="preserve">, suppression de la présomption en 2010 ; B. Une incohérence face à l’obligation de protection contre les atteintes graves : </w:t>
      </w:r>
      <w:r>
        <w:rPr>
          <w:rFonts w:ascii="Calibri" w:eastAsia="Calibri" w:hAnsi="Calibri" w:cs="Calibri"/>
          <w:color w:val="E91E63"/>
        </w:rPr>
        <w:t>S.W. c. Royaume-Uni</w:t>
      </w:r>
      <w:r>
        <w:rPr>
          <w:rFonts w:ascii="Calibri" w:eastAsia="Calibri" w:hAnsi="Calibri" w:cs="Calibri"/>
          <w:color w:val="1A1A1A"/>
        </w:rPr>
        <w:t xml:space="preserve">, </w:t>
      </w:r>
      <w:r>
        <w:rPr>
          <w:rFonts w:ascii="Calibri" w:eastAsia="Calibri" w:hAnsi="Calibri" w:cs="Calibri"/>
          <w:color w:val="E91E63"/>
        </w:rPr>
        <w:t>L. et a. c. France</w:t>
      </w:r>
      <w:r>
        <w:rPr>
          <w:rFonts w:ascii="Calibri" w:eastAsia="Calibri" w:hAnsi="Calibri" w:cs="Calibri"/>
          <w:color w:val="1A1A1A"/>
        </w:rPr>
        <w:t>).</w:t>
      </w:r>
    </w:p>
    <w:p w14:paraId="30BADA9A"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Sujet « Le consentement suffit-il à écarter une atteinte à la dignité ? »</w:t>
      </w:r>
      <w:r>
        <w:rPr>
          <w:rFonts w:ascii="Calibri" w:eastAsia="Calibri" w:hAnsi="Calibri" w:cs="Calibri"/>
          <w:color w:val="1A1A1A"/>
        </w:rPr>
        <w:t xml:space="preserve"> — </w:t>
      </w:r>
      <w:r>
        <w:rPr>
          <w:rFonts w:ascii="Calibri" w:eastAsia="Calibri" w:hAnsi="Calibri" w:cs="Calibri"/>
          <w:b/>
          <w:bCs/>
          <w:color w:val="1A1A1A"/>
        </w:rPr>
        <w:t>I. L’essor de l’autonomie personnelle</w:t>
      </w:r>
      <w:r>
        <w:rPr>
          <w:rFonts w:ascii="Calibri" w:eastAsia="Calibri" w:hAnsi="Calibri" w:cs="Calibri"/>
          <w:color w:val="1A1A1A"/>
        </w:rPr>
        <w:t xml:space="preserve"> (A. La jurisprudence européenne : </w:t>
      </w:r>
      <w:r>
        <w:rPr>
          <w:rFonts w:ascii="Calibri" w:eastAsia="Calibri" w:hAnsi="Calibri" w:cs="Calibri"/>
          <w:color w:val="E91E63"/>
        </w:rPr>
        <w:t>Pretty</w:t>
      </w:r>
      <w:r>
        <w:rPr>
          <w:rFonts w:ascii="Calibri" w:eastAsia="Calibri" w:hAnsi="Calibri" w:cs="Calibri"/>
          <w:color w:val="1A1A1A"/>
        </w:rPr>
        <w:t xml:space="preserve">, </w:t>
      </w:r>
      <w:r>
        <w:rPr>
          <w:rFonts w:ascii="Calibri" w:eastAsia="Calibri" w:hAnsi="Calibri" w:cs="Calibri"/>
          <w:color w:val="E91E63"/>
        </w:rPr>
        <w:t>K.A. et A.D.</w:t>
      </w:r>
      <w:r>
        <w:rPr>
          <w:rFonts w:ascii="Calibri" w:eastAsia="Calibri" w:hAnsi="Calibri" w:cs="Calibri"/>
          <w:color w:val="1A1A1A"/>
        </w:rPr>
        <w:t xml:space="preserve">, </w:t>
      </w:r>
      <w:r>
        <w:rPr>
          <w:rFonts w:ascii="Calibri" w:eastAsia="Calibri" w:hAnsi="Calibri" w:cs="Calibri"/>
          <w:color w:val="E91E63"/>
        </w:rPr>
        <w:t>Pindo Mulla</w:t>
      </w:r>
      <w:r>
        <w:rPr>
          <w:rFonts w:ascii="Calibri" w:eastAsia="Calibri" w:hAnsi="Calibri" w:cs="Calibri"/>
          <w:color w:val="1A1A1A"/>
        </w:rPr>
        <w:t xml:space="preserve">, </w:t>
      </w:r>
      <w:r>
        <w:rPr>
          <w:rFonts w:ascii="Calibri" w:eastAsia="Calibri" w:hAnsi="Calibri" w:cs="Calibri"/>
          <w:color w:val="E91E63"/>
        </w:rPr>
        <w:t>Garçon et Nicot</w:t>
      </w:r>
      <w:r>
        <w:rPr>
          <w:rFonts w:ascii="Calibri" w:eastAsia="Calibri" w:hAnsi="Calibri" w:cs="Calibri"/>
          <w:color w:val="1A1A1A"/>
        </w:rPr>
        <w:t xml:space="preserve"> ; B. Sa réception en droit français : </w:t>
      </w:r>
      <w:r>
        <w:rPr>
          <w:rFonts w:ascii="Calibri" w:eastAsia="Calibri" w:hAnsi="Calibri" w:cs="Calibri"/>
          <w:color w:val="1E88E5"/>
        </w:rPr>
        <w:t>art. 61-6 C. civ.</w:t>
      </w:r>
      <w:r>
        <w:rPr>
          <w:rFonts w:ascii="Calibri" w:eastAsia="Calibri" w:hAnsi="Calibri" w:cs="Calibri"/>
          <w:color w:val="1A1A1A"/>
        </w:rPr>
        <w:t xml:space="preserve">, </w:t>
      </w:r>
      <w:r>
        <w:rPr>
          <w:rFonts w:ascii="Calibri" w:eastAsia="Calibri" w:hAnsi="Calibri" w:cs="Calibri"/>
          <w:color w:val="1E88E5"/>
        </w:rPr>
        <w:t>loi du 6 novembre 2025</w:t>
      </w:r>
      <w:r>
        <w:rPr>
          <w:rFonts w:ascii="Calibri" w:eastAsia="Calibri" w:hAnsi="Calibri" w:cs="Calibri"/>
          <w:color w:val="1A1A1A"/>
        </w:rPr>
        <w:t xml:space="preserve"> sur la définition du viol) / </w:t>
      </w:r>
      <w:r>
        <w:rPr>
          <w:rFonts w:ascii="Calibri" w:eastAsia="Calibri" w:hAnsi="Calibri" w:cs="Calibri"/>
          <w:b/>
          <w:bCs/>
          <w:color w:val="1A1A1A"/>
        </w:rPr>
        <w:t>II. La résistance de la conception objective</w:t>
      </w:r>
      <w:r>
        <w:rPr>
          <w:rFonts w:ascii="Calibri" w:eastAsia="Calibri" w:hAnsi="Calibri" w:cs="Calibri"/>
          <w:color w:val="1A1A1A"/>
        </w:rPr>
        <w:t xml:space="preserve"> (A. La dignité comme limite : </w:t>
      </w:r>
      <w:r>
        <w:rPr>
          <w:rFonts w:ascii="Calibri" w:eastAsia="Calibri" w:hAnsi="Calibri" w:cs="Calibri"/>
          <w:color w:val="E91E63"/>
        </w:rPr>
        <w:t>Morsang-sur-Orge</w:t>
      </w:r>
      <w:r>
        <w:rPr>
          <w:rFonts w:ascii="Calibri" w:eastAsia="Calibri" w:hAnsi="Calibri" w:cs="Calibri"/>
          <w:color w:val="1A1A1A"/>
        </w:rPr>
        <w:t xml:space="preserve">, </w:t>
      </w:r>
      <w:r>
        <w:rPr>
          <w:rFonts w:ascii="Calibri" w:eastAsia="Calibri" w:hAnsi="Calibri" w:cs="Calibri"/>
          <w:color w:val="E91E63"/>
        </w:rPr>
        <w:t>Société Z Machine</w:t>
      </w:r>
      <w:r>
        <w:rPr>
          <w:rFonts w:ascii="Calibri" w:eastAsia="Calibri" w:hAnsi="Calibri" w:cs="Calibri"/>
          <w:color w:val="1A1A1A"/>
        </w:rPr>
        <w:t xml:space="preserve"> ; B. L’indisponibilité du corps humain : </w:t>
      </w:r>
      <w:r>
        <w:rPr>
          <w:rFonts w:ascii="Calibri" w:eastAsia="Calibri" w:hAnsi="Calibri" w:cs="Calibri"/>
          <w:color w:val="1E88E5"/>
        </w:rPr>
        <w:t>art. 16-1, 16-5, 16-7 C. civ.</w:t>
      </w:r>
      <w:r>
        <w:rPr>
          <w:rFonts w:ascii="Calibri" w:eastAsia="Calibri" w:hAnsi="Calibri" w:cs="Calibri"/>
          <w:color w:val="1A1A1A"/>
        </w:rPr>
        <w:t>).</w:t>
      </w:r>
    </w:p>
    <w:p w14:paraId="0B611D51" w14:textId="77777777" w:rsidR="004A4E1F" w:rsidRDefault="00000000">
      <w:pPr>
        <w:pStyle w:val="Titre3"/>
        <w:spacing w:before="200" w:after="90"/>
      </w:pPr>
      <w:r>
        <w:rPr>
          <w:rFonts w:ascii="Calibri" w:eastAsia="Calibri" w:hAnsi="Calibri" w:cs="Calibri"/>
          <w:b/>
          <w:bCs/>
          <w:i/>
          <w:iCs/>
          <w:color w:val="5A5A5A"/>
          <w:sz w:val="21"/>
          <w:szCs w:val="21"/>
        </w:rPr>
        <w:t>Trois pièges</w:t>
      </w:r>
    </w:p>
    <w:p w14:paraId="27AE57F6"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lastRenderedPageBreak/>
        <w:t>Non-patrimonialité ≠ indisponibilité</w:t>
      </w:r>
      <w:r>
        <w:rPr>
          <w:rFonts w:ascii="Calibri" w:eastAsia="Calibri" w:hAnsi="Calibri" w:cs="Calibri"/>
          <w:color w:val="1A1A1A"/>
        </w:rPr>
        <w:t xml:space="preserve"> : la non-patrimonialité (</w:t>
      </w:r>
      <w:r>
        <w:rPr>
          <w:rFonts w:ascii="Calibri" w:eastAsia="Calibri" w:hAnsi="Calibri" w:cs="Calibri"/>
          <w:color w:val="1E88E5"/>
        </w:rPr>
        <w:t>art. 16-5 C. civ.</w:t>
      </w:r>
      <w:r>
        <w:rPr>
          <w:rFonts w:ascii="Calibri" w:eastAsia="Calibri" w:hAnsi="Calibri" w:cs="Calibri"/>
          <w:color w:val="1A1A1A"/>
        </w:rPr>
        <w:t xml:space="preserve">) n’interdit que les conventions ayant pour effet de conférer une valeur patrimoniale au corps humain — la cession </w:t>
      </w:r>
      <w:r>
        <w:rPr>
          <w:rFonts w:ascii="Calibri" w:eastAsia="Calibri" w:hAnsi="Calibri" w:cs="Calibri"/>
          <w:b/>
          <w:bCs/>
          <w:color w:val="1A1A1A"/>
        </w:rPr>
        <w:t>à titre gratuit</w:t>
      </w:r>
      <w:r>
        <w:rPr>
          <w:rFonts w:ascii="Calibri" w:eastAsia="Calibri" w:hAnsi="Calibri" w:cs="Calibri"/>
          <w:color w:val="1A1A1A"/>
        </w:rPr>
        <w:t xml:space="preserve"> de certains éléments est donc possible par exception légale ; l’indisponibilité, </w:t>
      </w:r>
      <w:r>
        <w:rPr>
          <w:rFonts w:ascii="Calibri" w:eastAsia="Calibri" w:hAnsi="Calibri" w:cs="Calibri"/>
          <w:b/>
          <w:bCs/>
          <w:color w:val="1A1A1A"/>
        </w:rPr>
        <w:t>prétorienne</w:t>
      </w:r>
      <w:r>
        <w:rPr>
          <w:rFonts w:ascii="Calibri" w:eastAsia="Calibri" w:hAnsi="Calibri" w:cs="Calibri"/>
          <w:color w:val="1A1A1A"/>
        </w:rPr>
        <w:t>, s’étend à tous les actes de disposition, onéreux comme gratuits.</w:t>
      </w:r>
    </w:p>
    <w:p w14:paraId="6671404C"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Il n’existe pas de droit à la santé, mais un droit à la protection de la santé</w:t>
      </w:r>
      <w:r>
        <w:rPr>
          <w:rFonts w:ascii="Calibri" w:eastAsia="Calibri" w:hAnsi="Calibri" w:cs="Calibri"/>
          <w:color w:val="1A1A1A"/>
        </w:rPr>
        <w:t xml:space="preserve"> : sans effet direct devant le juge administratif (</w:t>
      </w:r>
      <w:r>
        <w:rPr>
          <w:rFonts w:ascii="Calibri" w:eastAsia="Calibri" w:hAnsi="Calibri" w:cs="Calibri"/>
          <w:color w:val="E91E63"/>
        </w:rPr>
        <w:t xml:space="preserve">CE, 28 juillet 2004, </w:t>
      </w:r>
      <w:proofErr w:type="gramStart"/>
      <w:r>
        <w:rPr>
          <w:rFonts w:ascii="Calibri" w:eastAsia="Calibri" w:hAnsi="Calibri" w:cs="Calibri"/>
          <w:color w:val="E91E63"/>
        </w:rPr>
        <w:t>Préfet</w:t>
      </w:r>
      <w:proofErr w:type="gramEnd"/>
      <w:r>
        <w:rPr>
          <w:rFonts w:ascii="Calibri" w:eastAsia="Calibri" w:hAnsi="Calibri" w:cs="Calibri"/>
          <w:color w:val="E91E63"/>
        </w:rPr>
        <w:t xml:space="preserve"> de Police c. M. X., n° 253927</w:t>
      </w:r>
      <w:r>
        <w:rPr>
          <w:rFonts w:ascii="Calibri" w:eastAsia="Calibri" w:hAnsi="Calibri" w:cs="Calibri"/>
          <w:color w:val="1A1A1A"/>
        </w:rPr>
        <w:t>) et non qualifié de liberté fondamentale au sens de l’</w:t>
      </w:r>
      <w:r>
        <w:rPr>
          <w:rFonts w:ascii="Calibri" w:eastAsia="Calibri" w:hAnsi="Calibri" w:cs="Calibri"/>
          <w:color w:val="1E88E5"/>
        </w:rPr>
        <w:t>art. L. 521-2 CJA</w:t>
      </w:r>
      <w:r>
        <w:rPr>
          <w:rFonts w:ascii="Calibri" w:eastAsia="Calibri" w:hAnsi="Calibri" w:cs="Calibri"/>
          <w:color w:val="1A1A1A"/>
        </w:rPr>
        <w:t xml:space="preserve"> (</w:t>
      </w:r>
      <w:r>
        <w:rPr>
          <w:rFonts w:ascii="Calibri" w:eastAsia="Calibri" w:hAnsi="Calibri" w:cs="Calibri"/>
          <w:color w:val="E91E63"/>
        </w:rPr>
        <w:t>CE, ord., 8 septembre 2005, n° 284803</w:t>
      </w:r>
      <w:r>
        <w:rPr>
          <w:rFonts w:ascii="Calibri" w:eastAsia="Calibri" w:hAnsi="Calibri" w:cs="Calibri"/>
          <w:color w:val="1A1A1A"/>
        </w:rPr>
        <w:t>) ; le juge judiciaire en admet en revanche l’invocabilité directe (</w:t>
      </w:r>
      <w:r>
        <w:rPr>
          <w:rFonts w:ascii="Calibri" w:eastAsia="Calibri" w:hAnsi="Calibri" w:cs="Calibri"/>
          <w:color w:val="E91E63"/>
        </w:rPr>
        <w:t>Cass. soc., 11 juillet 2012, n° 10-15.905</w:t>
      </w:r>
      <w:r>
        <w:rPr>
          <w:rFonts w:ascii="Calibri" w:eastAsia="Calibri" w:hAnsi="Calibri" w:cs="Calibri"/>
          <w:color w:val="1A1A1A"/>
        </w:rPr>
        <w:t>).</w:t>
      </w:r>
    </w:p>
    <w:p w14:paraId="21BC8BD6"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La loi du 6 novembre 2025 est une loi pénale plus sévère</w:t>
      </w:r>
      <w:r>
        <w:rPr>
          <w:rFonts w:ascii="Calibri" w:eastAsia="Calibri" w:hAnsi="Calibri" w:cs="Calibri"/>
          <w:color w:val="1A1A1A"/>
        </w:rPr>
        <w:t xml:space="preserve"> : elle </w:t>
      </w:r>
      <w:r>
        <w:rPr>
          <w:rFonts w:ascii="Calibri" w:eastAsia="Calibri" w:hAnsi="Calibri" w:cs="Calibri"/>
          <w:b/>
          <w:bCs/>
          <w:color w:val="1A1A1A"/>
        </w:rPr>
        <w:t>ne s’applique pas</w:t>
      </w:r>
      <w:r>
        <w:rPr>
          <w:rFonts w:ascii="Calibri" w:eastAsia="Calibri" w:hAnsi="Calibri" w:cs="Calibri"/>
          <w:color w:val="1A1A1A"/>
        </w:rPr>
        <w:t xml:space="preserve"> aux faits commis avant son entrée en vigueur (</w:t>
      </w:r>
      <w:r>
        <w:rPr>
          <w:rFonts w:ascii="Calibri" w:eastAsia="Calibri" w:hAnsi="Calibri" w:cs="Calibri"/>
          <w:color w:val="E91E63"/>
        </w:rPr>
        <w:t>Cass. crim., 1er juillet 2026, n° 26-82.275</w:t>
      </w:r>
      <w:r>
        <w:rPr>
          <w:rFonts w:ascii="Calibri" w:eastAsia="Calibri" w:hAnsi="Calibri" w:cs="Calibri"/>
          <w:color w:val="1A1A1A"/>
        </w:rPr>
        <w:t>).</w:t>
      </w:r>
    </w:p>
    <w:p w14:paraId="594D5D9E" w14:textId="77777777" w:rsidR="004A4E1F" w:rsidRDefault="00000000">
      <w:r>
        <w:br w:type="page"/>
      </w:r>
    </w:p>
    <w:p w14:paraId="080D5E2E" w14:textId="77777777" w:rsidR="004A4E1F" w:rsidRDefault="00000000">
      <w:pPr>
        <w:pStyle w:val="Titre2"/>
        <w:spacing w:before="280" w:after="120"/>
      </w:pPr>
      <w:r>
        <w:rPr>
          <w:rFonts w:ascii="Calibri" w:eastAsia="Calibri" w:hAnsi="Calibri" w:cs="Calibri"/>
          <w:b/>
          <w:bCs/>
          <w:color w:val="1A1A1A"/>
          <w:sz w:val="24"/>
          <w:szCs w:val="24"/>
        </w:rPr>
        <w:lastRenderedPageBreak/>
        <w:t>1. Le droit à l’intégrité physique</w:t>
      </w:r>
    </w:p>
    <w:p w14:paraId="03E2ADC8" w14:textId="77777777" w:rsidR="004A4E1F" w:rsidRDefault="00000000">
      <w:pPr>
        <w:pStyle w:val="Titre3"/>
        <w:spacing w:before="200" w:after="90"/>
      </w:pPr>
      <w:r>
        <w:rPr>
          <w:rFonts w:ascii="Calibri" w:eastAsia="Calibri" w:hAnsi="Calibri" w:cs="Calibri"/>
          <w:b/>
          <w:bCs/>
          <w:i/>
          <w:iCs/>
          <w:color w:val="5A5A5A"/>
          <w:sz w:val="21"/>
          <w:szCs w:val="21"/>
        </w:rPr>
        <w:t>1.1. Disposer librement de son corps</w:t>
      </w:r>
    </w:p>
    <w:p w14:paraId="2A31856F"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Le fondement</w:t>
      </w:r>
      <w:r>
        <w:rPr>
          <w:rFonts w:ascii="Calibri" w:eastAsia="Calibri" w:hAnsi="Calibri" w:cs="Calibri"/>
          <w:color w:val="1A1A1A"/>
        </w:rPr>
        <w:t xml:space="preserve"> : la Cour protège ce droit sous l’égide de l’</w:t>
      </w:r>
      <w:r>
        <w:rPr>
          <w:rFonts w:ascii="Calibri" w:eastAsia="Calibri" w:hAnsi="Calibri" w:cs="Calibri"/>
          <w:b/>
          <w:bCs/>
          <w:color w:val="1A1A1A"/>
        </w:rPr>
        <w:t>autonomie personnelle</w:t>
      </w:r>
      <w:r>
        <w:rPr>
          <w:rFonts w:ascii="Calibri" w:eastAsia="Calibri" w:hAnsi="Calibri" w:cs="Calibri"/>
          <w:color w:val="1A1A1A"/>
        </w:rPr>
        <w:t>, tirée de sa jurisprudence de l’</w:t>
      </w:r>
      <w:r>
        <w:rPr>
          <w:rFonts w:ascii="Calibri" w:eastAsia="Calibri" w:hAnsi="Calibri" w:cs="Calibri"/>
          <w:color w:val="1E88E5"/>
        </w:rPr>
        <w:t>art. 8</w:t>
      </w:r>
      <w:r>
        <w:rPr>
          <w:rFonts w:ascii="Calibri" w:eastAsia="Calibri" w:hAnsi="Calibri" w:cs="Calibri"/>
          <w:color w:val="1A1A1A"/>
        </w:rPr>
        <w:t xml:space="preserve"> (</w:t>
      </w:r>
      <w:r>
        <w:rPr>
          <w:rFonts w:ascii="Calibri" w:eastAsia="Calibri" w:hAnsi="Calibri" w:cs="Calibri"/>
          <w:color w:val="E91E63"/>
        </w:rPr>
        <w:t>Pretty</w:t>
      </w:r>
      <w:r>
        <w:rPr>
          <w:rFonts w:ascii="Calibri" w:eastAsia="Calibri" w:hAnsi="Calibri" w:cs="Calibri"/>
          <w:color w:val="1A1A1A"/>
        </w:rPr>
        <w:t xml:space="preserve">). Les individus peuvent opérer des choix de nature à porter atteinte à leur intégrité physique ou morale dès lors qu’ils y consentent de manière </w:t>
      </w:r>
      <w:r>
        <w:rPr>
          <w:rFonts w:ascii="Calibri" w:eastAsia="Calibri" w:hAnsi="Calibri" w:cs="Calibri"/>
          <w:b/>
          <w:bCs/>
          <w:color w:val="1A1A1A"/>
        </w:rPr>
        <w:t>totalement libre et éclairée</w:t>
      </w:r>
      <w:r>
        <w:rPr>
          <w:rFonts w:ascii="Calibri" w:eastAsia="Calibri" w:hAnsi="Calibri" w:cs="Calibri"/>
          <w:color w:val="1A1A1A"/>
        </w:rPr>
        <w:t xml:space="preserve"> : entretenir des relations sexuelles, y compris des pratiques violentes de type sadomasochiste librement consenties (</w:t>
      </w:r>
      <w:r>
        <w:rPr>
          <w:rFonts w:ascii="Calibri" w:eastAsia="Calibri" w:hAnsi="Calibri" w:cs="Calibri"/>
          <w:color w:val="E91E63"/>
        </w:rPr>
        <w:t>CEDH, 17 février 2005, K.A. et A.D. c. Belgique, n° 42758/98 et 45558/99</w:t>
      </w:r>
      <w:r>
        <w:rPr>
          <w:rFonts w:ascii="Calibri" w:eastAsia="Calibri" w:hAnsi="Calibri" w:cs="Calibri"/>
          <w:color w:val="1A1A1A"/>
        </w:rPr>
        <w:t>) ; refuser des traitements médicaux en dépit de conséquences très graves pour la santé voire la vie (</w:t>
      </w:r>
      <w:r>
        <w:rPr>
          <w:rFonts w:ascii="Calibri" w:eastAsia="Calibri" w:hAnsi="Calibri" w:cs="Calibri"/>
          <w:color w:val="E91E63"/>
        </w:rPr>
        <w:t>CEDH, GC, 17 septembre 2024, Pindo Mulla c. Espagne, n° 15541/20</w:t>
      </w:r>
      <w:r>
        <w:rPr>
          <w:rFonts w:ascii="Calibri" w:eastAsia="Calibri" w:hAnsi="Calibri" w:cs="Calibri"/>
          <w:color w:val="1A1A1A"/>
        </w:rPr>
        <w:t>).</w:t>
      </w:r>
    </w:p>
    <w:p w14:paraId="52FA855A" w14:textId="77777777" w:rsidR="00CD361C" w:rsidRPr="00CD361C" w:rsidRDefault="00000000">
      <w:pPr>
        <w:pStyle w:val="Paragraphedeliste"/>
        <w:numPr>
          <w:ilvl w:val="0"/>
          <w:numId w:val="2"/>
        </w:numPr>
        <w:spacing w:after="70" w:line="264" w:lineRule="auto"/>
        <w:jc w:val="both"/>
      </w:pPr>
      <w:r>
        <w:rPr>
          <w:rFonts w:ascii="Calibri" w:eastAsia="Calibri" w:hAnsi="Calibri" w:cs="Calibri"/>
          <w:b/>
          <w:bCs/>
          <w:color w:val="1A1A1A"/>
        </w:rPr>
        <w:t>Le contentieux de l’état civil — une chronologie à maîtriser</w:t>
      </w:r>
      <w:r>
        <w:rPr>
          <w:rFonts w:ascii="Calibri" w:eastAsia="Calibri" w:hAnsi="Calibri" w:cs="Calibri"/>
          <w:color w:val="1A1A1A"/>
        </w:rPr>
        <w:t xml:space="preserve"> : </w:t>
      </w:r>
    </w:p>
    <w:p w14:paraId="500D8275" w14:textId="77777777" w:rsidR="00CD361C" w:rsidRPr="00CD361C" w:rsidRDefault="00000000" w:rsidP="00CD361C">
      <w:pPr>
        <w:pStyle w:val="Paragraphedeliste"/>
        <w:numPr>
          <w:ilvl w:val="0"/>
          <w:numId w:val="3"/>
        </w:numPr>
        <w:spacing w:after="70" w:line="264" w:lineRule="auto"/>
        <w:jc w:val="both"/>
      </w:pPr>
      <w:r>
        <w:rPr>
          <w:rFonts w:ascii="Calibri" w:eastAsia="Calibri" w:hAnsi="Calibri" w:cs="Calibri"/>
          <w:color w:val="1A1A1A"/>
        </w:rPr>
        <w:t>refus initial de la rectification du sexe (</w:t>
      </w:r>
      <w:r>
        <w:rPr>
          <w:rFonts w:ascii="Calibri" w:eastAsia="Calibri" w:hAnsi="Calibri" w:cs="Calibri"/>
          <w:color w:val="E91E63"/>
        </w:rPr>
        <w:t>Cass. civ. 1re, 21 mai 1990, n° 88-12.829</w:t>
      </w:r>
      <w:r>
        <w:rPr>
          <w:rFonts w:ascii="Calibri" w:eastAsia="Calibri" w:hAnsi="Calibri" w:cs="Calibri"/>
          <w:color w:val="1A1A1A"/>
        </w:rPr>
        <w:t>) ; condamnation de la France (</w:t>
      </w:r>
      <w:r>
        <w:rPr>
          <w:rFonts w:ascii="Calibri" w:eastAsia="Calibri" w:hAnsi="Calibri" w:cs="Calibri"/>
          <w:color w:val="E91E63"/>
        </w:rPr>
        <w:t>CEDH, AP, 25 mars 1992, B. c. France, n° 13343/87</w:t>
      </w:r>
      <w:r>
        <w:rPr>
          <w:rFonts w:ascii="Calibri" w:eastAsia="Calibri" w:hAnsi="Calibri" w:cs="Calibri"/>
          <w:color w:val="1A1A1A"/>
        </w:rPr>
        <w:t xml:space="preserve">) ; </w:t>
      </w:r>
    </w:p>
    <w:p w14:paraId="48253A93" w14:textId="77777777" w:rsidR="00CD361C" w:rsidRPr="00CD361C" w:rsidRDefault="00000000" w:rsidP="00CD361C">
      <w:pPr>
        <w:pStyle w:val="Paragraphedeliste"/>
        <w:numPr>
          <w:ilvl w:val="0"/>
          <w:numId w:val="3"/>
        </w:numPr>
        <w:spacing w:after="70" w:line="264" w:lineRule="auto"/>
        <w:jc w:val="both"/>
      </w:pPr>
      <w:r>
        <w:rPr>
          <w:rFonts w:ascii="Calibri" w:eastAsia="Calibri" w:hAnsi="Calibri" w:cs="Calibri"/>
          <w:color w:val="1A1A1A"/>
        </w:rPr>
        <w:t xml:space="preserve">revirement, mais avec cinq critères dont le </w:t>
      </w:r>
      <w:r>
        <w:rPr>
          <w:rFonts w:ascii="Calibri" w:eastAsia="Calibri" w:hAnsi="Calibri" w:cs="Calibri"/>
          <w:b/>
          <w:bCs/>
          <w:color w:val="1A1A1A"/>
        </w:rPr>
        <w:t>caractère irréversible</w:t>
      </w:r>
      <w:r>
        <w:rPr>
          <w:rFonts w:ascii="Calibri" w:eastAsia="Calibri" w:hAnsi="Calibri" w:cs="Calibri"/>
          <w:color w:val="1A1A1A"/>
        </w:rPr>
        <w:t xml:space="preserve"> de la transformation (</w:t>
      </w:r>
      <w:r>
        <w:rPr>
          <w:rFonts w:ascii="Calibri" w:eastAsia="Calibri" w:hAnsi="Calibri" w:cs="Calibri"/>
          <w:color w:val="E91E63"/>
        </w:rPr>
        <w:t>Cass., ass. plén., 11 décembre 1992, n° 91-11.900</w:t>
      </w:r>
      <w:r>
        <w:rPr>
          <w:rFonts w:ascii="Calibri" w:eastAsia="Calibri" w:hAnsi="Calibri" w:cs="Calibri"/>
          <w:color w:val="1A1A1A"/>
        </w:rPr>
        <w:t>) ; nouvelle condamnation — une telle obligation méconnaît le droit à l’autonomie personnelle et à l’intégrité physique (</w:t>
      </w:r>
      <w:r>
        <w:rPr>
          <w:rFonts w:ascii="Calibri" w:eastAsia="Calibri" w:hAnsi="Calibri" w:cs="Calibri"/>
          <w:color w:val="E91E63"/>
        </w:rPr>
        <w:t>CEDH, 6 avril 2017, A.P., Garçon et Nicot c. France</w:t>
      </w:r>
      <w:r>
        <w:rPr>
          <w:rFonts w:ascii="Calibri" w:eastAsia="Calibri" w:hAnsi="Calibri" w:cs="Calibri"/>
          <w:color w:val="1A1A1A"/>
        </w:rPr>
        <w:t xml:space="preserve">) ; </w:t>
      </w:r>
    </w:p>
    <w:p w14:paraId="48D8BA82" w14:textId="315294DA" w:rsidR="004A4E1F" w:rsidRDefault="00000000" w:rsidP="00CD361C">
      <w:pPr>
        <w:pStyle w:val="Paragraphedeliste"/>
        <w:numPr>
          <w:ilvl w:val="0"/>
          <w:numId w:val="3"/>
        </w:numPr>
        <w:spacing w:after="70" w:line="264" w:lineRule="auto"/>
        <w:jc w:val="both"/>
      </w:pPr>
      <w:r>
        <w:rPr>
          <w:rFonts w:ascii="Calibri" w:eastAsia="Calibri" w:hAnsi="Calibri" w:cs="Calibri"/>
          <w:color w:val="1A1A1A"/>
        </w:rPr>
        <w:t xml:space="preserve">disparition de l’obligation par la </w:t>
      </w:r>
      <w:r>
        <w:rPr>
          <w:rFonts w:ascii="Calibri" w:eastAsia="Calibri" w:hAnsi="Calibri" w:cs="Calibri"/>
          <w:color w:val="1E88E5"/>
        </w:rPr>
        <w:t>loi n° 2016-1547 du 18 novembre 2016</w:t>
      </w:r>
      <w:r>
        <w:rPr>
          <w:rFonts w:ascii="Calibri" w:eastAsia="Calibri" w:hAnsi="Calibri" w:cs="Calibri"/>
          <w:color w:val="1A1A1A"/>
        </w:rPr>
        <w:t>, créant l’</w:t>
      </w:r>
      <w:r>
        <w:rPr>
          <w:rFonts w:ascii="Calibri" w:eastAsia="Calibri" w:hAnsi="Calibri" w:cs="Calibri"/>
          <w:color w:val="1E88E5"/>
        </w:rPr>
        <w:t>art. 61-6 du Code civil</w:t>
      </w:r>
      <w:r>
        <w:rPr>
          <w:rFonts w:ascii="Calibri" w:eastAsia="Calibri" w:hAnsi="Calibri" w:cs="Calibri"/>
          <w:color w:val="1A1A1A"/>
        </w:rPr>
        <w:t xml:space="preserve"> (le changement de sexe à l’état civil n’est pas subordonné à des traitements médicaux, chirurgicaux ou à une stérilisation) ; conformité de l’</w:t>
      </w:r>
      <w:r>
        <w:rPr>
          <w:rFonts w:ascii="Calibri" w:eastAsia="Calibri" w:hAnsi="Calibri" w:cs="Calibri"/>
          <w:color w:val="1E88E5"/>
        </w:rPr>
        <w:t>art. 56 de cette loi</w:t>
      </w:r>
      <w:r>
        <w:rPr>
          <w:rFonts w:ascii="Calibri" w:eastAsia="Calibri" w:hAnsi="Calibri" w:cs="Calibri"/>
          <w:color w:val="1A1A1A"/>
        </w:rPr>
        <w:t xml:space="preserve"> : </w:t>
      </w:r>
      <w:r>
        <w:rPr>
          <w:rFonts w:ascii="Calibri" w:eastAsia="Calibri" w:hAnsi="Calibri" w:cs="Calibri"/>
          <w:color w:val="E91E63"/>
        </w:rPr>
        <w:t>Cons. const., 2016-739 DC, 17 novembre 2016</w:t>
      </w:r>
      <w:r>
        <w:rPr>
          <w:rFonts w:ascii="Calibri" w:eastAsia="Calibri" w:hAnsi="Calibri" w:cs="Calibri"/>
          <w:color w:val="1A1A1A"/>
        </w:rPr>
        <w:t>.</w:t>
      </w:r>
    </w:p>
    <w:p w14:paraId="3D77D622"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Les limites françaises</w:t>
      </w:r>
      <w:r>
        <w:rPr>
          <w:rFonts w:ascii="Calibri" w:eastAsia="Calibri" w:hAnsi="Calibri" w:cs="Calibri"/>
          <w:color w:val="1A1A1A"/>
        </w:rPr>
        <w:t xml:space="preserve"> : le droit de disposer de son corps n’est pas absolu. </w:t>
      </w:r>
      <w:r w:rsidRPr="00CD361C">
        <w:rPr>
          <w:rFonts w:ascii="Calibri" w:eastAsia="Calibri" w:hAnsi="Calibri" w:cs="Calibri"/>
          <w:color w:val="1A1A1A"/>
          <w:highlight w:val="yellow"/>
        </w:rPr>
        <w:t xml:space="preserve">La </w:t>
      </w:r>
      <w:r w:rsidRPr="00CD361C">
        <w:rPr>
          <w:rFonts w:ascii="Calibri" w:eastAsia="Calibri" w:hAnsi="Calibri" w:cs="Calibri"/>
          <w:b/>
          <w:bCs/>
          <w:color w:val="1A1A1A"/>
          <w:highlight w:val="yellow"/>
        </w:rPr>
        <w:t>dignité, conçue de manière objective</w:t>
      </w:r>
      <w:r w:rsidRPr="00CD361C">
        <w:rPr>
          <w:rFonts w:ascii="Calibri" w:eastAsia="Calibri" w:hAnsi="Calibri" w:cs="Calibri"/>
          <w:color w:val="1A1A1A"/>
          <w:highlight w:val="yellow"/>
        </w:rPr>
        <w:t>, peut justifier des atteintes</w:t>
      </w:r>
      <w:r>
        <w:rPr>
          <w:rFonts w:ascii="Calibri" w:eastAsia="Calibri" w:hAnsi="Calibri" w:cs="Calibri"/>
          <w:color w:val="1A1A1A"/>
        </w:rPr>
        <w:t xml:space="preserve"> (</w:t>
      </w:r>
      <w:r>
        <w:rPr>
          <w:rFonts w:ascii="Calibri" w:eastAsia="Calibri" w:hAnsi="Calibri" w:cs="Calibri"/>
          <w:color w:val="E91E63"/>
        </w:rPr>
        <w:t>CE, Ass., 27 octobre 1995, Morsang-sur-Orge, n° 136727</w:t>
      </w:r>
      <w:r>
        <w:rPr>
          <w:rFonts w:ascii="Calibri" w:eastAsia="Calibri" w:hAnsi="Calibri" w:cs="Calibri"/>
          <w:color w:val="1A1A1A"/>
        </w:rPr>
        <w:t>). En droit pénal, le consentement de la victime ne rend pas légales les atteintes à son intégrité : il n’est pas à lui seul un fait justificatif, l’atteinte devant également poursuivre un motif légitime. En droit civil, le consentement de la victime ne constitue plus une cause d’exonération totale ou partielle (</w:t>
      </w:r>
      <w:r>
        <w:rPr>
          <w:rFonts w:ascii="Calibri" w:eastAsia="Calibri" w:hAnsi="Calibri" w:cs="Calibri"/>
          <w:color w:val="E91E63"/>
        </w:rPr>
        <w:t>Cass. civ. 2e, 4 novembre 2010, n° 09-65.947</w:t>
      </w:r>
      <w:r>
        <w:rPr>
          <w:rFonts w:ascii="Calibri" w:eastAsia="Calibri" w:hAnsi="Calibri" w:cs="Calibri"/>
          <w:color w:val="1A1A1A"/>
        </w:rPr>
        <w:t xml:space="preserve"> — suppression de l’acceptation des risques en matière d’activités sportives).</w:t>
      </w:r>
    </w:p>
    <w:p w14:paraId="61086BE1" w14:textId="77777777" w:rsidR="00CD361C" w:rsidRPr="00CD361C"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sidRPr="00CD361C">
        <w:rPr>
          <w:rFonts w:ascii="Calibri" w:eastAsia="Calibri" w:hAnsi="Calibri" w:cs="Calibri"/>
          <w:b/>
          <w:bCs/>
          <w:color w:val="1A1A1A"/>
          <w:highlight w:val="yellow"/>
        </w:rPr>
        <w:t>Actualité 1</w:t>
      </w:r>
      <w:r>
        <w:rPr>
          <w:rFonts w:ascii="Calibri" w:eastAsia="Calibri" w:hAnsi="Calibri" w:cs="Calibri"/>
          <w:b/>
          <w:bCs/>
          <w:color w:val="1A1A1A"/>
        </w:rPr>
        <w:t xml:space="preserve"> — le consentement suffit-il à écarter une atteinte à la dignité ?</w:t>
      </w:r>
      <w:r>
        <w:rPr>
          <w:rFonts w:ascii="Calibri" w:eastAsia="Calibri" w:hAnsi="Calibri" w:cs="Calibri"/>
          <w:color w:val="1A1A1A"/>
        </w:rPr>
        <w:t xml:space="preserve"> En février 2026, le juge des référés du tribunal administratif de Paris avait suspendu la fermeture de l’établissement « Z Machine », dans lequel étaient organisées des pratiques sexuelles collectives : les participants pouvant déterminer les conditions de déroulement et en demander l’arrêt à tout moment, le juge avait considéré qu’un doute sérieux existait sur la réalité de l’atteinte à leur dignité (</w:t>
      </w:r>
      <w:r>
        <w:rPr>
          <w:rFonts w:ascii="Calibri" w:eastAsia="Calibri" w:hAnsi="Calibri" w:cs="Calibri"/>
          <w:color w:val="E91E63"/>
        </w:rPr>
        <w:t>TA Paris, ord., 9 février 2026, Société Z Machine, n° 2602318</w:t>
      </w:r>
      <w:r>
        <w:rPr>
          <w:rFonts w:ascii="Calibri" w:eastAsia="Calibri" w:hAnsi="Calibri" w:cs="Calibri"/>
          <w:color w:val="1A1A1A"/>
        </w:rPr>
        <w:t xml:space="preserve">). Le Conseil d’État censure ce raisonnement : la dignité constitue une </w:t>
      </w:r>
      <w:r>
        <w:rPr>
          <w:rFonts w:ascii="Calibri" w:eastAsia="Calibri" w:hAnsi="Calibri" w:cs="Calibri"/>
          <w:b/>
          <w:bCs/>
          <w:color w:val="1A1A1A"/>
        </w:rPr>
        <w:t>composante de l’ordre public</w:t>
      </w:r>
      <w:r>
        <w:rPr>
          <w:rFonts w:ascii="Calibri" w:eastAsia="Calibri" w:hAnsi="Calibri" w:cs="Calibri"/>
          <w:color w:val="1A1A1A"/>
        </w:rPr>
        <w:t xml:space="preserve">, une activité peut y porter atteinte indépendamment de circonstances locales particulières, et </w:t>
      </w:r>
      <w:r w:rsidRPr="00CD361C">
        <w:rPr>
          <w:rFonts w:ascii="Calibri" w:eastAsia="Calibri" w:hAnsi="Calibri" w:cs="Calibri"/>
          <w:color w:val="1A1A1A"/>
          <w:highlight w:val="yellow"/>
        </w:rPr>
        <w:t xml:space="preserve">le </w:t>
      </w:r>
      <w:r w:rsidRPr="00CD361C">
        <w:rPr>
          <w:rFonts w:ascii="Calibri" w:eastAsia="Calibri" w:hAnsi="Calibri" w:cs="Calibri"/>
          <w:b/>
          <w:bCs/>
          <w:color w:val="1A1A1A"/>
          <w:highlight w:val="yellow"/>
        </w:rPr>
        <w:t>seul consentement des personnes concernées ne suffit pas</w:t>
      </w:r>
      <w:r w:rsidRPr="00CD361C">
        <w:rPr>
          <w:rFonts w:ascii="Calibri" w:eastAsia="Calibri" w:hAnsi="Calibri" w:cs="Calibri"/>
          <w:color w:val="1A1A1A"/>
          <w:highlight w:val="yellow"/>
        </w:rPr>
        <w:t xml:space="preserve"> à exclure une telle atteinte</w:t>
      </w:r>
      <w:r>
        <w:rPr>
          <w:rFonts w:ascii="Calibri" w:eastAsia="Calibri" w:hAnsi="Calibri" w:cs="Calibri"/>
          <w:color w:val="1A1A1A"/>
        </w:rPr>
        <w:t xml:space="preserve">. Le juge doit rechercher si, </w:t>
      </w:r>
      <w:r>
        <w:rPr>
          <w:rFonts w:ascii="Calibri" w:eastAsia="Calibri" w:hAnsi="Calibri" w:cs="Calibri"/>
          <w:b/>
          <w:bCs/>
          <w:color w:val="1A1A1A"/>
        </w:rPr>
        <w:t>par leur nature et leurs conditions concrètes d’organisation</w:t>
      </w:r>
      <w:r>
        <w:rPr>
          <w:rFonts w:ascii="Calibri" w:eastAsia="Calibri" w:hAnsi="Calibri" w:cs="Calibri"/>
          <w:color w:val="1A1A1A"/>
        </w:rPr>
        <w:t>, les pratiques conduisent à un traitement incompatible avec la dignité (</w:t>
      </w:r>
      <w:r>
        <w:rPr>
          <w:rFonts w:ascii="Calibri" w:eastAsia="Calibri" w:hAnsi="Calibri" w:cs="Calibri"/>
          <w:color w:val="E91E63"/>
        </w:rPr>
        <w:t>CE, 15 juillet 2026, Société Z Machine, n° 513080</w:t>
      </w:r>
      <w:r>
        <w:rPr>
          <w:rFonts w:ascii="Calibri" w:eastAsia="Calibri" w:hAnsi="Calibri" w:cs="Calibri"/>
          <w:color w:val="1A1A1A"/>
        </w:rPr>
        <w:t xml:space="preserve">). En l’espèce, </w:t>
      </w:r>
      <w:r w:rsidR="00CD361C">
        <w:rPr>
          <w:rFonts w:ascii="Calibri" w:eastAsia="Calibri" w:hAnsi="Calibri" w:cs="Calibri"/>
          <w:color w:val="1A1A1A"/>
        </w:rPr>
        <w:t>il était question d’</w:t>
      </w:r>
      <w:r>
        <w:rPr>
          <w:rFonts w:ascii="Calibri" w:eastAsia="Calibri" w:hAnsi="Calibri" w:cs="Calibri"/>
          <w:color w:val="1A1A1A"/>
        </w:rPr>
        <w:t xml:space="preserve">événements organisés contre paiement autour de scénarios pouvant comporter violences, séquestrations, enlèvements ou agressions sexuelles, les participants étant présentés comme pouvant être « utilisées » et réduites à un rôle d’objet sexuel. </w:t>
      </w:r>
    </w:p>
    <w:p w14:paraId="395EA613" w14:textId="206F186A" w:rsidR="004A4E1F" w:rsidRDefault="00000000" w:rsidP="00CD361C">
      <w:pPr>
        <w:pStyle w:val="Paragraphedeliste"/>
        <w:spacing w:after="70" w:line="264" w:lineRule="auto"/>
        <w:ind w:left="340"/>
        <w:jc w:val="both"/>
      </w:pPr>
      <w:r>
        <w:rPr>
          <w:rFonts w:ascii="Calibri" w:eastAsia="Calibri" w:hAnsi="Calibri" w:cs="Calibri"/>
          <w:b/>
          <w:bCs/>
          <w:color w:val="1A1A1A"/>
        </w:rPr>
        <w:t>Second apport</w:t>
      </w:r>
      <w:r>
        <w:rPr>
          <w:rFonts w:ascii="Calibri" w:eastAsia="Calibri" w:hAnsi="Calibri" w:cs="Calibri"/>
          <w:color w:val="1A1A1A"/>
        </w:rPr>
        <w:t xml:space="preserve"> : le Conseil d’État se fonde sur la nouvelle rédaction de l’</w:t>
      </w:r>
      <w:r>
        <w:rPr>
          <w:rFonts w:ascii="Calibri" w:eastAsia="Calibri" w:hAnsi="Calibri" w:cs="Calibri"/>
          <w:color w:val="1E88E5"/>
        </w:rPr>
        <w:t>art. 222-22 du Code pénal</w:t>
      </w:r>
      <w:r>
        <w:rPr>
          <w:rFonts w:ascii="Calibri" w:eastAsia="Calibri" w:hAnsi="Calibri" w:cs="Calibri"/>
          <w:color w:val="1A1A1A"/>
        </w:rPr>
        <w:t xml:space="preserve">, issue de la </w:t>
      </w:r>
      <w:r w:rsidRPr="00CD361C">
        <w:rPr>
          <w:rFonts w:ascii="Calibri" w:eastAsia="Calibri" w:hAnsi="Calibri" w:cs="Calibri"/>
          <w:color w:val="0070C0"/>
        </w:rPr>
        <w:t>loi du 6 novembre 2025</w:t>
      </w:r>
      <w:r>
        <w:rPr>
          <w:rFonts w:ascii="Calibri" w:eastAsia="Calibri" w:hAnsi="Calibri" w:cs="Calibri"/>
          <w:color w:val="1A1A1A"/>
        </w:rPr>
        <w:t xml:space="preserve">, pour estimer que les conditions d’organisation — exercice de contraintes physiques, incitation à la consommation d’alcool — faisaient apparaître un risque suffisamment sérieux de commission d’infractions pénales. </w:t>
      </w:r>
      <w:r w:rsidRPr="00CD361C">
        <w:rPr>
          <w:rFonts w:ascii="Calibri" w:eastAsia="Calibri" w:hAnsi="Calibri" w:cs="Calibri"/>
          <w:b/>
          <w:bCs/>
          <w:color w:val="1A1A1A"/>
          <w:highlight w:val="yellow"/>
        </w:rPr>
        <w:t>À retenir</w:t>
      </w:r>
      <w:r>
        <w:rPr>
          <w:rFonts w:ascii="Calibri" w:eastAsia="Calibri" w:hAnsi="Calibri" w:cs="Calibri"/>
          <w:color w:val="1A1A1A"/>
        </w:rPr>
        <w:t xml:space="preserve"> : l’arrêt prolonge la conception objective de </w:t>
      </w:r>
      <w:r>
        <w:rPr>
          <w:rFonts w:ascii="Calibri" w:eastAsia="Calibri" w:hAnsi="Calibri" w:cs="Calibri"/>
          <w:color w:val="E91E63"/>
        </w:rPr>
        <w:t>Morsang-sur-Orge</w:t>
      </w:r>
      <w:r>
        <w:rPr>
          <w:rFonts w:ascii="Calibri" w:eastAsia="Calibri" w:hAnsi="Calibri" w:cs="Calibri"/>
          <w:color w:val="1A1A1A"/>
        </w:rPr>
        <w:t xml:space="preserve"> — le consentement ne fait pas nécessairement disparaître la réification.</w:t>
      </w:r>
    </w:p>
    <w:p w14:paraId="7F160AEE"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sidRPr="00BF3931">
        <w:rPr>
          <w:rFonts w:ascii="Calibri" w:eastAsia="Calibri" w:hAnsi="Calibri" w:cs="Calibri"/>
          <w:b/>
          <w:bCs/>
          <w:color w:val="1A1A1A"/>
          <w:highlight w:val="yellow"/>
        </w:rPr>
        <w:t>Actualité 2</w:t>
      </w:r>
      <w:r>
        <w:rPr>
          <w:rFonts w:ascii="Calibri" w:eastAsia="Calibri" w:hAnsi="Calibri" w:cs="Calibri"/>
          <w:b/>
          <w:bCs/>
          <w:color w:val="1A1A1A"/>
        </w:rPr>
        <w:t xml:space="preserve"> — le consentement entre dans la définition des agressions sexuelles</w:t>
      </w:r>
      <w:r>
        <w:rPr>
          <w:rFonts w:ascii="Calibri" w:eastAsia="Calibri" w:hAnsi="Calibri" w:cs="Calibri"/>
          <w:color w:val="1A1A1A"/>
        </w:rPr>
        <w:t xml:space="preserve"> : la </w:t>
      </w:r>
      <w:r>
        <w:rPr>
          <w:rFonts w:ascii="Calibri" w:eastAsia="Calibri" w:hAnsi="Calibri" w:cs="Calibri"/>
          <w:color w:val="1E88E5"/>
        </w:rPr>
        <w:t>loi n° 2025-1057 du 6 novembre 2025</w:t>
      </w:r>
      <w:r>
        <w:rPr>
          <w:rFonts w:ascii="Calibri" w:eastAsia="Calibri" w:hAnsi="Calibri" w:cs="Calibri"/>
          <w:color w:val="1A1A1A"/>
        </w:rPr>
        <w:t xml:space="preserve"> modifie l’</w:t>
      </w:r>
      <w:r>
        <w:rPr>
          <w:rFonts w:ascii="Calibri" w:eastAsia="Calibri" w:hAnsi="Calibri" w:cs="Calibri"/>
          <w:color w:val="1E88E5"/>
        </w:rPr>
        <w:t>art. 222-22 du Code pénal</w:t>
      </w:r>
      <w:r>
        <w:rPr>
          <w:rFonts w:ascii="Calibri" w:eastAsia="Calibri" w:hAnsi="Calibri" w:cs="Calibri"/>
          <w:color w:val="1A1A1A"/>
        </w:rPr>
        <w:t xml:space="preserve"> en définissant l’agression sexuelle comme « </w:t>
      </w:r>
      <w:r>
        <w:rPr>
          <w:rFonts w:ascii="Calibri" w:eastAsia="Calibri" w:hAnsi="Calibri" w:cs="Calibri"/>
          <w:i/>
          <w:iCs/>
          <w:color w:val="1A1A1A"/>
        </w:rPr>
        <w:t>tout acte sexuel non consenti</w:t>
      </w:r>
      <w:r>
        <w:rPr>
          <w:rFonts w:ascii="Calibri" w:eastAsia="Calibri" w:hAnsi="Calibri" w:cs="Calibri"/>
          <w:color w:val="1A1A1A"/>
        </w:rPr>
        <w:t xml:space="preserve"> ». Le consentement doit être </w:t>
      </w:r>
      <w:r>
        <w:rPr>
          <w:rFonts w:ascii="Calibri" w:eastAsia="Calibri" w:hAnsi="Calibri" w:cs="Calibri"/>
          <w:b/>
          <w:bCs/>
          <w:color w:val="1A1A1A"/>
        </w:rPr>
        <w:t>libre et éclairé, spécifique, préalable et révocable</w:t>
      </w:r>
      <w:r>
        <w:rPr>
          <w:rFonts w:ascii="Calibri" w:eastAsia="Calibri" w:hAnsi="Calibri" w:cs="Calibri"/>
          <w:color w:val="1A1A1A"/>
        </w:rPr>
        <w:t xml:space="preserve"> ; il est apprécié au regard des circonstances et </w:t>
      </w:r>
      <w:r w:rsidRPr="00BF3931">
        <w:rPr>
          <w:rFonts w:ascii="Calibri" w:eastAsia="Calibri" w:hAnsi="Calibri" w:cs="Calibri"/>
          <w:b/>
          <w:bCs/>
          <w:color w:val="EE0000"/>
        </w:rPr>
        <w:t>ne peut être déduit du seul silence ou de la seule absence de réaction</w:t>
      </w:r>
      <w:r w:rsidRPr="00BF3931">
        <w:rPr>
          <w:rFonts w:ascii="Calibri" w:eastAsia="Calibri" w:hAnsi="Calibri" w:cs="Calibri"/>
          <w:color w:val="EE0000"/>
        </w:rPr>
        <w:t xml:space="preserve"> de la victime</w:t>
      </w:r>
      <w:r>
        <w:rPr>
          <w:rFonts w:ascii="Calibri" w:eastAsia="Calibri" w:hAnsi="Calibri" w:cs="Calibri"/>
          <w:color w:val="1A1A1A"/>
        </w:rPr>
        <w:t xml:space="preserve">. La violence, la contrainte, la menace ou la surprise caractérisent nécessairement une absence de consentement, </w:t>
      </w:r>
      <w:r>
        <w:rPr>
          <w:rFonts w:ascii="Calibri" w:eastAsia="Calibri" w:hAnsi="Calibri" w:cs="Calibri"/>
          <w:b/>
          <w:bCs/>
          <w:color w:val="1A1A1A"/>
        </w:rPr>
        <w:t>sans constituer désormais les seuls cas</w:t>
      </w:r>
      <w:r>
        <w:rPr>
          <w:rFonts w:ascii="Calibri" w:eastAsia="Calibri" w:hAnsi="Calibri" w:cs="Calibri"/>
          <w:color w:val="1A1A1A"/>
        </w:rPr>
        <w:t xml:space="preserve"> dans lesquels celle-ci peut être établie. La Cour de cassation a précisé la portée de la réforme : la nouvelle rédaction </w:t>
      </w:r>
      <w:r>
        <w:rPr>
          <w:rFonts w:ascii="Calibri" w:eastAsia="Calibri" w:hAnsi="Calibri" w:cs="Calibri"/>
          <w:b/>
          <w:bCs/>
          <w:color w:val="1A1A1A"/>
        </w:rPr>
        <w:t>élargit</w:t>
      </w:r>
      <w:r>
        <w:rPr>
          <w:rFonts w:ascii="Calibri" w:eastAsia="Calibri" w:hAnsi="Calibri" w:cs="Calibri"/>
          <w:color w:val="1A1A1A"/>
        </w:rPr>
        <w:t xml:space="preserve"> les éléments constitutifs, l’absence de consentement pouvant être caractérisée indépendamment des quatre circonstances classiques ; les exigences tenant au caractère libre, éclairé, spécifique, préalable et révocable sont pour partie nouvelles. </w:t>
      </w:r>
      <w:r w:rsidRPr="004C6B9A">
        <w:rPr>
          <w:rFonts w:ascii="Calibri" w:eastAsia="Calibri" w:hAnsi="Calibri" w:cs="Calibri"/>
          <w:b/>
          <w:bCs/>
          <w:color w:val="1A1A1A"/>
          <w:highlight w:val="yellow"/>
        </w:rPr>
        <w:t>La loi est donc plus sévère et ne peut s’appliquer à des faits commis avant son entrée en vigueur</w:t>
      </w:r>
      <w:r>
        <w:rPr>
          <w:rFonts w:ascii="Calibri" w:eastAsia="Calibri" w:hAnsi="Calibri" w:cs="Calibri"/>
          <w:color w:val="1A1A1A"/>
        </w:rPr>
        <w:t xml:space="preserve"> (</w:t>
      </w:r>
      <w:r>
        <w:rPr>
          <w:rFonts w:ascii="Calibri" w:eastAsia="Calibri" w:hAnsi="Calibri" w:cs="Calibri"/>
          <w:color w:val="E91E63"/>
        </w:rPr>
        <w:t>Cass. crim., 1er juillet 2026, n° 26-82.275</w:t>
      </w:r>
      <w:r>
        <w:rPr>
          <w:rFonts w:ascii="Calibri" w:eastAsia="Calibri" w:hAnsi="Calibri" w:cs="Calibri"/>
          <w:color w:val="1A1A1A"/>
        </w:rPr>
        <w:t>).</w:t>
      </w:r>
    </w:p>
    <w:p w14:paraId="0BAE391C" w14:textId="77777777" w:rsidR="004A4E1F" w:rsidRDefault="00000000">
      <w:pPr>
        <w:pStyle w:val="Titre3"/>
        <w:spacing w:before="200" w:after="90"/>
      </w:pPr>
      <w:r>
        <w:rPr>
          <w:rFonts w:ascii="Calibri" w:eastAsia="Calibri" w:hAnsi="Calibri" w:cs="Calibri"/>
          <w:b/>
          <w:bCs/>
          <w:i/>
          <w:iCs/>
          <w:color w:val="5A5A5A"/>
          <w:sz w:val="21"/>
          <w:szCs w:val="21"/>
        </w:rPr>
        <w:lastRenderedPageBreak/>
        <w:t>1.2. Non-patrimonialité et indisponibilité du corps humain</w:t>
      </w:r>
    </w:p>
    <w:p w14:paraId="35D1A92F"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Le législateur de 1994 n’a pas expressément consacré le principe d’</w:t>
      </w:r>
      <w:r>
        <w:rPr>
          <w:rFonts w:ascii="Calibri" w:eastAsia="Calibri" w:hAnsi="Calibri" w:cs="Calibri"/>
          <w:b/>
          <w:bCs/>
          <w:color w:val="1A1A1A"/>
        </w:rPr>
        <w:t>indisponibilité</w:t>
      </w:r>
      <w:r>
        <w:rPr>
          <w:rFonts w:ascii="Calibri" w:eastAsia="Calibri" w:hAnsi="Calibri" w:cs="Calibri"/>
          <w:color w:val="1A1A1A"/>
        </w:rPr>
        <w:t xml:space="preserve"> du corps humain, à la différence des principes d’</w:t>
      </w:r>
      <w:r>
        <w:rPr>
          <w:rFonts w:ascii="Calibri" w:eastAsia="Calibri" w:hAnsi="Calibri" w:cs="Calibri"/>
          <w:b/>
          <w:bCs/>
          <w:color w:val="1A1A1A"/>
        </w:rPr>
        <w:t>inviolabilité</w:t>
      </w:r>
      <w:r>
        <w:rPr>
          <w:rFonts w:ascii="Calibri" w:eastAsia="Calibri" w:hAnsi="Calibri" w:cs="Calibri"/>
          <w:color w:val="1A1A1A"/>
        </w:rPr>
        <w:t xml:space="preserve"> (</w:t>
      </w:r>
      <w:r>
        <w:rPr>
          <w:rFonts w:ascii="Calibri" w:eastAsia="Calibri" w:hAnsi="Calibri" w:cs="Calibri"/>
          <w:color w:val="1E88E5"/>
        </w:rPr>
        <w:t>art. 16-3 C. civ.</w:t>
      </w:r>
      <w:r>
        <w:rPr>
          <w:rFonts w:ascii="Calibri" w:eastAsia="Calibri" w:hAnsi="Calibri" w:cs="Calibri"/>
          <w:color w:val="1A1A1A"/>
        </w:rPr>
        <w:t xml:space="preserve">) et de </w:t>
      </w:r>
      <w:r>
        <w:rPr>
          <w:rFonts w:ascii="Calibri" w:eastAsia="Calibri" w:hAnsi="Calibri" w:cs="Calibri"/>
          <w:b/>
          <w:bCs/>
          <w:color w:val="1A1A1A"/>
        </w:rPr>
        <w:t>non-patrimonialité</w:t>
      </w:r>
      <w:r>
        <w:rPr>
          <w:rFonts w:ascii="Calibri" w:eastAsia="Calibri" w:hAnsi="Calibri" w:cs="Calibri"/>
          <w:color w:val="1A1A1A"/>
        </w:rPr>
        <w:t xml:space="preserve"> (</w:t>
      </w:r>
      <w:r>
        <w:rPr>
          <w:rFonts w:ascii="Calibri" w:eastAsia="Calibri" w:hAnsi="Calibri" w:cs="Calibri"/>
          <w:color w:val="1E88E5"/>
        </w:rPr>
        <w:t>art. 16-5 C. civ.</w:t>
      </w:r>
      <w:r>
        <w:rPr>
          <w:rFonts w:ascii="Calibri" w:eastAsia="Calibri" w:hAnsi="Calibri" w:cs="Calibri"/>
          <w:color w:val="1A1A1A"/>
        </w:rPr>
        <w:t xml:space="preserve">). Selon le principe prétorien d’indisponibilité, toute convention portant sur le corps humain ou ses produits est interdite ; selon la non-patrimonialité, le corps ne peut faire l’objet d’actes de disposition </w:t>
      </w:r>
      <w:r>
        <w:rPr>
          <w:rFonts w:ascii="Calibri" w:eastAsia="Calibri" w:hAnsi="Calibri" w:cs="Calibri"/>
          <w:b/>
          <w:bCs/>
          <w:color w:val="1A1A1A"/>
        </w:rPr>
        <w:t>à titre onéreux</w:t>
      </w:r>
      <w:r>
        <w:rPr>
          <w:rFonts w:ascii="Calibri" w:eastAsia="Calibri" w:hAnsi="Calibri" w:cs="Calibri"/>
          <w:color w:val="1A1A1A"/>
        </w:rPr>
        <w:t xml:space="preserve">, étant hors du commerce. Les deux ne sont </w:t>
      </w:r>
      <w:r>
        <w:rPr>
          <w:rFonts w:ascii="Calibri" w:eastAsia="Calibri" w:hAnsi="Calibri" w:cs="Calibri"/>
          <w:b/>
          <w:bCs/>
          <w:color w:val="1A1A1A"/>
        </w:rPr>
        <w:t>pas synonymes</w:t>
      </w:r>
      <w:r>
        <w:rPr>
          <w:rFonts w:ascii="Calibri" w:eastAsia="Calibri" w:hAnsi="Calibri" w:cs="Calibri"/>
          <w:color w:val="1A1A1A"/>
        </w:rPr>
        <w:t xml:space="preserve"> : la cession à titre gratuit de certains éléments, produits ou déchets du corps humain demeure ainsi possible par exception légale, tandis que l’indisponibilité s’étend à tous les actes de disposition, onéreux comme gratuits.</w:t>
      </w:r>
    </w:p>
    <w:p w14:paraId="47544AE3"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La GPA</w:t>
      </w:r>
      <w:r>
        <w:rPr>
          <w:rFonts w:ascii="Calibri" w:eastAsia="Calibri" w:hAnsi="Calibri" w:cs="Calibri"/>
          <w:color w:val="1A1A1A"/>
        </w:rPr>
        <w:t xml:space="preserve"> : l’indisponibilité du corps humain et de l’état des personnes a fondé l’interdiction des conventions de mères porteuses (</w:t>
      </w:r>
      <w:r>
        <w:rPr>
          <w:rFonts w:ascii="Calibri" w:eastAsia="Calibri" w:hAnsi="Calibri" w:cs="Calibri"/>
          <w:color w:val="E91E63"/>
        </w:rPr>
        <w:t>Cass., ass. plén., 31 mai 1991, n° 90-20.105</w:t>
      </w:r>
      <w:r>
        <w:rPr>
          <w:rFonts w:ascii="Calibri" w:eastAsia="Calibri" w:hAnsi="Calibri" w:cs="Calibri"/>
          <w:color w:val="1A1A1A"/>
        </w:rPr>
        <w:t>), consacrée ensuite à l’</w:t>
      </w:r>
      <w:r>
        <w:rPr>
          <w:rFonts w:ascii="Calibri" w:eastAsia="Calibri" w:hAnsi="Calibri" w:cs="Calibri"/>
          <w:color w:val="1E88E5"/>
        </w:rPr>
        <w:t>art. 16-7 du Code civil</w:t>
      </w:r>
      <w:r>
        <w:rPr>
          <w:rFonts w:ascii="Calibri" w:eastAsia="Calibri" w:hAnsi="Calibri" w:cs="Calibri"/>
          <w:color w:val="1A1A1A"/>
        </w:rPr>
        <w:t xml:space="preserve"> par la </w:t>
      </w:r>
      <w:r>
        <w:rPr>
          <w:rFonts w:ascii="Calibri" w:eastAsia="Calibri" w:hAnsi="Calibri" w:cs="Calibri"/>
          <w:color w:val="1E88E5"/>
        </w:rPr>
        <w:t>loi du 29 juillet 1994</w:t>
      </w:r>
      <w:r>
        <w:rPr>
          <w:rFonts w:ascii="Calibri" w:eastAsia="Calibri" w:hAnsi="Calibri" w:cs="Calibri"/>
          <w:color w:val="1A1A1A"/>
        </w:rPr>
        <w:t xml:space="preserve">. </w:t>
      </w:r>
      <w:r w:rsidRPr="00833309">
        <w:rPr>
          <w:rFonts w:ascii="Calibri" w:eastAsia="Calibri" w:hAnsi="Calibri" w:cs="Calibri"/>
          <w:color w:val="1A1A1A"/>
          <w:highlight w:val="yellow"/>
        </w:rPr>
        <w:t>Exceptions</w:t>
      </w:r>
      <w:r>
        <w:rPr>
          <w:rFonts w:ascii="Calibri" w:eastAsia="Calibri" w:hAnsi="Calibri" w:cs="Calibri"/>
          <w:color w:val="1A1A1A"/>
        </w:rPr>
        <w:t xml:space="preserve"> : éléments, produits ou déchets détachables (cheveux, ongles, poils) pouvant faire l’objet d’une convention à titre onéreux ; don d’organe ou de gamète (</w:t>
      </w:r>
      <w:r>
        <w:rPr>
          <w:rFonts w:ascii="Calibri" w:eastAsia="Calibri" w:hAnsi="Calibri" w:cs="Calibri"/>
          <w:color w:val="1E88E5"/>
        </w:rPr>
        <w:t>art. L. 1211-8 CSP</w:t>
      </w:r>
      <w:r>
        <w:rPr>
          <w:rFonts w:ascii="Calibri" w:eastAsia="Calibri" w:hAnsi="Calibri" w:cs="Calibri"/>
          <w:color w:val="1A1A1A"/>
        </w:rPr>
        <w:t xml:space="preserve">), soumis au consentement du donneur, à la gratuité, à l’intérêt thérapeutique et à l’anonymat ; pour le prélèvement </w:t>
      </w:r>
      <w:r>
        <w:rPr>
          <w:rFonts w:ascii="Calibri" w:eastAsia="Calibri" w:hAnsi="Calibri" w:cs="Calibri"/>
          <w:i/>
          <w:iCs/>
          <w:color w:val="1A1A1A"/>
        </w:rPr>
        <w:t>post mortem</w:t>
      </w:r>
      <w:r>
        <w:rPr>
          <w:rFonts w:ascii="Calibri" w:eastAsia="Calibri" w:hAnsi="Calibri" w:cs="Calibri"/>
          <w:color w:val="1A1A1A"/>
        </w:rPr>
        <w:t xml:space="preserve">, la loi prévoit une </w:t>
      </w:r>
      <w:r>
        <w:rPr>
          <w:rFonts w:ascii="Calibri" w:eastAsia="Calibri" w:hAnsi="Calibri" w:cs="Calibri"/>
          <w:b/>
          <w:bCs/>
          <w:color w:val="1A1A1A"/>
        </w:rPr>
        <w:t>présomption de consentement</w:t>
      </w:r>
      <w:r>
        <w:rPr>
          <w:rFonts w:ascii="Calibri" w:eastAsia="Calibri" w:hAnsi="Calibri" w:cs="Calibri"/>
          <w:color w:val="1A1A1A"/>
        </w:rPr>
        <w:t xml:space="preserve"> de la personne décédée.</w:t>
      </w:r>
    </w:p>
    <w:p w14:paraId="07C9C601" w14:textId="77777777" w:rsidR="004A4E1F" w:rsidRDefault="00000000">
      <w:pPr>
        <w:pStyle w:val="Titre3"/>
        <w:spacing w:before="200" w:after="90"/>
      </w:pPr>
      <w:r>
        <w:rPr>
          <w:rFonts w:ascii="Calibri" w:eastAsia="Calibri" w:hAnsi="Calibri" w:cs="Calibri"/>
          <w:b/>
          <w:bCs/>
          <w:i/>
          <w:iCs/>
          <w:color w:val="5A5A5A"/>
          <w:sz w:val="21"/>
          <w:szCs w:val="21"/>
        </w:rPr>
        <w:t>1.3. Le droit à la protection de la santé</w:t>
      </w:r>
    </w:p>
    <w:p w14:paraId="62BDB82D"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Ni le droit international ni le droit national ne consacrent un droit à la santé</w:t>
      </w:r>
      <w:r>
        <w:rPr>
          <w:rFonts w:ascii="Calibri" w:eastAsia="Calibri" w:hAnsi="Calibri" w:cs="Calibri"/>
          <w:color w:val="1A1A1A"/>
        </w:rPr>
        <w:t xml:space="preserve"> : les textes n’assurent qu’un droit à la </w:t>
      </w:r>
      <w:r>
        <w:rPr>
          <w:rFonts w:ascii="Calibri" w:eastAsia="Calibri" w:hAnsi="Calibri" w:cs="Calibri"/>
          <w:b/>
          <w:bCs/>
          <w:color w:val="1A1A1A"/>
        </w:rPr>
        <w:t>protection</w:t>
      </w:r>
      <w:r>
        <w:rPr>
          <w:rFonts w:ascii="Calibri" w:eastAsia="Calibri" w:hAnsi="Calibri" w:cs="Calibri"/>
          <w:color w:val="1A1A1A"/>
        </w:rPr>
        <w:t xml:space="preserve"> de la santé, ayant vocation à protéger l’intégrité physique des individus contre les actes de l’État ou de tiers, non à leur assurer un droit à la bonne santé.</w:t>
      </w:r>
    </w:p>
    <w:p w14:paraId="234F8FCF"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xml:space="preserve">Fondements : </w:t>
      </w:r>
      <w:r>
        <w:rPr>
          <w:rFonts w:ascii="Calibri" w:eastAsia="Calibri" w:hAnsi="Calibri" w:cs="Calibri"/>
          <w:color w:val="1E88E5"/>
        </w:rPr>
        <w:t>art. 25-1 DUDH</w:t>
      </w:r>
      <w:r>
        <w:rPr>
          <w:rFonts w:ascii="Calibri" w:eastAsia="Calibri" w:hAnsi="Calibri" w:cs="Calibri"/>
          <w:color w:val="1A1A1A"/>
        </w:rPr>
        <w:t xml:space="preserve"> ; </w:t>
      </w:r>
      <w:r>
        <w:rPr>
          <w:rFonts w:ascii="Calibri" w:eastAsia="Calibri" w:hAnsi="Calibri" w:cs="Calibri"/>
          <w:color w:val="1E88E5"/>
        </w:rPr>
        <w:t>art. 12-1 PIDESC</w:t>
      </w:r>
      <w:r>
        <w:rPr>
          <w:rFonts w:ascii="Calibri" w:eastAsia="Calibri" w:hAnsi="Calibri" w:cs="Calibri"/>
          <w:color w:val="1A1A1A"/>
        </w:rPr>
        <w:t xml:space="preserve"> ; </w:t>
      </w:r>
      <w:r>
        <w:rPr>
          <w:rFonts w:ascii="Calibri" w:eastAsia="Calibri" w:hAnsi="Calibri" w:cs="Calibri"/>
          <w:color w:val="1E88E5"/>
        </w:rPr>
        <w:t>art. 11 de la Charte sociale européenne</w:t>
      </w:r>
      <w:r>
        <w:rPr>
          <w:rFonts w:ascii="Calibri" w:eastAsia="Calibri" w:hAnsi="Calibri" w:cs="Calibri"/>
          <w:color w:val="1A1A1A"/>
        </w:rPr>
        <w:t xml:space="preserve"> ; </w:t>
      </w:r>
      <w:r>
        <w:rPr>
          <w:rFonts w:ascii="Calibri" w:eastAsia="Calibri" w:hAnsi="Calibri" w:cs="Calibri"/>
          <w:color w:val="1E88E5"/>
        </w:rPr>
        <w:t>art. 35 de la Charte des droits fondamentaux de l’Union</w:t>
      </w:r>
      <w:r>
        <w:rPr>
          <w:rFonts w:ascii="Calibri" w:eastAsia="Calibri" w:hAnsi="Calibri" w:cs="Calibri"/>
          <w:color w:val="1A1A1A"/>
        </w:rPr>
        <w:t>. Absent du texte de la Convention européenne, il est protégé par interprétation dynamique — « droit diffus » pouvant être protégé par plusieurs stipulations (</w:t>
      </w:r>
      <w:r>
        <w:rPr>
          <w:rFonts w:ascii="Calibri" w:eastAsia="Calibri" w:hAnsi="Calibri" w:cs="Calibri"/>
          <w:color w:val="E91E63"/>
        </w:rPr>
        <w:t>CEDH, GC, 19 décembre 2017, Lopes de Sousa Fernandes c. Portugal, n° 56080/13</w:t>
      </w:r>
      <w:r>
        <w:rPr>
          <w:rFonts w:ascii="Calibri" w:eastAsia="Calibri" w:hAnsi="Calibri" w:cs="Calibri"/>
          <w:color w:val="1A1A1A"/>
        </w:rPr>
        <w:t>). En France, il découle de l’</w:t>
      </w:r>
      <w:r>
        <w:rPr>
          <w:rFonts w:ascii="Calibri" w:eastAsia="Calibri" w:hAnsi="Calibri" w:cs="Calibri"/>
          <w:color w:val="1E88E5"/>
        </w:rPr>
        <w:t>alinéa 11 du Préambule de 1946</w:t>
      </w:r>
      <w:r>
        <w:rPr>
          <w:rFonts w:ascii="Calibri" w:eastAsia="Calibri" w:hAnsi="Calibri" w:cs="Calibri"/>
          <w:color w:val="1A1A1A"/>
        </w:rPr>
        <w:t xml:space="preserve"> ; d’abord qualifié de principe à valeur constitutionnelle (</w:t>
      </w:r>
      <w:r>
        <w:rPr>
          <w:rFonts w:ascii="Calibri" w:eastAsia="Calibri" w:hAnsi="Calibri" w:cs="Calibri"/>
          <w:color w:val="E91E63"/>
        </w:rPr>
        <w:t>Cons. const., 80-117 DC, 22 juillet 1980, Loi sur la protection et le contrôle des matières nucléaires</w:t>
      </w:r>
      <w:r>
        <w:rPr>
          <w:rFonts w:ascii="Calibri" w:eastAsia="Calibri" w:hAnsi="Calibri" w:cs="Calibri"/>
          <w:color w:val="1A1A1A"/>
        </w:rPr>
        <w:t xml:space="preserve">), il est ensuite considéré comme un </w:t>
      </w:r>
      <w:r w:rsidRPr="00277BB0">
        <w:rPr>
          <w:rFonts w:ascii="Calibri" w:eastAsia="Calibri" w:hAnsi="Calibri" w:cs="Calibri"/>
          <w:b/>
          <w:bCs/>
          <w:color w:val="1A1A1A"/>
          <w:highlight w:val="yellow"/>
        </w:rPr>
        <w:t>objectif de valeur constitutionnelle</w:t>
      </w:r>
      <w:r>
        <w:rPr>
          <w:rFonts w:ascii="Calibri" w:eastAsia="Calibri" w:hAnsi="Calibri" w:cs="Calibri"/>
          <w:color w:val="1A1A1A"/>
        </w:rPr>
        <w:t xml:space="preserve"> (</w:t>
      </w:r>
      <w:r>
        <w:rPr>
          <w:rFonts w:ascii="Calibri" w:eastAsia="Calibri" w:hAnsi="Calibri" w:cs="Calibri"/>
          <w:color w:val="E91E63"/>
        </w:rPr>
        <w:t>Cons. const., 2022-835 DC, 21 janvier 2022</w:t>
      </w:r>
      <w:r>
        <w:rPr>
          <w:rFonts w:ascii="Calibri" w:eastAsia="Calibri" w:hAnsi="Calibri" w:cs="Calibri"/>
          <w:color w:val="1A1A1A"/>
        </w:rPr>
        <w:t>).</w:t>
      </w:r>
    </w:p>
    <w:p w14:paraId="3E4CBC89" w14:textId="77777777" w:rsidR="004A4E1F" w:rsidRDefault="00000000">
      <w:pPr>
        <w:pStyle w:val="Titre3"/>
        <w:spacing w:before="200" w:after="90"/>
      </w:pPr>
      <w:r>
        <w:rPr>
          <w:rFonts w:ascii="Calibri" w:eastAsia="Calibri" w:hAnsi="Calibri" w:cs="Calibri"/>
          <w:b/>
          <w:bCs/>
          <w:i/>
          <w:iCs/>
          <w:color w:val="5A5A5A"/>
          <w:sz w:val="21"/>
          <w:szCs w:val="21"/>
        </w:rPr>
        <w:t>1.4. L’inviolabilité du corps humain</w:t>
      </w:r>
    </w:p>
    <w:p w14:paraId="20E9A06C"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Obligations négatives et positives</w:t>
      </w:r>
      <w:r>
        <w:rPr>
          <w:rFonts w:ascii="Calibri" w:eastAsia="Calibri" w:hAnsi="Calibri" w:cs="Calibri"/>
          <w:color w:val="1A1A1A"/>
        </w:rPr>
        <w:t xml:space="preserve"> : l’État doit s’abstenir d’ingérences injustifiées — telle la réalisation d’une fouille à corps (</w:t>
      </w:r>
      <w:r>
        <w:rPr>
          <w:rFonts w:ascii="Calibri" w:eastAsia="Calibri" w:hAnsi="Calibri" w:cs="Calibri"/>
          <w:color w:val="E91E63"/>
        </w:rPr>
        <w:t>CEDH, 26 septembre 2006, Wainwright c. Royaume-Uni, n° 12350/04</w:t>
      </w:r>
      <w:r>
        <w:rPr>
          <w:rFonts w:ascii="Calibri" w:eastAsia="Calibri" w:hAnsi="Calibri" w:cs="Calibri"/>
          <w:color w:val="1A1A1A"/>
        </w:rPr>
        <w:t>) — et assurer la protection de l’intégrité physique jusque dans les relations interindividuelles (</w:t>
      </w:r>
      <w:r>
        <w:rPr>
          <w:rFonts w:ascii="Calibri" w:eastAsia="Calibri" w:hAnsi="Calibri" w:cs="Calibri"/>
          <w:color w:val="E91E63"/>
        </w:rPr>
        <w:t>Osman</w:t>
      </w:r>
      <w:r>
        <w:rPr>
          <w:rFonts w:ascii="Calibri" w:eastAsia="Calibri" w:hAnsi="Calibri" w:cs="Calibri"/>
          <w:color w:val="1A1A1A"/>
        </w:rPr>
        <w:t xml:space="preserve"> ; </w:t>
      </w:r>
      <w:r>
        <w:rPr>
          <w:rFonts w:ascii="Calibri" w:eastAsia="Calibri" w:hAnsi="Calibri" w:cs="Calibri"/>
          <w:color w:val="E91E63"/>
        </w:rPr>
        <w:t>CEDH, 3 décembre 2024, M.Ş.D. c. Roumanie, n° 28935/21</w:t>
      </w:r>
      <w:r>
        <w:rPr>
          <w:rFonts w:ascii="Calibri" w:eastAsia="Calibri" w:hAnsi="Calibri" w:cs="Calibri"/>
          <w:color w:val="1A1A1A"/>
        </w:rPr>
        <w:t xml:space="preserve">). Il doit adopter un </w:t>
      </w:r>
      <w:r>
        <w:rPr>
          <w:rFonts w:ascii="Calibri" w:eastAsia="Calibri" w:hAnsi="Calibri" w:cs="Calibri"/>
          <w:b/>
          <w:bCs/>
          <w:color w:val="1A1A1A"/>
        </w:rPr>
        <w:t>cadre législatif adéquat et effectif</w:t>
      </w:r>
      <w:r>
        <w:rPr>
          <w:rFonts w:ascii="Calibri" w:eastAsia="Calibri" w:hAnsi="Calibri" w:cs="Calibri"/>
          <w:color w:val="1A1A1A"/>
        </w:rPr>
        <w:t xml:space="preserve"> permettant d’éviter et de sanctionner les atteintes, assorti d’une obligation procédurale d’enquêter (</w:t>
      </w:r>
      <w:r>
        <w:rPr>
          <w:rFonts w:ascii="Calibri" w:eastAsia="Calibri" w:hAnsi="Calibri" w:cs="Calibri"/>
          <w:color w:val="E91E63"/>
        </w:rPr>
        <w:t>CEDH, GC, 12 novembre 2013, Söderman c. Suède, n° 5786/08</w:t>
      </w:r>
      <w:r>
        <w:rPr>
          <w:rFonts w:ascii="Calibri" w:eastAsia="Calibri" w:hAnsi="Calibri" w:cs="Calibri"/>
          <w:color w:val="1A1A1A"/>
        </w:rPr>
        <w:t xml:space="preserve"> ; criminalisation du viol sur le fondement des </w:t>
      </w:r>
      <w:r>
        <w:rPr>
          <w:rFonts w:ascii="Calibri" w:eastAsia="Calibri" w:hAnsi="Calibri" w:cs="Calibri"/>
          <w:color w:val="1E88E5"/>
        </w:rPr>
        <w:t>art. 8 et 3</w:t>
      </w:r>
      <w:r>
        <w:rPr>
          <w:rFonts w:ascii="Calibri" w:eastAsia="Calibri" w:hAnsi="Calibri" w:cs="Calibri"/>
          <w:color w:val="1A1A1A"/>
        </w:rPr>
        <w:t xml:space="preserve"> combinés : </w:t>
      </w:r>
      <w:r>
        <w:rPr>
          <w:rFonts w:ascii="Calibri" w:eastAsia="Calibri" w:hAnsi="Calibri" w:cs="Calibri"/>
          <w:color w:val="E91E63"/>
        </w:rPr>
        <w:t>CEDH, 4 décembre 2003, M.C. c. Bulgarie, n° 39272/98</w:t>
      </w:r>
      <w:r>
        <w:rPr>
          <w:rFonts w:ascii="Calibri" w:eastAsia="Calibri" w:hAnsi="Calibri" w:cs="Calibri"/>
          <w:color w:val="1A1A1A"/>
        </w:rPr>
        <w:t xml:space="preserve"> ; </w:t>
      </w:r>
      <w:r>
        <w:rPr>
          <w:rFonts w:ascii="Calibri" w:eastAsia="Calibri" w:hAnsi="Calibri" w:cs="Calibri"/>
          <w:color w:val="E91E63"/>
        </w:rPr>
        <w:t>CEDH, 24 avril 2025, L. et a. c. France</w:t>
      </w:r>
      <w:r>
        <w:rPr>
          <w:rFonts w:ascii="Calibri" w:eastAsia="Calibri" w:hAnsi="Calibri" w:cs="Calibri"/>
          <w:color w:val="1A1A1A"/>
        </w:rPr>
        <w:t xml:space="preserve"> ; </w:t>
      </w:r>
      <w:r>
        <w:rPr>
          <w:rFonts w:ascii="Calibri" w:eastAsia="Calibri" w:hAnsi="Calibri" w:cs="Calibri"/>
          <w:color w:val="E91E63"/>
        </w:rPr>
        <w:t>CEDH, 30 août 2022, C. c. Roumanie, n° 47358/20</w:t>
      </w:r>
      <w:r>
        <w:rPr>
          <w:rFonts w:ascii="Calibri" w:eastAsia="Calibri" w:hAnsi="Calibri" w:cs="Calibri"/>
          <w:color w:val="1A1A1A"/>
        </w:rPr>
        <w:t>).</w:t>
      </w:r>
    </w:p>
    <w:p w14:paraId="3DBC221B"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Obligation d’information</w:t>
      </w:r>
      <w:r>
        <w:rPr>
          <w:rFonts w:ascii="Calibri" w:eastAsia="Calibri" w:hAnsi="Calibri" w:cs="Calibri"/>
          <w:color w:val="1A1A1A"/>
        </w:rPr>
        <w:t xml:space="preserve"> en présence d’activités dangereuses pour la santé, que l’activité soit menée par l’État (</w:t>
      </w:r>
      <w:r>
        <w:rPr>
          <w:rFonts w:ascii="Calibri" w:eastAsia="Calibri" w:hAnsi="Calibri" w:cs="Calibri"/>
          <w:color w:val="E91E63"/>
        </w:rPr>
        <w:t>CEDH, GC, 19 octobre 2005, Roche c. Royaume-Uni, n° 32555/96</w:t>
      </w:r>
      <w:r>
        <w:rPr>
          <w:rFonts w:ascii="Calibri" w:eastAsia="Calibri" w:hAnsi="Calibri" w:cs="Calibri"/>
          <w:color w:val="1A1A1A"/>
        </w:rPr>
        <w:t>) ou par des entreprises privées (</w:t>
      </w:r>
      <w:r>
        <w:rPr>
          <w:rFonts w:ascii="Calibri" w:eastAsia="Calibri" w:hAnsi="Calibri" w:cs="Calibri"/>
          <w:color w:val="E91E63"/>
        </w:rPr>
        <w:t>CEDH, 5 décembre 2013, Vilnès et a. c. Norvège, n° 52806/09 et 22703/10</w:t>
      </w:r>
      <w:r>
        <w:rPr>
          <w:rFonts w:ascii="Calibri" w:eastAsia="Calibri" w:hAnsi="Calibri" w:cs="Calibri"/>
          <w:color w:val="1A1A1A"/>
        </w:rPr>
        <w:t xml:space="preserve"> — défaut d’informations précontractuelles sur les risques encourus par les salariés).</w:t>
      </w:r>
    </w:p>
    <w:p w14:paraId="75753B99"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Droit français</w:t>
      </w:r>
      <w:r>
        <w:rPr>
          <w:rFonts w:ascii="Calibri" w:eastAsia="Calibri" w:hAnsi="Calibri" w:cs="Calibri"/>
          <w:color w:val="1A1A1A"/>
        </w:rPr>
        <w:t xml:space="preserve"> : inviolabilité consacrée par les lois bioéthiques du 29 juillet 1994 (</w:t>
      </w:r>
      <w:r>
        <w:rPr>
          <w:rFonts w:ascii="Calibri" w:eastAsia="Calibri" w:hAnsi="Calibri" w:cs="Calibri"/>
          <w:color w:val="1E88E5"/>
        </w:rPr>
        <w:t>art. 16-1 et 16-3 C. civ.</w:t>
      </w:r>
      <w:r>
        <w:rPr>
          <w:rFonts w:ascii="Calibri" w:eastAsia="Calibri" w:hAnsi="Calibri" w:cs="Calibri"/>
          <w:color w:val="1A1A1A"/>
        </w:rPr>
        <w:t xml:space="preserve">). Les atteintes commises par les tiers ne sont pas proscrites mais </w:t>
      </w:r>
      <w:r>
        <w:rPr>
          <w:rFonts w:ascii="Calibri" w:eastAsia="Calibri" w:hAnsi="Calibri" w:cs="Calibri"/>
          <w:b/>
          <w:bCs/>
          <w:color w:val="1A1A1A"/>
        </w:rPr>
        <w:t>encadrées</w:t>
      </w:r>
      <w:r>
        <w:rPr>
          <w:rFonts w:ascii="Calibri" w:eastAsia="Calibri" w:hAnsi="Calibri" w:cs="Calibri"/>
          <w:color w:val="1A1A1A"/>
        </w:rPr>
        <w:t xml:space="preserve"> : elles doivent être librement et clairement consenties et poursuivre une finalité thérapeutique pour la personne visée ou pour autrui, ou une finalité de recherche médicale (</w:t>
      </w:r>
      <w:r>
        <w:rPr>
          <w:rFonts w:ascii="Calibri" w:eastAsia="Calibri" w:hAnsi="Calibri" w:cs="Calibri"/>
          <w:color w:val="1E88E5"/>
        </w:rPr>
        <w:t>art. L. 1121-2 CSP</w:t>
      </w:r>
      <w:r>
        <w:rPr>
          <w:rFonts w:ascii="Calibri" w:eastAsia="Calibri" w:hAnsi="Calibri" w:cs="Calibri"/>
          <w:color w:val="1A1A1A"/>
        </w:rPr>
        <w:t>). Le consentement libre et éclairé du patient est par principe obligatoire, le patient disposant d’un droit de refuser les traitements (</w:t>
      </w:r>
      <w:r>
        <w:rPr>
          <w:rFonts w:ascii="Calibri" w:eastAsia="Calibri" w:hAnsi="Calibri" w:cs="Calibri"/>
          <w:color w:val="1E88E5"/>
        </w:rPr>
        <w:t>art. L. 1111-4 CSP</w:t>
      </w:r>
      <w:r>
        <w:rPr>
          <w:rFonts w:ascii="Calibri" w:eastAsia="Calibri" w:hAnsi="Calibri" w:cs="Calibri"/>
          <w:color w:val="1A1A1A"/>
        </w:rPr>
        <w:t xml:space="preserve">). L’absence d’information sur les risques fait naître, en cas de concrétisation du risque, un </w:t>
      </w:r>
      <w:r>
        <w:rPr>
          <w:rFonts w:ascii="Calibri" w:eastAsia="Calibri" w:hAnsi="Calibri" w:cs="Calibri"/>
          <w:b/>
          <w:bCs/>
          <w:color w:val="1A1A1A"/>
        </w:rPr>
        <w:t>préjudice d’impréparation</w:t>
      </w:r>
      <w:r>
        <w:rPr>
          <w:rFonts w:ascii="Calibri" w:eastAsia="Calibri" w:hAnsi="Calibri" w:cs="Calibri"/>
          <w:color w:val="1A1A1A"/>
        </w:rPr>
        <w:t xml:space="preserve"> réparable sur le fondement de l’</w:t>
      </w:r>
      <w:r>
        <w:rPr>
          <w:rFonts w:ascii="Calibri" w:eastAsia="Calibri" w:hAnsi="Calibri" w:cs="Calibri"/>
          <w:color w:val="1E88E5"/>
        </w:rPr>
        <w:t>art. 1240 C. civ.</w:t>
      </w:r>
      <w:r>
        <w:rPr>
          <w:rFonts w:ascii="Calibri" w:eastAsia="Calibri" w:hAnsi="Calibri" w:cs="Calibri"/>
          <w:color w:val="1A1A1A"/>
        </w:rPr>
        <w:t xml:space="preserve"> (</w:t>
      </w:r>
      <w:r>
        <w:rPr>
          <w:rFonts w:ascii="Calibri" w:eastAsia="Calibri" w:hAnsi="Calibri" w:cs="Calibri"/>
          <w:color w:val="E91E63"/>
        </w:rPr>
        <w:t>Cass. civ. 1re, 3 juin 2010, n° 09-13.591</w:t>
      </w:r>
      <w:r>
        <w:rPr>
          <w:rFonts w:ascii="Calibri" w:eastAsia="Calibri" w:hAnsi="Calibri" w:cs="Calibri"/>
          <w:color w:val="1A1A1A"/>
        </w:rPr>
        <w:t>) ; l’État viole l’</w:t>
      </w:r>
      <w:r>
        <w:rPr>
          <w:rFonts w:ascii="Calibri" w:eastAsia="Calibri" w:hAnsi="Calibri" w:cs="Calibri"/>
          <w:color w:val="1E88E5"/>
        </w:rPr>
        <w:t>art. 8</w:t>
      </w:r>
      <w:r>
        <w:rPr>
          <w:rFonts w:ascii="Calibri" w:eastAsia="Calibri" w:hAnsi="Calibri" w:cs="Calibri"/>
          <w:color w:val="1A1A1A"/>
        </w:rPr>
        <w:t xml:space="preserve"> lorsqu’il ne prend pas en considération le refus de traitements formulé par la mère d’un patient (</w:t>
      </w:r>
      <w:r>
        <w:rPr>
          <w:rFonts w:ascii="Calibri" w:eastAsia="Calibri" w:hAnsi="Calibri" w:cs="Calibri"/>
          <w:color w:val="E91E63"/>
        </w:rPr>
        <w:t>CEDH, 9 mars 2004, Glass c. Royaume-Uni, n° 61827/00</w:t>
      </w:r>
      <w:r>
        <w:rPr>
          <w:rFonts w:ascii="Calibri" w:eastAsia="Calibri" w:hAnsi="Calibri" w:cs="Calibri"/>
          <w:color w:val="1A1A1A"/>
        </w:rPr>
        <w:t xml:space="preserve">). Sanctions pénales : </w:t>
      </w:r>
      <w:r>
        <w:rPr>
          <w:rFonts w:ascii="Calibri" w:eastAsia="Calibri" w:hAnsi="Calibri" w:cs="Calibri"/>
          <w:color w:val="1E88E5"/>
        </w:rPr>
        <w:t>Livre II, Titre II du Code pénal</w:t>
      </w:r>
      <w:r>
        <w:rPr>
          <w:rFonts w:ascii="Calibri" w:eastAsia="Calibri" w:hAnsi="Calibri" w:cs="Calibri"/>
          <w:color w:val="1A1A1A"/>
        </w:rPr>
        <w:t xml:space="preserve"> ; voies civiles en réparation.</w:t>
      </w:r>
    </w:p>
    <w:p w14:paraId="24CA9CE4" w14:textId="77777777" w:rsidR="00690495" w:rsidRPr="00690495" w:rsidRDefault="00000000">
      <w:pPr>
        <w:pStyle w:val="Paragraphedeliste"/>
        <w:numPr>
          <w:ilvl w:val="0"/>
          <w:numId w:val="2"/>
        </w:numPr>
        <w:spacing w:after="70" w:line="264" w:lineRule="auto"/>
        <w:jc w:val="both"/>
      </w:pPr>
      <w:r w:rsidRPr="00690495">
        <w:rPr>
          <w:rFonts w:ascii="Calibri" w:eastAsia="Calibri" w:hAnsi="Calibri" w:cs="Calibri"/>
          <w:b/>
          <w:bCs/>
          <w:color w:val="1A1A1A"/>
          <w:highlight w:val="yellow"/>
        </w:rPr>
        <w:t>Les exceptions à l’exigence de consentement</w:t>
      </w:r>
      <w:r>
        <w:rPr>
          <w:rFonts w:ascii="Calibri" w:eastAsia="Calibri" w:hAnsi="Calibri" w:cs="Calibri"/>
          <w:color w:val="1A1A1A"/>
        </w:rPr>
        <w:t xml:space="preserve"> : au titre de l’</w:t>
      </w:r>
      <w:r>
        <w:rPr>
          <w:rFonts w:ascii="Calibri" w:eastAsia="Calibri" w:hAnsi="Calibri" w:cs="Calibri"/>
          <w:color w:val="1E88E5"/>
        </w:rPr>
        <w:t>art. 2</w:t>
      </w:r>
      <w:r>
        <w:rPr>
          <w:rFonts w:ascii="Calibri" w:eastAsia="Calibri" w:hAnsi="Calibri" w:cs="Calibri"/>
          <w:color w:val="1A1A1A"/>
        </w:rPr>
        <w:t>, l’État est tenu à des obligations de protection de la vie ; en cas d’</w:t>
      </w:r>
      <w:r>
        <w:rPr>
          <w:rFonts w:ascii="Calibri" w:eastAsia="Calibri" w:hAnsi="Calibri" w:cs="Calibri"/>
          <w:b/>
          <w:bCs/>
          <w:color w:val="1A1A1A"/>
        </w:rPr>
        <w:t>urgence vitale</w:t>
      </w:r>
      <w:r>
        <w:rPr>
          <w:rFonts w:ascii="Calibri" w:eastAsia="Calibri" w:hAnsi="Calibri" w:cs="Calibri"/>
          <w:color w:val="1A1A1A"/>
        </w:rPr>
        <w:t xml:space="preserve"> et en l’absence de certitude quant au refus du patient, l’obligation de protection </w:t>
      </w:r>
      <w:r>
        <w:rPr>
          <w:rFonts w:ascii="Calibri" w:eastAsia="Calibri" w:hAnsi="Calibri" w:cs="Calibri"/>
          <w:b/>
          <w:bCs/>
          <w:color w:val="1A1A1A"/>
        </w:rPr>
        <w:t>prime</w:t>
      </w:r>
      <w:r>
        <w:rPr>
          <w:rFonts w:ascii="Calibri" w:eastAsia="Calibri" w:hAnsi="Calibri" w:cs="Calibri"/>
          <w:color w:val="1A1A1A"/>
        </w:rPr>
        <w:t xml:space="preserve"> (</w:t>
      </w:r>
      <w:r>
        <w:rPr>
          <w:rFonts w:ascii="Calibri" w:eastAsia="Calibri" w:hAnsi="Calibri" w:cs="Calibri"/>
          <w:color w:val="E91E63"/>
        </w:rPr>
        <w:t>CEDH, GC, 17 septembre 2024, Pindo Mulla c. Espagne</w:t>
      </w:r>
      <w:r>
        <w:rPr>
          <w:rFonts w:ascii="Calibri" w:eastAsia="Calibri" w:hAnsi="Calibri" w:cs="Calibri"/>
          <w:color w:val="1A1A1A"/>
        </w:rPr>
        <w:t xml:space="preserve">). </w:t>
      </w:r>
    </w:p>
    <w:p w14:paraId="2D7C5BF6" w14:textId="74FCE42E" w:rsidR="004A4E1F" w:rsidRDefault="00000000" w:rsidP="00690495">
      <w:pPr>
        <w:pStyle w:val="Paragraphedeliste"/>
        <w:spacing w:after="70" w:line="264" w:lineRule="auto"/>
        <w:ind w:left="340"/>
        <w:jc w:val="both"/>
      </w:pPr>
      <w:r>
        <w:rPr>
          <w:rFonts w:ascii="Calibri" w:eastAsia="Calibri" w:hAnsi="Calibri" w:cs="Calibri"/>
          <w:b/>
          <w:bCs/>
          <w:color w:val="1A1A1A"/>
        </w:rPr>
        <w:t>Vaccinations obligatoires</w:t>
      </w:r>
      <w:r>
        <w:rPr>
          <w:rFonts w:ascii="Calibri" w:eastAsia="Calibri" w:hAnsi="Calibri" w:cs="Calibri"/>
          <w:color w:val="1A1A1A"/>
        </w:rPr>
        <w:t xml:space="preserve"> : depuis la </w:t>
      </w:r>
      <w:r>
        <w:rPr>
          <w:rFonts w:ascii="Calibri" w:eastAsia="Calibri" w:hAnsi="Calibri" w:cs="Calibri"/>
          <w:color w:val="1E88E5"/>
        </w:rPr>
        <w:t>loi du 30 décembre 2017</w:t>
      </w:r>
      <w:r>
        <w:rPr>
          <w:rFonts w:ascii="Calibri" w:eastAsia="Calibri" w:hAnsi="Calibri" w:cs="Calibri"/>
          <w:color w:val="1A1A1A"/>
        </w:rPr>
        <w:t>, onze vaccins sont obligatoires en France ; le Conseil d’État a validé l’extension, visant à lutter contre des maladies infectieuses contagieuses et graves (</w:t>
      </w:r>
      <w:r>
        <w:rPr>
          <w:rFonts w:ascii="Calibri" w:eastAsia="Calibri" w:hAnsi="Calibri" w:cs="Calibri"/>
          <w:color w:val="E91E63"/>
        </w:rPr>
        <w:t xml:space="preserve">CE, 6 mai 2019, n° </w:t>
      </w:r>
      <w:r>
        <w:rPr>
          <w:rFonts w:ascii="Calibri" w:eastAsia="Calibri" w:hAnsi="Calibri" w:cs="Calibri"/>
          <w:color w:val="E91E63"/>
        </w:rPr>
        <w:lastRenderedPageBreak/>
        <w:t>419242 et 415694</w:t>
      </w:r>
      <w:r>
        <w:rPr>
          <w:rFonts w:ascii="Calibri" w:eastAsia="Calibri" w:hAnsi="Calibri" w:cs="Calibri"/>
          <w:color w:val="1A1A1A"/>
        </w:rPr>
        <w:t>) ; en matière de santé publique les États jouissent d’une ample marge d’appréciation, l’obligation vaccinale constituant une ingérence justifiée (</w:t>
      </w:r>
      <w:r>
        <w:rPr>
          <w:rFonts w:ascii="Calibri" w:eastAsia="Calibri" w:hAnsi="Calibri" w:cs="Calibri"/>
          <w:color w:val="E91E63"/>
        </w:rPr>
        <w:t xml:space="preserve">CEDH, GC, 8 avril 2021, </w:t>
      </w:r>
      <w:proofErr w:type="spellStart"/>
      <w:r>
        <w:rPr>
          <w:rFonts w:ascii="Calibri" w:eastAsia="Calibri" w:hAnsi="Calibri" w:cs="Calibri"/>
          <w:color w:val="E91E63"/>
        </w:rPr>
        <w:t>Vavřička</w:t>
      </w:r>
      <w:proofErr w:type="spellEnd"/>
      <w:r>
        <w:rPr>
          <w:rFonts w:ascii="Calibri" w:eastAsia="Calibri" w:hAnsi="Calibri" w:cs="Calibri"/>
          <w:color w:val="E91E63"/>
        </w:rPr>
        <w:t xml:space="preserve"> et a. c. République tchèque, n° 47621/13 et 5 autres</w:t>
      </w:r>
      <w:r>
        <w:rPr>
          <w:rFonts w:ascii="Calibri" w:eastAsia="Calibri" w:hAnsi="Calibri" w:cs="Calibri"/>
          <w:color w:val="1A1A1A"/>
        </w:rPr>
        <w:t>) ; pas de violation de l’</w:t>
      </w:r>
      <w:r>
        <w:rPr>
          <w:rFonts w:ascii="Calibri" w:eastAsia="Calibri" w:hAnsi="Calibri" w:cs="Calibri"/>
          <w:color w:val="1E88E5"/>
        </w:rPr>
        <w:t>art. 8</w:t>
      </w:r>
      <w:r>
        <w:rPr>
          <w:rFonts w:ascii="Calibri" w:eastAsia="Calibri" w:hAnsi="Calibri" w:cs="Calibri"/>
          <w:color w:val="1A1A1A"/>
        </w:rPr>
        <w:t xml:space="preserve"> lorsque l’obligation vaccinale imposée à certains métiers de la santé fait obstacle à l’emploi en cas de non-respect (</w:t>
      </w:r>
      <w:r>
        <w:rPr>
          <w:rFonts w:ascii="Calibri" w:eastAsia="Calibri" w:hAnsi="Calibri" w:cs="Calibri"/>
          <w:color w:val="E91E63"/>
        </w:rPr>
        <w:t>CEDH, 29 août 2024, Pasquinelli et a. c. Saint-Marin, n° 24622/22</w:t>
      </w:r>
      <w:r>
        <w:rPr>
          <w:rFonts w:ascii="Calibri" w:eastAsia="Calibri" w:hAnsi="Calibri" w:cs="Calibri"/>
          <w:color w:val="1A1A1A"/>
        </w:rPr>
        <w:t>).</w:t>
      </w:r>
    </w:p>
    <w:p w14:paraId="16E0BE1E" w14:textId="77777777" w:rsidR="004A4E1F" w:rsidRDefault="00000000">
      <w:pPr>
        <w:pStyle w:val="Titre2"/>
        <w:spacing w:before="280" w:after="120"/>
      </w:pPr>
      <w:r>
        <w:rPr>
          <w:rFonts w:ascii="Calibri" w:eastAsia="Calibri" w:hAnsi="Calibri" w:cs="Calibri"/>
          <w:b/>
          <w:bCs/>
          <w:color w:val="1A1A1A"/>
          <w:sz w:val="24"/>
          <w:szCs w:val="24"/>
        </w:rPr>
        <w:t>2. Le droit à l’intégrité morale</w:t>
      </w:r>
    </w:p>
    <w:p w14:paraId="46EA3EE5"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Fondement</w:t>
      </w:r>
      <w:r>
        <w:rPr>
          <w:rFonts w:ascii="Calibri" w:eastAsia="Calibri" w:hAnsi="Calibri" w:cs="Calibri"/>
          <w:color w:val="1A1A1A"/>
        </w:rPr>
        <w:t xml:space="preserve"> : l’intégrité morale est protégée sur le fondement de l’</w:t>
      </w:r>
      <w:r>
        <w:rPr>
          <w:rFonts w:ascii="Calibri" w:eastAsia="Calibri" w:hAnsi="Calibri" w:cs="Calibri"/>
          <w:color w:val="1E88E5"/>
        </w:rPr>
        <w:t>art. 8</w:t>
      </w:r>
      <w:r>
        <w:rPr>
          <w:rFonts w:ascii="Calibri" w:eastAsia="Calibri" w:hAnsi="Calibri" w:cs="Calibri"/>
          <w:color w:val="1A1A1A"/>
        </w:rPr>
        <w:t xml:space="preserve"> (</w:t>
      </w:r>
      <w:r>
        <w:rPr>
          <w:rFonts w:ascii="Calibri" w:eastAsia="Calibri" w:hAnsi="Calibri" w:cs="Calibri"/>
          <w:color w:val="E91E63"/>
        </w:rPr>
        <w:t>CEDH, 25 février 2025, Toth et Crişan c. Roumanie, n° 45430/19</w:t>
      </w:r>
      <w:r>
        <w:rPr>
          <w:rFonts w:ascii="Calibri" w:eastAsia="Calibri" w:hAnsi="Calibri" w:cs="Calibri"/>
          <w:color w:val="1A1A1A"/>
        </w:rPr>
        <w:t>). Les atteintes peuvent consister en la révélation d’éléments rattachés à l’</w:t>
      </w:r>
      <w:r>
        <w:rPr>
          <w:rFonts w:ascii="Calibri" w:eastAsia="Calibri" w:hAnsi="Calibri" w:cs="Calibri"/>
          <w:b/>
          <w:bCs/>
          <w:color w:val="1A1A1A"/>
        </w:rPr>
        <w:t>image</w:t>
      </w:r>
      <w:r>
        <w:rPr>
          <w:rFonts w:ascii="Calibri" w:eastAsia="Calibri" w:hAnsi="Calibri" w:cs="Calibri"/>
          <w:color w:val="1A1A1A"/>
        </w:rPr>
        <w:t xml:space="preserve"> ou à l’</w:t>
      </w:r>
      <w:r>
        <w:rPr>
          <w:rFonts w:ascii="Calibri" w:eastAsia="Calibri" w:hAnsi="Calibri" w:cs="Calibri"/>
          <w:b/>
          <w:bCs/>
          <w:color w:val="1A1A1A"/>
        </w:rPr>
        <w:t>identité</w:t>
      </w:r>
      <w:r>
        <w:rPr>
          <w:rFonts w:ascii="Calibri" w:eastAsia="Calibri" w:hAnsi="Calibri" w:cs="Calibri"/>
          <w:color w:val="1A1A1A"/>
        </w:rPr>
        <w:t xml:space="preserve"> de l’individu sans son consentement, ou en des atteintes à sa </w:t>
      </w:r>
      <w:r>
        <w:rPr>
          <w:rFonts w:ascii="Calibri" w:eastAsia="Calibri" w:hAnsi="Calibri" w:cs="Calibri"/>
          <w:b/>
          <w:bCs/>
          <w:color w:val="1A1A1A"/>
        </w:rPr>
        <w:t>réputation</w:t>
      </w:r>
      <w:r>
        <w:rPr>
          <w:rFonts w:ascii="Calibri" w:eastAsia="Calibri" w:hAnsi="Calibri" w:cs="Calibri"/>
          <w:color w:val="1A1A1A"/>
        </w:rPr>
        <w:t xml:space="preserve"> (</w:t>
      </w:r>
      <w:r>
        <w:rPr>
          <w:rFonts w:ascii="Calibri" w:eastAsia="Calibri" w:hAnsi="Calibri" w:cs="Calibri"/>
          <w:color w:val="E91E63"/>
        </w:rPr>
        <w:t>CEDH, GC, 7 février 2012, Axel Springer AG c. Allemagne, n° 39954/08</w:t>
      </w:r>
      <w:r>
        <w:rPr>
          <w:rFonts w:ascii="Calibri" w:eastAsia="Calibri" w:hAnsi="Calibri" w:cs="Calibri"/>
          <w:color w:val="1A1A1A"/>
        </w:rPr>
        <w:t xml:space="preserve"> ; </w:t>
      </w:r>
      <w:r>
        <w:rPr>
          <w:rFonts w:ascii="Calibri" w:eastAsia="Calibri" w:hAnsi="Calibri" w:cs="Calibri"/>
          <w:color w:val="E91E63"/>
        </w:rPr>
        <w:t xml:space="preserve">CEDH, 29 juin 2004, </w:t>
      </w:r>
      <w:proofErr w:type="spellStart"/>
      <w:r>
        <w:rPr>
          <w:rFonts w:ascii="Calibri" w:eastAsia="Calibri" w:hAnsi="Calibri" w:cs="Calibri"/>
          <w:color w:val="E91E63"/>
        </w:rPr>
        <w:t>Chauvy</w:t>
      </w:r>
      <w:proofErr w:type="spellEnd"/>
      <w:r>
        <w:rPr>
          <w:rFonts w:ascii="Calibri" w:eastAsia="Calibri" w:hAnsi="Calibri" w:cs="Calibri"/>
          <w:color w:val="E91E63"/>
        </w:rPr>
        <w:t xml:space="preserve"> et a. c. France, n° 64915/01</w:t>
      </w:r>
      <w:r>
        <w:rPr>
          <w:rFonts w:ascii="Calibri" w:eastAsia="Calibri" w:hAnsi="Calibri" w:cs="Calibri"/>
          <w:color w:val="1A1A1A"/>
        </w:rPr>
        <w:t>).</w:t>
      </w:r>
    </w:p>
    <w:p w14:paraId="6A3339E4" w14:textId="77777777" w:rsidR="005F1442" w:rsidRPr="005F1442" w:rsidRDefault="00000000">
      <w:pPr>
        <w:pStyle w:val="Paragraphedeliste"/>
        <w:numPr>
          <w:ilvl w:val="0"/>
          <w:numId w:val="2"/>
        </w:numPr>
        <w:spacing w:after="70" w:line="264" w:lineRule="auto"/>
        <w:jc w:val="both"/>
      </w:pPr>
      <w:r w:rsidRPr="005F1442">
        <w:rPr>
          <w:rFonts w:ascii="Calibri" w:eastAsia="Calibri" w:hAnsi="Calibri" w:cs="Calibri"/>
          <w:b/>
          <w:bCs/>
          <w:color w:val="1A1A1A"/>
          <w:highlight w:val="yellow"/>
        </w:rPr>
        <w:t>Trois critères cumulatifs</w:t>
      </w:r>
      <w:r>
        <w:rPr>
          <w:rFonts w:ascii="Calibri" w:eastAsia="Calibri" w:hAnsi="Calibri" w:cs="Calibri"/>
          <w:color w:val="1A1A1A"/>
        </w:rPr>
        <w:t xml:space="preserve"> : </w:t>
      </w:r>
    </w:p>
    <w:p w14:paraId="33A07E72" w14:textId="77777777" w:rsidR="005F1442" w:rsidRDefault="00000000" w:rsidP="005F1442">
      <w:pPr>
        <w:pStyle w:val="Paragraphedeliste"/>
        <w:spacing w:after="70" w:line="264" w:lineRule="auto"/>
        <w:ind w:left="340"/>
        <w:jc w:val="both"/>
        <w:rPr>
          <w:rFonts w:ascii="Calibri" w:eastAsia="Calibri" w:hAnsi="Calibri" w:cs="Calibri"/>
          <w:color w:val="1A1A1A"/>
        </w:rPr>
      </w:pPr>
      <w:r>
        <w:rPr>
          <w:rFonts w:ascii="Calibri" w:eastAsia="Calibri" w:hAnsi="Calibri" w:cs="Calibri"/>
          <w:color w:val="1A1A1A"/>
        </w:rPr>
        <w:t xml:space="preserve">(i) l’atteinte doit avoir un </w:t>
      </w:r>
      <w:r>
        <w:rPr>
          <w:rFonts w:ascii="Calibri" w:eastAsia="Calibri" w:hAnsi="Calibri" w:cs="Calibri"/>
          <w:b/>
          <w:bCs/>
          <w:color w:val="1A1A1A"/>
        </w:rPr>
        <w:t>certain niveau de gravité</w:t>
      </w:r>
      <w:r>
        <w:rPr>
          <w:rFonts w:ascii="Calibri" w:eastAsia="Calibri" w:hAnsi="Calibri" w:cs="Calibri"/>
          <w:color w:val="1A1A1A"/>
        </w:rPr>
        <w:t xml:space="preserve"> et affecter la jouissance personnelle du droit au respect de la vie privée, la sphère </w:t>
      </w:r>
      <w:r>
        <w:rPr>
          <w:rFonts w:ascii="Calibri" w:eastAsia="Calibri" w:hAnsi="Calibri" w:cs="Calibri"/>
          <w:b/>
          <w:bCs/>
          <w:color w:val="1A1A1A"/>
        </w:rPr>
        <w:t>professionnelle</w:t>
      </w:r>
      <w:r>
        <w:rPr>
          <w:rFonts w:ascii="Calibri" w:eastAsia="Calibri" w:hAnsi="Calibri" w:cs="Calibri"/>
          <w:color w:val="1A1A1A"/>
        </w:rPr>
        <w:t xml:space="preserve"> étant incluse au même titre que la sphère personnelle (</w:t>
      </w:r>
      <w:r>
        <w:rPr>
          <w:rFonts w:ascii="Calibri" w:eastAsia="Calibri" w:hAnsi="Calibri" w:cs="Calibri"/>
          <w:color w:val="E91E63"/>
        </w:rPr>
        <w:t>Denisov c. Ukraine</w:t>
      </w:r>
      <w:r>
        <w:rPr>
          <w:rFonts w:ascii="Calibri" w:eastAsia="Calibri" w:hAnsi="Calibri" w:cs="Calibri"/>
          <w:color w:val="1A1A1A"/>
        </w:rPr>
        <w:t>) — les personnes morales ne disposent toutefois pas du même niveau de protection de leur réputation que les personnes physiques (</w:t>
      </w:r>
      <w:r>
        <w:rPr>
          <w:rFonts w:ascii="Calibri" w:eastAsia="Calibri" w:hAnsi="Calibri" w:cs="Calibri"/>
          <w:color w:val="E91E63"/>
        </w:rPr>
        <w:t>CEDH, 8 octobre 2019, Margulev c. Russie, n° 15449/09</w:t>
      </w:r>
      <w:r>
        <w:rPr>
          <w:rFonts w:ascii="Calibri" w:eastAsia="Calibri" w:hAnsi="Calibri" w:cs="Calibri"/>
          <w:color w:val="1A1A1A"/>
        </w:rPr>
        <w:t xml:space="preserve">) ; </w:t>
      </w:r>
    </w:p>
    <w:p w14:paraId="6C6B4BC2" w14:textId="77777777" w:rsidR="005F1442" w:rsidRDefault="00000000" w:rsidP="005F1442">
      <w:pPr>
        <w:pStyle w:val="Paragraphedeliste"/>
        <w:spacing w:after="70" w:line="264" w:lineRule="auto"/>
        <w:ind w:left="340"/>
        <w:jc w:val="both"/>
        <w:rPr>
          <w:rFonts w:ascii="Calibri" w:eastAsia="Calibri" w:hAnsi="Calibri" w:cs="Calibri"/>
          <w:color w:val="1A1A1A"/>
        </w:rPr>
      </w:pPr>
      <w:r>
        <w:rPr>
          <w:rFonts w:ascii="Calibri" w:eastAsia="Calibri" w:hAnsi="Calibri" w:cs="Calibri"/>
          <w:color w:val="1A1A1A"/>
        </w:rPr>
        <w:t xml:space="preserve">(ii) la personne doit être </w:t>
      </w:r>
      <w:r>
        <w:rPr>
          <w:rFonts w:ascii="Calibri" w:eastAsia="Calibri" w:hAnsi="Calibri" w:cs="Calibri"/>
          <w:b/>
          <w:bCs/>
          <w:color w:val="1A1A1A"/>
        </w:rPr>
        <w:t>facilement identifiable</w:t>
      </w:r>
      <w:r>
        <w:rPr>
          <w:rFonts w:ascii="Calibri" w:eastAsia="Calibri" w:hAnsi="Calibri" w:cs="Calibri"/>
          <w:color w:val="1A1A1A"/>
        </w:rPr>
        <w:t xml:space="preserve"> ; </w:t>
      </w:r>
    </w:p>
    <w:p w14:paraId="237BA14C" w14:textId="06A46960" w:rsidR="004A4E1F" w:rsidRDefault="00000000" w:rsidP="005F1442">
      <w:pPr>
        <w:pStyle w:val="Paragraphedeliste"/>
        <w:spacing w:after="70" w:line="264" w:lineRule="auto"/>
        <w:ind w:left="340"/>
        <w:jc w:val="both"/>
      </w:pPr>
      <w:r>
        <w:rPr>
          <w:rFonts w:ascii="Calibri" w:eastAsia="Calibri" w:hAnsi="Calibri" w:cs="Calibri"/>
          <w:color w:val="1A1A1A"/>
        </w:rPr>
        <w:t xml:space="preserve">(iii) l’individu doit avoir une </w:t>
      </w:r>
      <w:r>
        <w:rPr>
          <w:rFonts w:ascii="Calibri" w:eastAsia="Calibri" w:hAnsi="Calibri" w:cs="Calibri"/>
          <w:b/>
          <w:bCs/>
          <w:color w:val="1A1A1A"/>
        </w:rPr>
        <w:t>espérance légitime</w:t>
      </w:r>
      <w:r>
        <w:rPr>
          <w:rFonts w:ascii="Calibri" w:eastAsia="Calibri" w:hAnsi="Calibri" w:cs="Calibri"/>
          <w:color w:val="1A1A1A"/>
        </w:rPr>
        <w:t xml:space="preserve"> à la protection de son intégrité morale, déduite notamment de son comportement et de sa qualité de personnalité publique (</w:t>
      </w:r>
      <w:r>
        <w:rPr>
          <w:rFonts w:ascii="Calibri" w:eastAsia="Calibri" w:hAnsi="Calibri" w:cs="Calibri"/>
          <w:color w:val="E91E63"/>
        </w:rPr>
        <w:t>CEDH, GC, 7 février 2012, Von Hannover c. Allemagne (n° 2), n° 40660/08 et 60641/08</w:t>
      </w:r>
      <w:r>
        <w:rPr>
          <w:rFonts w:ascii="Calibri" w:eastAsia="Calibri" w:hAnsi="Calibri" w:cs="Calibri"/>
          <w:color w:val="1A1A1A"/>
        </w:rPr>
        <w:t>).</w:t>
      </w:r>
    </w:p>
    <w:p w14:paraId="58E7ACBC"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Obligation positive de protéger l’intégrité morale</w:t>
      </w:r>
      <w:r>
        <w:rPr>
          <w:rFonts w:ascii="Calibri" w:eastAsia="Calibri" w:hAnsi="Calibri" w:cs="Calibri"/>
          <w:color w:val="1A1A1A"/>
        </w:rPr>
        <w:t>, sans qu’une incrimination pénale soit nécessairement requise : un recours de nature civile peut suffire.</w:t>
      </w:r>
    </w:p>
    <w:p w14:paraId="4ADA971E"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Droit français</w:t>
      </w:r>
      <w:r>
        <w:rPr>
          <w:rFonts w:ascii="Calibri" w:eastAsia="Calibri" w:hAnsi="Calibri" w:cs="Calibri"/>
          <w:color w:val="1A1A1A"/>
        </w:rPr>
        <w:t xml:space="preserve"> : </w:t>
      </w:r>
      <w:r>
        <w:rPr>
          <w:rFonts w:ascii="Calibri" w:eastAsia="Calibri" w:hAnsi="Calibri" w:cs="Calibri"/>
          <w:color w:val="1E88E5"/>
        </w:rPr>
        <w:t>art. 9 et s. du Code civil</w:t>
      </w:r>
      <w:r>
        <w:rPr>
          <w:rFonts w:ascii="Calibri" w:eastAsia="Calibri" w:hAnsi="Calibri" w:cs="Calibri"/>
          <w:color w:val="1A1A1A"/>
        </w:rPr>
        <w:t xml:space="preserve"> ; l’</w:t>
      </w:r>
      <w:r>
        <w:rPr>
          <w:rFonts w:ascii="Calibri" w:eastAsia="Calibri" w:hAnsi="Calibri" w:cs="Calibri"/>
          <w:color w:val="1E88E5"/>
        </w:rPr>
        <w:t>alinéa 2 de l’art. 9</w:t>
      </w:r>
      <w:r>
        <w:rPr>
          <w:rFonts w:ascii="Calibri" w:eastAsia="Calibri" w:hAnsi="Calibri" w:cs="Calibri"/>
          <w:color w:val="1A1A1A"/>
        </w:rPr>
        <w:t xml:space="preserve"> permet de saisir le juge des référés pour faire cesser une atteinte imminente, empêcher une atteinte à la vie privée ou faire cesser un trouble manifestement illicite — sous réserve d’une certaine gravité et de l’absence de toute autre mesure possible. Réparation sur le fondement des </w:t>
      </w:r>
      <w:r>
        <w:rPr>
          <w:rFonts w:ascii="Calibri" w:eastAsia="Calibri" w:hAnsi="Calibri" w:cs="Calibri"/>
          <w:color w:val="1E88E5"/>
        </w:rPr>
        <w:t>art. 1240 et s. C. civ.</w:t>
      </w:r>
      <w:r>
        <w:rPr>
          <w:rFonts w:ascii="Calibri" w:eastAsia="Calibri" w:hAnsi="Calibri" w:cs="Calibri"/>
          <w:color w:val="1A1A1A"/>
        </w:rPr>
        <w:t xml:space="preserve">, sauf si l’atteinte relève des délits de presse de la </w:t>
      </w:r>
      <w:r>
        <w:rPr>
          <w:rFonts w:ascii="Calibri" w:eastAsia="Calibri" w:hAnsi="Calibri" w:cs="Calibri"/>
          <w:color w:val="1E88E5"/>
        </w:rPr>
        <w:t>loi du 29 juillet 1881</w:t>
      </w:r>
      <w:r>
        <w:rPr>
          <w:rFonts w:ascii="Calibri" w:eastAsia="Calibri" w:hAnsi="Calibri" w:cs="Calibri"/>
          <w:color w:val="1A1A1A"/>
        </w:rPr>
        <w:t xml:space="preserve">, auquel cas le droit commun de la responsabilité civile est </w:t>
      </w:r>
      <w:r>
        <w:rPr>
          <w:rFonts w:ascii="Calibri" w:eastAsia="Calibri" w:hAnsi="Calibri" w:cs="Calibri"/>
          <w:b/>
          <w:bCs/>
          <w:color w:val="1A1A1A"/>
        </w:rPr>
        <w:t>exclu</w:t>
      </w:r>
      <w:r>
        <w:rPr>
          <w:rFonts w:ascii="Calibri" w:eastAsia="Calibri" w:hAnsi="Calibri" w:cs="Calibri"/>
          <w:color w:val="1A1A1A"/>
        </w:rPr>
        <w:t xml:space="preserve"> (</w:t>
      </w:r>
      <w:r>
        <w:rPr>
          <w:rFonts w:ascii="Calibri" w:eastAsia="Calibri" w:hAnsi="Calibri" w:cs="Calibri"/>
          <w:color w:val="E91E63"/>
        </w:rPr>
        <w:t>Cass., ass. plén., 12 juillet 2000, n° 98-10.160</w:t>
      </w:r>
      <w:r>
        <w:rPr>
          <w:rFonts w:ascii="Calibri" w:eastAsia="Calibri" w:hAnsi="Calibri" w:cs="Calibri"/>
          <w:color w:val="1A1A1A"/>
        </w:rPr>
        <w:t>).</w:t>
      </w:r>
    </w:p>
    <w:p w14:paraId="3EE4262D"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La victimisation secondaire</w:t>
      </w:r>
      <w:r>
        <w:rPr>
          <w:rFonts w:ascii="Calibri" w:eastAsia="Calibri" w:hAnsi="Calibri" w:cs="Calibri"/>
          <w:color w:val="1A1A1A"/>
        </w:rPr>
        <w:t xml:space="preserve"> : les États ont l’obligation positive de protéger les victimes contre les atteintes à l’image, à la dignité et à la vie privée au cours de l’enquête, mais également lors du procès (</w:t>
      </w:r>
      <w:r>
        <w:rPr>
          <w:rFonts w:ascii="Calibri" w:eastAsia="Calibri" w:hAnsi="Calibri" w:cs="Calibri"/>
          <w:color w:val="E91E63"/>
        </w:rPr>
        <w:t>CEDH, 27 mai 2021, J.L. c. Italie, n° 5671/16</w:t>
      </w:r>
      <w:r>
        <w:rPr>
          <w:rFonts w:ascii="Calibri" w:eastAsia="Calibri" w:hAnsi="Calibri" w:cs="Calibri"/>
          <w:color w:val="1A1A1A"/>
        </w:rPr>
        <w:t>). Illustration interne : condamnation de la défense pour victimisation secondaire en raison du comportement et des propos tenus par l’avocat du prévenu (</w:t>
      </w:r>
      <w:r>
        <w:rPr>
          <w:rFonts w:ascii="Calibri" w:eastAsia="Calibri" w:hAnsi="Calibri" w:cs="Calibri"/>
          <w:color w:val="E91E63"/>
        </w:rPr>
        <w:t>Trib. corr. Paris, 10e ch., 13 mai 2025, n° 24057000509</w:t>
      </w:r>
      <w:r>
        <w:rPr>
          <w:rFonts w:ascii="Calibri" w:eastAsia="Calibri" w:hAnsi="Calibri" w:cs="Calibri"/>
          <w:color w:val="1A1A1A"/>
        </w:rPr>
        <w:t>).</w:t>
      </w:r>
    </w:p>
    <w:p w14:paraId="519962BD" w14:textId="77777777" w:rsidR="004A4E1F" w:rsidRDefault="00000000">
      <w:pPr>
        <w:pStyle w:val="Titre2"/>
        <w:spacing w:before="280" w:after="120"/>
      </w:pPr>
      <w:r>
        <w:rPr>
          <w:rFonts w:ascii="Calibri" w:eastAsia="Calibri" w:hAnsi="Calibri" w:cs="Calibri"/>
          <w:b/>
          <w:bCs/>
          <w:color w:val="1A1A1A"/>
          <w:sz w:val="24"/>
          <w:szCs w:val="24"/>
        </w:rPr>
        <w:t>3. Dispositif « Grand Oral »</w:t>
      </w:r>
    </w:p>
    <w:p w14:paraId="046DD710" w14:textId="77777777" w:rsidR="004A4E1F" w:rsidRDefault="00000000">
      <w:pPr>
        <w:pStyle w:val="Titre3"/>
        <w:spacing w:before="200" w:after="90"/>
      </w:pPr>
      <w:r>
        <w:rPr>
          <w:rFonts w:ascii="Calibri" w:eastAsia="Calibri" w:hAnsi="Calibri" w:cs="Calibri"/>
          <w:b/>
          <w:bCs/>
          <w:i/>
          <w:iCs/>
          <w:color w:val="5A5A5A"/>
          <w:sz w:val="21"/>
          <w:szCs w:val="21"/>
        </w:rPr>
        <w:t>3.1. Trois relances / questions pièges</w:t>
      </w:r>
    </w:p>
    <w:p w14:paraId="04E03198"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 Article 3 ou article 8 ? »</w:t>
      </w:r>
      <w:r>
        <w:rPr>
          <w:rFonts w:ascii="Calibri" w:eastAsia="Calibri" w:hAnsi="Calibri" w:cs="Calibri"/>
          <w:color w:val="1A1A1A"/>
        </w:rPr>
        <w:t xml:space="preserve"> — Question de seuil. Au-dessus du seuil de gravité requis, l’atteinte à l’intégrité physique relève de l’</w:t>
      </w:r>
      <w:r>
        <w:rPr>
          <w:rFonts w:ascii="Calibri" w:eastAsia="Calibri" w:hAnsi="Calibri" w:cs="Calibri"/>
          <w:color w:val="1E88E5"/>
        </w:rPr>
        <w:t>art. 3</w:t>
      </w:r>
      <w:r>
        <w:rPr>
          <w:rFonts w:ascii="Calibri" w:eastAsia="Calibri" w:hAnsi="Calibri" w:cs="Calibri"/>
          <w:color w:val="1A1A1A"/>
        </w:rPr>
        <w:t xml:space="preserve"> ; en deçà, la Cour retient les </w:t>
      </w:r>
      <w:r>
        <w:rPr>
          <w:rFonts w:ascii="Calibri" w:eastAsia="Calibri" w:hAnsi="Calibri" w:cs="Calibri"/>
          <w:color w:val="1E88E5"/>
        </w:rPr>
        <w:t>art. 8 et 3 combinés</w:t>
      </w:r>
      <w:r>
        <w:rPr>
          <w:rFonts w:ascii="Calibri" w:eastAsia="Calibri" w:hAnsi="Calibri" w:cs="Calibri"/>
          <w:color w:val="1A1A1A"/>
        </w:rPr>
        <w:t xml:space="preserve">, ou le seul </w:t>
      </w:r>
      <w:r>
        <w:rPr>
          <w:rFonts w:ascii="Calibri" w:eastAsia="Calibri" w:hAnsi="Calibri" w:cs="Calibri"/>
          <w:color w:val="1E88E5"/>
        </w:rPr>
        <w:t>art. 8</w:t>
      </w:r>
      <w:r>
        <w:rPr>
          <w:rFonts w:ascii="Calibri" w:eastAsia="Calibri" w:hAnsi="Calibri" w:cs="Calibri"/>
          <w:color w:val="1A1A1A"/>
        </w:rPr>
        <w:t xml:space="preserve"> pour les atteintes de moindre gravité. Savoir énoncer cette règle d’aiguillage vaut mieux que citer dix arrêts.</w:t>
      </w:r>
    </w:p>
    <w:p w14:paraId="27DB5136"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 Le consentement légitime-t-il l’atteinte ? »</w:t>
      </w:r>
      <w:r>
        <w:rPr>
          <w:rFonts w:ascii="Calibri" w:eastAsia="Calibri" w:hAnsi="Calibri" w:cs="Calibri"/>
          <w:color w:val="1A1A1A"/>
        </w:rPr>
        <w:t xml:space="preserve"> — Distinguer les ordres juridiques. Pour la Cour européenne, l’</w:t>
      </w:r>
      <w:r>
        <w:rPr>
          <w:rFonts w:ascii="Calibri" w:eastAsia="Calibri" w:hAnsi="Calibri" w:cs="Calibri"/>
          <w:b/>
          <w:bCs/>
          <w:color w:val="1A1A1A"/>
        </w:rPr>
        <w:t>autonomie personnelle</w:t>
      </w:r>
      <w:r>
        <w:rPr>
          <w:rFonts w:ascii="Calibri" w:eastAsia="Calibri" w:hAnsi="Calibri" w:cs="Calibri"/>
          <w:color w:val="1A1A1A"/>
        </w:rPr>
        <w:t xml:space="preserve"> le permet largement (</w:t>
      </w:r>
      <w:r>
        <w:rPr>
          <w:rFonts w:ascii="Calibri" w:eastAsia="Calibri" w:hAnsi="Calibri" w:cs="Calibri"/>
          <w:color w:val="E91E63"/>
        </w:rPr>
        <w:t>K.A. et A.D.</w:t>
      </w:r>
      <w:r>
        <w:rPr>
          <w:rFonts w:ascii="Calibri" w:eastAsia="Calibri" w:hAnsi="Calibri" w:cs="Calibri"/>
          <w:color w:val="1A1A1A"/>
        </w:rPr>
        <w:t xml:space="preserve">, </w:t>
      </w:r>
      <w:r>
        <w:rPr>
          <w:rFonts w:ascii="Calibri" w:eastAsia="Calibri" w:hAnsi="Calibri" w:cs="Calibri"/>
          <w:color w:val="E91E63"/>
        </w:rPr>
        <w:t>Pindo Mulla</w:t>
      </w:r>
      <w:r>
        <w:rPr>
          <w:rFonts w:ascii="Calibri" w:eastAsia="Calibri" w:hAnsi="Calibri" w:cs="Calibri"/>
          <w:color w:val="1A1A1A"/>
        </w:rPr>
        <w:t xml:space="preserve">). </w:t>
      </w:r>
      <w:r w:rsidRPr="0010540A">
        <w:rPr>
          <w:rFonts w:ascii="Calibri" w:eastAsia="Calibri" w:hAnsi="Calibri" w:cs="Calibri"/>
          <w:b/>
          <w:bCs/>
          <w:color w:val="EE0000"/>
        </w:rPr>
        <w:t>En droit français, non</w:t>
      </w:r>
      <w:r w:rsidRPr="0010540A">
        <w:rPr>
          <w:rFonts w:ascii="Calibri" w:eastAsia="Calibri" w:hAnsi="Calibri" w:cs="Calibri"/>
          <w:color w:val="EE0000"/>
        </w:rPr>
        <w:t xml:space="preserve"> : le consentement n’est pas à lui seul un fait justificatif pénal, ne fait pas disparaître la réification</w:t>
      </w:r>
      <w:r>
        <w:rPr>
          <w:rFonts w:ascii="Calibri" w:eastAsia="Calibri" w:hAnsi="Calibri" w:cs="Calibri"/>
          <w:color w:val="1A1A1A"/>
        </w:rPr>
        <w:t xml:space="preserve"> </w:t>
      </w:r>
      <w:r w:rsidRPr="0010540A">
        <w:rPr>
          <w:rFonts w:ascii="Calibri" w:eastAsia="Calibri" w:hAnsi="Calibri" w:cs="Calibri"/>
          <w:color w:val="E91D62"/>
        </w:rPr>
        <w:t xml:space="preserve">(Société Z Machine) </w:t>
      </w:r>
      <w:r w:rsidRPr="0010540A">
        <w:rPr>
          <w:rFonts w:ascii="Calibri" w:eastAsia="Calibri" w:hAnsi="Calibri" w:cs="Calibri"/>
          <w:color w:val="EE0000"/>
        </w:rPr>
        <w:t>et ne constitue plus une cause d’exonération civile.</w:t>
      </w:r>
    </w:p>
    <w:p w14:paraId="23C758EA"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 Que change la loi du 6 novembre 2025 ? »</w:t>
      </w:r>
      <w:r>
        <w:rPr>
          <w:rFonts w:ascii="Calibri" w:eastAsia="Calibri" w:hAnsi="Calibri" w:cs="Calibri"/>
          <w:color w:val="1A1A1A"/>
        </w:rPr>
        <w:t xml:space="preserve"> — Elle fait du consentement un </w:t>
      </w:r>
      <w:r>
        <w:rPr>
          <w:rFonts w:ascii="Calibri" w:eastAsia="Calibri" w:hAnsi="Calibri" w:cs="Calibri"/>
          <w:b/>
          <w:bCs/>
          <w:color w:val="1A1A1A"/>
        </w:rPr>
        <w:t>élément central et autonome</w:t>
      </w:r>
      <w:r>
        <w:rPr>
          <w:rFonts w:ascii="Calibri" w:eastAsia="Calibri" w:hAnsi="Calibri" w:cs="Calibri"/>
          <w:color w:val="1A1A1A"/>
        </w:rPr>
        <w:t xml:space="preserve"> de la définition des agressions sexuelles : l’absence de consentement peut désormais être établie </w:t>
      </w:r>
      <w:r>
        <w:rPr>
          <w:rFonts w:ascii="Calibri" w:eastAsia="Calibri" w:hAnsi="Calibri" w:cs="Calibri"/>
          <w:b/>
          <w:bCs/>
          <w:color w:val="1A1A1A"/>
        </w:rPr>
        <w:t>en dehors</w:t>
      </w:r>
      <w:r>
        <w:rPr>
          <w:rFonts w:ascii="Calibri" w:eastAsia="Calibri" w:hAnsi="Calibri" w:cs="Calibri"/>
          <w:color w:val="1A1A1A"/>
        </w:rPr>
        <w:t xml:space="preserve"> de la violence, de la contrainte, de la menace et de la surprise, qui demeurent des hypothèses sans être les seules. Conséquence procédurale : loi plus sévère, donc non rétroactive.</w:t>
      </w:r>
    </w:p>
    <w:p w14:paraId="31AAC9BF" w14:textId="77777777" w:rsidR="004A4E1F" w:rsidRDefault="00000000">
      <w:pPr>
        <w:pStyle w:val="Titre3"/>
        <w:spacing w:before="200" w:after="90"/>
      </w:pPr>
      <w:r>
        <w:rPr>
          <w:rFonts w:ascii="Calibri" w:eastAsia="Calibri" w:hAnsi="Calibri" w:cs="Calibri"/>
          <w:b/>
          <w:bCs/>
          <w:i/>
          <w:iCs/>
          <w:color w:val="5A5A5A"/>
          <w:sz w:val="21"/>
          <w:szCs w:val="21"/>
        </w:rPr>
        <w:t>3.2. Sujets d’exposé rattachables</w:t>
      </w:r>
    </w:p>
    <w:p w14:paraId="000A7BD5"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Soutenez que le devoir conjugal constitue une atteinte grave à l’intégrité des personnes » (sujet d’argumentation expressément proposé par le fascicule).</w:t>
      </w:r>
    </w:p>
    <w:p w14:paraId="2D3D4CE2"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Autonomie personnelle et dignité » ; « Le consentement en droit des libertés fondamentales ».</w:t>
      </w:r>
    </w:p>
    <w:p w14:paraId="23BB3DEA"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Le corps humain est-il hors du commerce ? » ; « Le droit à la protection de la santé ».</w:t>
      </w:r>
    </w:p>
    <w:p w14:paraId="614309E1"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lastRenderedPageBreak/>
        <w:t>« L’identité de genre et l’état civil » ; « La protection de la réputation ».</w:t>
      </w:r>
    </w:p>
    <w:p w14:paraId="63DEEEB4" w14:textId="77777777" w:rsidR="004A4E1F" w:rsidRDefault="00000000">
      <w:pPr>
        <w:pStyle w:val="Titre3"/>
        <w:spacing w:before="200" w:after="90"/>
      </w:pPr>
      <w:r>
        <w:rPr>
          <w:rFonts w:ascii="Calibri" w:eastAsia="Calibri" w:hAnsi="Calibri" w:cs="Calibri"/>
          <w:b/>
          <w:bCs/>
          <w:i/>
          <w:iCs/>
          <w:color w:val="5A5A5A"/>
          <w:sz w:val="21"/>
          <w:szCs w:val="21"/>
        </w:rPr>
        <w:t>3.3. Angles morts — en question / réponse</w:t>
      </w:r>
    </w:p>
    <w:p w14:paraId="7A7853CB"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Q. L’intégrité figure-t-elle dans la Convention ?</w:t>
      </w:r>
      <w:r>
        <w:rPr>
          <w:rFonts w:ascii="Calibri" w:eastAsia="Calibri" w:hAnsi="Calibri" w:cs="Calibri"/>
          <w:color w:val="1A1A1A"/>
        </w:rPr>
        <w:t xml:space="preserve"> — Non : la notion en est </w:t>
      </w:r>
      <w:r>
        <w:rPr>
          <w:rFonts w:ascii="Calibri" w:eastAsia="Calibri" w:hAnsi="Calibri" w:cs="Calibri"/>
          <w:b/>
          <w:bCs/>
          <w:color w:val="1A1A1A"/>
        </w:rPr>
        <w:t>absente</w:t>
      </w:r>
      <w:r>
        <w:rPr>
          <w:rFonts w:ascii="Calibri" w:eastAsia="Calibri" w:hAnsi="Calibri" w:cs="Calibri"/>
          <w:color w:val="1A1A1A"/>
        </w:rPr>
        <w:t>. Elle est protégée par l’application des articles 3 et 8, isolément ou combinés.</w:t>
      </w:r>
    </w:p>
    <w:p w14:paraId="75337BDE"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Q. Non-patrimonialité et indisponibilité, quelle différence ?</w:t>
      </w:r>
      <w:r>
        <w:rPr>
          <w:rFonts w:ascii="Calibri" w:eastAsia="Calibri" w:hAnsi="Calibri" w:cs="Calibri"/>
          <w:color w:val="1A1A1A"/>
        </w:rPr>
        <w:t xml:space="preserve"> — La non-patrimonialité (</w:t>
      </w:r>
      <w:r>
        <w:rPr>
          <w:rFonts w:ascii="Calibri" w:eastAsia="Calibri" w:hAnsi="Calibri" w:cs="Calibri"/>
          <w:color w:val="1E88E5"/>
        </w:rPr>
        <w:t>art. 16-5 C. civ.</w:t>
      </w:r>
      <w:r>
        <w:rPr>
          <w:rFonts w:ascii="Calibri" w:eastAsia="Calibri" w:hAnsi="Calibri" w:cs="Calibri"/>
          <w:color w:val="1A1A1A"/>
        </w:rPr>
        <w:t xml:space="preserve">) n’interdit que les conventions conférant une </w:t>
      </w:r>
      <w:r>
        <w:rPr>
          <w:rFonts w:ascii="Calibri" w:eastAsia="Calibri" w:hAnsi="Calibri" w:cs="Calibri"/>
          <w:b/>
          <w:bCs/>
          <w:color w:val="1A1A1A"/>
        </w:rPr>
        <w:t>valeur patrimoniale</w:t>
      </w:r>
      <w:r>
        <w:rPr>
          <w:rFonts w:ascii="Calibri" w:eastAsia="Calibri" w:hAnsi="Calibri" w:cs="Calibri"/>
          <w:color w:val="1A1A1A"/>
        </w:rPr>
        <w:t xml:space="preserve"> ; l’indisponibilité, prétorienne, vise </w:t>
      </w:r>
      <w:r>
        <w:rPr>
          <w:rFonts w:ascii="Calibri" w:eastAsia="Calibri" w:hAnsi="Calibri" w:cs="Calibri"/>
          <w:b/>
          <w:bCs/>
          <w:color w:val="1A1A1A"/>
        </w:rPr>
        <w:t>tous</w:t>
      </w:r>
      <w:r>
        <w:rPr>
          <w:rFonts w:ascii="Calibri" w:eastAsia="Calibri" w:hAnsi="Calibri" w:cs="Calibri"/>
          <w:color w:val="1A1A1A"/>
        </w:rPr>
        <w:t xml:space="preserve"> les actes de disposition, gratuits comme onéreux.</w:t>
      </w:r>
    </w:p>
    <w:p w14:paraId="5323EDDB"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Q. Le changement de sexe à l’état civil suppose-t-il une opération ?</w:t>
      </w:r>
      <w:r>
        <w:rPr>
          <w:rFonts w:ascii="Calibri" w:eastAsia="Calibri" w:hAnsi="Calibri" w:cs="Calibri"/>
          <w:color w:val="1A1A1A"/>
        </w:rPr>
        <w:t xml:space="preserve"> — Non, depuis la </w:t>
      </w:r>
      <w:r>
        <w:rPr>
          <w:rFonts w:ascii="Calibri" w:eastAsia="Calibri" w:hAnsi="Calibri" w:cs="Calibri"/>
          <w:color w:val="1E88E5"/>
        </w:rPr>
        <w:t>loi du 18 novembre 2016</w:t>
      </w:r>
      <w:r>
        <w:rPr>
          <w:rFonts w:ascii="Calibri" w:eastAsia="Calibri" w:hAnsi="Calibri" w:cs="Calibri"/>
          <w:color w:val="1A1A1A"/>
        </w:rPr>
        <w:t xml:space="preserve"> (</w:t>
      </w:r>
      <w:r>
        <w:rPr>
          <w:rFonts w:ascii="Calibri" w:eastAsia="Calibri" w:hAnsi="Calibri" w:cs="Calibri"/>
          <w:color w:val="1E88E5"/>
        </w:rPr>
        <w:t>art. 61-6 C. civ.</w:t>
      </w:r>
      <w:r>
        <w:rPr>
          <w:rFonts w:ascii="Calibri" w:eastAsia="Calibri" w:hAnsi="Calibri" w:cs="Calibri"/>
          <w:color w:val="1A1A1A"/>
        </w:rPr>
        <w:t xml:space="preserve">), à la suite de </w:t>
      </w:r>
      <w:r>
        <w:rPr>
          <w:rFonts w:ascii="Calibri" w:eastAsia="Calibri" w:hAnsi="Calibri" w:cs="Calibri"/>
          <w:color w:val="E91E63"/>
        </w:rPr>
        <w:t>A.P., Garçon et Nicot c. France</w:t>
      </w:r>
      <w:r>
        <w:rPr>
          <w:rFonts w:ascii="Calibri" w:eastAsia="Calibri" w:hAnsi="Calibri" w:cs="Calibri"/>
          <w:color w:val="1A1A1A"/>
        </w:rPr>
        <w:t>. Le critère d’irréversibilité posé en 1992 a disparu.</w:t>
      </w:r>
    </w:p>
    <w:p w14:paraId="2468CE4A"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Q. Le droit à la protection de la santé est-il une liberté fondamentale au sens du référé-liberté ?</w:t>
      </w:r>
      <w:r>
        <w:rPr>
          <w:rFonts w:ascii="Calibri" w:eastAsia="Calibri" w:hAnsi="Calibri" w:cs="Calibri"/>
          <w:color w:val="1A1A1A"/>
        </w:rPr>
        <w:t xml:space="preserve"> — Non (</w:t>
      </w:r>
      <w:r>
        <w:rPr>
          <w:rFonts w:ascii="Calibri" w:eastAsia="Calibri" w:hAnsi="Calibri" w:cs="Calibri"/>
          <w:color w:val="E91E63"/>
        </w:rPr>
        <w:t>CE, ord., 8 septembre 2005, n° 284803</w:t>
      </w:r>
      <w:r>
        <w:rPr>
          <w:rFonts w:ascii="Calibri" w:eastAsia="Calibri" w:hAnsi="Calibri" w:cs="Calibri"/>
          <w:color w:val="1A1A1A"/>
        </w:rPr>
        <w:t>), et il est dépourvu d’effet direct devant le juge administratif — alors que le juge judiciaire en admet l’invocabilité directe.</w:t>
      </w:r>
    </w:p>
    <w:p w14:paraId="63BEBDA7"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Q. Le consentement du patient est-il toujours requis ?</w:t>
      </w:r>
      <w:r>
        <w:rPr>
          <w:rFonts w:ascii="Calibri" w:eastAsia="Calibri" w:hAnsi="Calibri" w:cs="Calibri"/>
          <w:color w:val="1A1A1A"/>
        </w:rPr>
        <w:t xml:space="preserve"> — Non : en cas d’</w:t>
      </w:r>
      <w:r>
        <w:rPr>
          <w:rFonts w:ascii="Calibri" w:eastAsia="Calibri" w:hAnsi="Calibri" w:cs="Calibri"/>
          <w:b/>
          <w:bCs/>
          <w:color w:val="1A1A1A"/>
        </w:rPr>
        <w:t>urgence vitale</w:t>
      </w:r>
      <w:r>
        <w:rPr>
          <w:rFonts w:ascii="Calibri" w:eastAsia="Calibri" w:hAnsi="Calibri" w:cs="Calibri"/>
          <w:color w:val="1A1A1A"/>
        </w:rPr>
        <w:t xml:space="preserve"> et en l’absence de certitude quant au refus, l’obligation de protection de la vie prime (</w:t>
      </w:r>
      <w:r>
        <w:rPr>
          <w:rFonts w:ascii="Calibri" w:eastAsia="Calibri" w:hAnsi="Calibri" w:cs="Calibri"/>
          <w:color w:val="E91E63"/>
        </w:rPr>
        <w:t>Pindo Mulla</w:t>
      </w:r>
      <w:r>
        <w:rPr>
          <w:rFonts w:ascii="Calibri" w:eastAsia="Calibri" w:hAnsi="Calibri" w:cs="Calibri"/>
          <w:color w:val="1A1A1A"/>
        </w:rPr>
        <w:t>, 2024).</w:t>
      </w:r>
    </w:p>
    <w:p w14:paraId="277EA887"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Q. Une personne morale a-t-elle droit à la protection de sa réputation ?</w:t>
      </w:r>
      <w:r>
        <w:rPr>
          <w:rFonts w:ascii="Calibri" w:eastAsia="Calibri" w:hAnsi="Calibri" w:cs="Calibri"/>
          <w:color w:val="1A1A1A"/>
        </w:rPr>
        <w:t xml:space="preserve"> — Oui, mais </w:t>
      </w:r>
      <w:r>
        <w:rPr>
          <w:rFonts w:ascii="Calibri" w:eastAsia="Calibri" w:hAnsi="Calibri" w:cs="Calibri"/>
          <w:b/>
          <w:bCs/>
          <w:color w:val="1A1A1A"/>
        </w:rPr>
        <w:t>pas au même niveau</w:t>
      </w:r>
      <w:r>
        <w:rPr>
          <w:rFonts w:ascii="Calibri" w:eastAsia="Calibri" w:hAnsi="Calibri" w:cs="Calibri"/>
          <w:color w:val="1A1A1A"/>
        </w:rPr>
        <w:t xml:space="preserve"> qu’une personne physique (</w:t>
      </w:r>
      <w:r>
        <w:rPr>
          <w:rFonts w:ascii="Calibri" w:eastAsia="Calibri" w:hAnsi="Calibri" w:cs="Calibri"/>
          <w:color w:val="E91E63"/>
        </w:rPr>
        <w:t xml:space="preserve">Margulev c. </w:t>
      </w:r>
      <w:r w:rsidRPr="00A823F0">
        <w:rPr>
          <w:rFonts w:ascii="Calibri" w:eastAsia="Calibri" w:hAnsi="Calibri" w:cs="Calibri"/>
          <w:color w:val="E91D62"/>
        </w:rPr>
        <w:t>Russie, 2019</w:t>
      </w:r>
      <w:r>
        <w:rPr>
          <w:rFonts w:ascii="Calibri" w:eastAsia="Calibri" w:hAnsi="Calibri" w:cs="Calibri"/>
          <w:color w:val="1A1A1A"/>
        </w:rPr>
        <w:t>).</w:t>
      </w:r>
    </w:p>
    <w:p w14:paraId="41141C5C" w14:textId="77777777" w:rsidR="004A4E1F" w:rsidRDefault="00000000">
      <w:r>
        <w:br w:type="page"/>
      </w:r>
    </w:p>
    <w:p w14:paraId="3B90BCAE" w14:textId="77777777" w:rsidR="004A4E1F" w:rsidRDefault="00000000">
      <w:pPr>
        <w:pStyle w:val="Titre1"/>
        <w:pBdr>
          <w:bottom w:val="single" w:sz="12" w:space="6" w:color="8C1C2B"/>
        </w:pBdr>
        <w:spacing w:before="240" w:after="200"/>
      </w:pPr>
      <w:r>
        <w:rPr>
          <w:rFonts w:ascii="Calibri" w:eastAsia="Calibri" w:hAnsi="Calibri" w:cs="Calibri"/>
          <w:b/>
          <w:bCs/>
          <w:color w:val="8C1C2B"/>
          <w:sz w:val="30"/>
          <w:szCs w:val="30"/>
        </w:rPr>
        <w:lastRenderedPageBreak/>
        <w:t>FICHE N° 28 — L’INTERDICTION DE LA TORTURE ET DES PEINES OU TRAITEMENTS INHUMAINS OU DÉGRADANTS</w:t>
      </w:r>
    </w:p>
    <w:p w14:paraId="3AA32F16" w14:textId="77777777" w:rsidR="004A4E1F" w:rsidRDefault="00000000">
      <w:pPr>
        <w:pStyle w:val="Titre2"/>
        <w:spacing w:before="280" w:after="120"/>
      </w:pPr>
      <w:r>
        <w:rPr>
          <w:rFonts w:ascii="Calibri" w:eastAsia="Calibri" w:hAnsi="Calibri" w:cs="Calibri"/>
          <w:b/>
          <w:bCs/>
          <w:color w:val="1A1A1A"/>
          <w:sz w:val="24"/>
          <w:szCs w:val="24"/>
        </w:rPr>
        <w:t>◆ FICHE-MÉMOIRE — à réviser en trois minutes</w:t>
      </w:r>
    </w:p>
    <w:p w14:paraId="21522A99" w14:textId="77777777" w:rsidR="004A4E1F" w:rsidRDefault="00000000">
      <w:pPr>
        <w:pStyle w:val="Titre3"/>
        <w:spacing w:before="200" w:after="90"/>
      </w:pPr>
      <w:r>
        <w:rPr>
          <w:rFonts w:ascii="Calibri" w:eastAsia="Calibri" w:hAnsi="Calibri" w:cs="Calibri"/>
          <w:b/>
          <w:bCs/>
          <w:i/>
          <w:iCs/>
          <w:color w:val="5A5A5A"/>
          <w:sz w:val="21"/>
          <w:szCs w:val="21"/>
        </w:rPr>
        <w:t>Accroche</w:t>
      </w:r>
    </w:p>
    <w:p w14:paraId="6838ED9F" w14:textId="77777777" w:rsidR="004A4E1F" w:rsidRDefault="00000000">
      <w:pPr>
        <w:pStyle w:val="Paragraphedeliste"/>
        <w:numPr>
          <w:ilvl w:val="0"/>
          <w:numId w:val="2"/>
        </w:numPr>
        <w:spacing w:after="70" w:line="264" w:lineRule="auto"/>
        <w:jc w:val="both"/>
      </w:pPr>
      <w:r>
        <w:rPr>
          <w:rFonts w:ascii="Calibri" w:eastAsia="Calibri" w:hAnsi="Calibri" w:cs="Calibri"/>
          <w:color w:val="E91E63"/>
        </w:rPr>
        <w:t>CEDH, 28 septembre 2015, Bouyid c. Belgique, n° 23380/09</w:t>
      </w:r>
      <w:r>
        <w:rPr>
          <w:rFonts w:ascii="Calibri" w:eastAsia="Calibri" w:hAnsi="Calibri" w:cs="Calibri"/>
          <w:color w:val="1A1A1A"/>
        </w:rPr>
        <w:t xml:space="preserve"> : « </w:t>
      </w:r>
      <w:r>
        <w:rPr>
          <w:rFonts w:ascii="Calibri" w:eastAsia="Calibri" w:hAnsi="Calibri" w:cs="Calibri"/>
          <w:i/>
          <w:iCs/>
          <w:color w:val="1A1A1A"/>
        </w:rPr>
        <w:t>L’interdiction de la torture et des peines et traitements inhumains ou dégradants est une valeur de civilisation étroitement liée au respect de la dignité humaine.</w:t>
      </w:r>
      <w:r>
        <w:rPr>
          <w:rFonts w:ascii="Calibri" w:eastAsia="Calibri" w:hAnsi="Calibri" w:cs="Calibri"/>
          <w:color w:val="1A1A1A"/>
        </w:rPr>
        <w:t xml:space="preserve"> » Norme de </w:t>
      </w:r>
      <w:r>
        <w:rPr>
          <w:rFonts w:ascii="Calibri" w:eastAsia="Calibri" w:hAnsi="Calibri" w:cs="Calibri"/>
          <w:b/>
          <w:bCs/>
          <w:i/>
          <w:iCs/>
          <w:color w:val="1A1A1A"/>
        </w:rPr>
        <w:t>jus cogens</w:t>
      </w:r>
      <w:r>
        <w:rPr>
          <w:rFonts w:ascii="Calibri" w:eastAsia="Calibri" w:hAnsi="Calibri" w:cs="Calibri"/>
          <w:color w:val="1A1A1A"/>
        </w:rPr>
        <w:t xml:space="preserve"> — et pourtant, au 1er juin 2025, la France comptait environ </w:t>
      </w:r>
      <w:r>
        <w:rPr>
          <w:rFonts w:ascii="Calibri" w:eastAsia="Calibri" w:hAnsi="Calibri" w:cs="Calibri"/>
          <w:b/>
          <w:bCs/>
          <w:color w:val="1A1A1A"/>
        </w:rPr>
        <w:t>62 000 places opérationnelles pour plus de 84 000 personnes incarcérées</w:t>
      </w:r>
      <w:r>
        <w:rPr>
          <w:rFonts w:ascii="Calibri" w:eastAsia="Calibri" w:hAnsi="Calibri" w:cs="Calibri"/>
          <w:color w:val="1A1A1A"/>
        </w:rPr>
        <w:t>.</w:t>
      </w:r>
    </w:p>
    <w:p w14:paraId="6B00D5E2"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xml:space="preserve">Accroche alternative : </w:t>
      </w:r>
      <w:r>
        <w:rPr>
          <w:rFonts w:ascii="Calibri" w:eastAsia="Calibri" w:hAnsi="Calibri" w:cs="Calibri"/>
          <w:color w:val="E91E63"/>
        </w:rPr>
        <w:t>CEDH, 30 janvier 2020, J.M.B. et a. c. France, n° 9671/15</w:t>
      </w:r>
      <w:r>
        <w:rPr>
          <w:rFonts w:ascii="Calibri" w:eastAsia="Calibri" w:hAnsi="Calibri" w:cs="Calibri"/>
          <w:color w:val="1A1A1A"/>
        </w:rPr>
        <w:t xml:space="preserve"> — la Cour juge que le référé-liberté, « </w:t>
      </w:r>
      <w:r>
        <w:rPr>
          <w:rFonts w:ascii="Calibri" w:eastAsia="Calibri" w:hAnsi="Calibri" w:cs="Calibri"/>
          <w:i/>
          <w:iCs/>
          <w:color w:val="1A1A1A"/>
        </w:rPr>
        <w:t>malgré un cadre juridique théorique solide</w:t>
      </w:r>
      <w:r>
        <w:rPr>
          <w:rFonts w:ascii="Calibri" w:eastAsia="Calibri" w:hAnsi="Calibri" w:cs="Calibri"/>
          <w:color w:val="1A1A1A"/>
        </w:rPr>
        <w:t xml:space="preserve"> », ne peut être considéré comme le recours préventif qu’elle exige, parce qu’il se heurte aux obstacles pratiques de la surpopulation carcérale.</w:t>
      </w:r>
    </w:p>
    <w:p w14:paraId="1A1A393D" w14:textId="77777777" w:rsidR="004A4E1F" w:rsidRDefault="00000000">
      <w:pPr>
        <w:pStyle w:val="Titre3"/>
        <w:spacing w:before="200" w:after="90"/>
      </w:pPr>
      <w:r>
        <w:rPr>
          <w:rFonts w:ascii="Calibri" w:eastAsia="Calibri" w:hAnsi="Calibri" w:cs="Calibri"/>
          <w:b/>
          <w:bCs/>
          <w:i/>
          <w:iCs/>
          <w:color w:val="5A5A5A"/>
          <w:sz w:val="21"/>
          <w:szCs w:val="21"/>
        </w:rPr>
        <w:t>Définition en trois lignes</w:t>
      </w:r>
    </w:p>
    <w:p w14:paraId="7B128F7B"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xml:space="preserve">Interdiction </w:t>
      </w:r>
      <w:r>
        <w:rPr>
          <w:rFonts w:ascii="Calibri" w:eastAsia="Calibri" w:hAnsi="Calibri" w:cs="Calibri"/>
          <w:b/>
          <w:bCs/>
          <w:color w:val="1A1A1A"/>
        </w:rPr>
        <w:t>absolue et indérogeable</w:t>
      </w:r>
      <w:r>
        <w:rPr>
          <w:rFonts w:ascii="Calibri" w:eastAsia="Calibri" w:hAnsi="Calibri" w:cs="Calibri"/>
          <w:color w:val="1A1A1A"/>
        </w:rPr>
        <w:t xml:space="preserve"> (</w:t>
      </w:r>
      <w:r>
        <w:rPr>
          <w:rFonts w:ascii="Calibri" w:eastAsia="Calibri" w:hAnsi="Calibri" w:cs="Calibri"/>
          <w:color w:val="1E88E5"/>
        </w:rPr>
        <w:t>art. 3 CEDH</w:t>
      </w:r>
      <w:r>
        <w:rPr>
          <w:rFonts w:ascii="Calibri" w:eastAsia="Calibri" w:hAnsi="Calibri" w:cs="Calibri"/>
          <w:color w:val="1A1A1A"/>
        </w:rPr>
        <w:t>, insusceptible de dérogation y compris au titre de l’</w:t>
      </w:r>
      <w:r>
        <w:rPr>
          <w:rFonts w:ascii="Calibri" w:eastAsia="Calibri" w:hAnsi="Calibri" w:cs="Calibri"/>
          <w:color w:val="1E88E5"/>
        </w:rPr>
        <w:t>art. 15</w:t>
      </w:r>
      <w:r>
        <w:rPr>
          <w:rFonts w:ascii="Calibri" w:eastAsia="Calibri" w:hAnsi="Calibri" w:cs="Calibri"/>
          <w:color w:val="1A1A1A"/>
        </w:rPr>
        <w:t xml:space="preserve">), qualifiée de </w:t>
      </w:r>
      <w:r>
        <w:rPr>
          <w:rFonts w:ascii="Calibri" w:eastAsia="Calibri" w:hAnsi="Calibri" w:cs="Calibri"/>
          <w:b/>
          <w:bCs/>
          <w:color w:val="1A1A1A"/>
        </w:rPr>
        <w:t xml:space="preserve">norme de </w:t>
      </w:r>
      <w:r>
        <w:rPr>
          <w:rFonts w:ascii="Calibri" w:eastAsia="Calibri" w:hAnsi="Calibri" w:cs="Calibri"/>
          <w:b/>
          <w:bCs/>
          <w:i/>
          <w:iCs/>
          <w:color w:val="1A1A1A"/>
        </w:rPr>
        <w:t>jus cogens</w:t>
      </w:r>
      <w:r>
        <w:rPr>
          <w:rFonts w:ascii="Calibri" w:eastAsia="Calibri" w:hAnsi="Calibri" w:cs="Calibri"/>
          <w:color w:val="1A1A1A"/>
        </w:rPr>
        <w:t>. Trois degrés distingués par l’</w:t>
      </w:r>
      <w:r>
        <w:rPr>
          <w:rFonts w:ascii="Calibri" w:eastAsia="Calibri" w:hAnsi="Calibri" w:cs="Calibri"/>
          <w:b/>
          <w:bCs/>
          <w:color w:val="1A1A1A"/>
        </w:rPr>
        <w:t>intensité des souffrances infligées</w:t>
      </w:r>
      <w:r>
        <w:rPr>
          <w:rFonts w:ascii="Calibri" w:eastAsia="Calibri" w:hAnsi="Calibri" w:cs="Calibri"/>
          <w:color w:val="1A1A1A"/>
        </w:rPr>
        <w:t xml:space="preserve"> : la </w:t>
      </w:r>
      <w:r>
        <w:rPr>
          <w:rFonts w:ascii="Calibri" w:eastAsia="Calibri" w:hAnsi="Calibri" w:cs="Calibri"/>
          <w:b/>
          <w:bCs/>
          <w:color w:val="1A1A1A"/>
        </w:rPr>
        <w:t>torture</w:t>
      </w:r>
      <w:r>
        <w:rPr>
          <w:rFonts w:ascii="Calibri" w:eastAsia="Calibri" w:hAnsi="Calibri" w:cs="Calibri"/>
          <w:color w:val="1A1A1A"/>
        </w:rPr>
        <w:t xml:space="preserve"> (intensité maximale et « infamie spéciale »), le traitement ou la peine </w:t>
      </w:r>
      <w:r>
        <w:rPr>
          <w:rFonts w:ascii="Calibri" w:eastAsia="Calibri" w:hAnsi="Calibri" w:cs="Calibri"/>
          <w:b/>
          <w:bCs/>
          <w:color w:val="1A1A1A"/>
        </w:rPr>
        <w:t>inhumain</w:t>
      </w:r>
      <w:r>
        <w:rPr>
          <w:rFonts w:ascii="Calibri" w:eastAsia="Calibri" w:hAnsi="Calibri" w:cs="Calibri"/>
          <w:color w:val="1A1A1A"/>
        </w:rPr>
        <w:t xml:space="preserve">, le traitement ou la peine </w:t>
      </w:r>
      <w:r>
        <w:rPr>
          <w:rFonts w:ascii="Calibri" w:eastAsia="Calibri" w:hAnsi="Calibri" w:cs="Calibri"/>
          <w:b/>
          <w:bCs/>
          <w:color w:val="1A1A1A"/>
        </w:rPr>
        <w:t>dégradant</w:t>
      </w:r>
      <w:r>
        <w:rPr>
          <w:rFonts w:ascii="Calibri" w:eastAsia="Calibri" w:hAnsi="Calibri" w:cs="Calibri"/>
          <w:color w:val="1A1A1A"/>
        </w:rPr>
        <w:t>.</w:t>
      </w:r>
    </w:p>
    <w:p w14:paraId="121755FA"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Le seuil minimum de gravité</w:t>
      </w:r>
      <w:r>
        <w:rPr>
          <w:rFonts w:ascii="Calibri" w:eastAsia="Calibri" w:hAnsi="Calibri" w:cs="Calibri"/>
          <w:color w:val="1A1A1A"/>
        </w:rPr>
        <w:t xml:space="preserve"> est « </w:t>
      </w:r>
      <w:r>
        <w:rPr>
          <w:rFonts w:ascii="Calibri" w:eastAsia="Calibri" w:hAnsi="Calibri" w:cs="Calibri"/>
          <w:i/>
          <w:iCs/>
          <w:color w:val="1A1A1A"/>
        </w:rPr>
        <w:t>relatif par essence</w:t>
      </w:r>
      <w:r>
        <w:rPr>
          <w:rFonts w:ascii="Calibri" w:eastAsia="Calibri" w:hAnsi="Calibri" w:cs="Calibri"/>
          <w:color w:val="1A1A1A"/>
        </w:rPr>
        <w:t xml:space="preserve"> » : il dépend de l’ensemble des données de la cause — durée du traitement, effets physiques et mentaux, sexe, âge, état de santé de la victime. Obligations </w:t>
      </w:r>
      <w:r>
        <w:rPr>
          <w:rFonts w:ascii="Calibri" w:eastAsia="Calibri" w:hAnsi="Calibri" w:cs="Calibri"/>
          <w:b/>
          <w:bCs/>
          <w:color w:val="1A1A1A"/>
        </w:rPr>
        <w:t>négatives</w:t>
      </w:r>
      <w:r>
        <w:rPr>
          <w:rFonts w:ascii="Calibri" w:eastAsia="Calibri" w:hAnsi="Calibri" w:cs="Calibri"/>
          <w:color w:val="1A1A1A"/>
        </w:rPr>
        <w:t xml:space="preserve"> (s’abstenir) et </w:t>
      </w:r>
      <w:r>
        <w:rPr>
          <w:rFonts w:ascii="Calibri" w:eastAsia="Calibri" w:hAnsi="Calibri" w:cs="Calibri"/>
          <w:b/>
          <w:bCs/>
          <w:color w:val="1A1A1A"/>
        </w:rPr>
        <w:t>positives</w:t>
      </w:r>
      <w:r>
        <w:rPr>
          <w:rFonts w:ascii="Calibri" w:eastAsia="Calibri" w:hAnsi="Calibri" w:cs="Calibri"/>
          <w:color w:val="1A1A1A"/>
        </w:rPr>
        <w:t xml:space="preserve"> en trois volets : cadre normatif, mesures opérationnelles, enquête effective.</w:t>
      </w:r>
    </w:p>
    <w:p w14:paraId="244A07B4" w14:textId="77777777" w:rsidR="004A4E1F" w:rsidRDefault="00000000">
      <w:pPr>
        <w:pStyle w:val="Titre3"/>
        <w:spacing w:before="200" w:after="90"/>
      </w:pPr>
      <w:r>
        <w:rPr>
          <w:rFonts w:ascii="Calibri" w:eastAsia="Calibri" w:hAnsi="Calibri" w:cs="Calibri"/>
          <w:b/>
          <w:bCs/>
          <w:i/>
          <w:iCs/>
          <w:color w:val="5A5A5A"/>
          <w:sz w:val="21"/>
          <w:szCs w:val="21"/>
        </w:rPr>
        <w:t>Les cinq références incontournables</w:t>
      </w:r>
    </w:p>
    <w:p w14:paraId="47163A7D"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18 janvier 1978, Irlande c. Royaume-Uni, n° 5310/71</w:t>
      </w:r>
      <w:r>
        <w:rPr>
          <w:rFonts w:ascii="Calibri" w:eastAsia="Calibri" w:hAnsi="Calibri" w:cs="Calibri"/>
          <w:color w:val="1A1A1A"/>
        </w:rPr>
        <w:t xml:space="preserve"> : l’</w:t>
      </w:r>
      <w:r>
        <w:rPr>
          <w:rFonts w:ascii="Calibri" w:eastAsia="Calibri" w:hAnsi="Calibri" w:cs="Calibri"/>
          <w:color w:val="1E88E5"/>
        </w:rPr>
        <w:t>art. 3</w:t>
      </w:r>
      <w:r>
        <w:rPr>
          <w:rFonts w:ascii="Calibri" w:eastAsia="Calibri" w:hAnsi="Calibri" w:cs="Calibri"/>
          <w:color w:val="1A1A1A"/>
        </w:rPr>
        <w:t xml:space="preserve"> ne peut faire l’objet de dérogation ; la distinction torture / traitements inhumains repose sur une « </w:t>
      </w:r>
      <w:r>
        <w:rPr>
          <w:rFonts w:ascii="Calibri" w:eastAsia="Calibri" w:hAnsi="Calibri" w:cs="Calibri"/>
          <w:i/>
          <w:iCs/>
          <w:color w:val="1A1A1A"/>
        </w:rPr>
        <w:t>différence dans l’intensité des souffrances infligées</w:t>
      </w:r>
      <w:r>
        <w:rPr>
          <w:rFonts w:ascii="Calibri" w:eastAsia="Calibri" w:hAnsi="Calibri" w:cs="Calibri"/>
          <w:color w:val="1A1A1A"/>
        </w:rPr>
        <w:t xml:space="preserve"> ».</w:t>
      </w:r>
    </w:p>
    <w:p w14:paraId="3ACEACCB"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28 juillet 1999, Selmouni c. France, n° 25803/94</w:t>
      </w:r>
      <w:r>
        <w:rPr>
          <w:rFonts w:ascii="Calibri" w:eastAsia="Calibri" w:hAnsi="Calibri" w:cs="Calibri"/>
          <w:color w:val="1A1A1A"/>
        </w:rPr>
        <w:t xml:space="preserve"> : première condamnation de la France pour des faits de </w:t>
      </w:r>
      <w:r>
        <w:rPr>
          <w:rFonts w:ascii="Calibri" w:eastAsia="Calibri" w:hAnsi="Calibri" w:cs="Calibri"/>
          <w:b/>
          <w:bCs/>
          <w:color w:val="1A1A1A"/>
        </w:rPr>
        <w:t>torture</w:t>
      </w:r>
      <w:r>
        <w:rPr>
          <w:rFonts w:ascii="Calibri" w:eastAsia="Calibri" w:hAnsi="Calibri" w:cs="Calibri"/>
          <w:color w:val="1A1A1A"/>
        </w:rPr>
        <w:t xml:space="preserve"> commis à l’encontre d’une personne gardée à vue.</w:t>
      </w:r>
    </w:p>
    <w:p w14:paraId="25C7CA5B"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 xml:space="preserve">CEDH, 1er juin 2010, </w:t>
      </w:r>
      <w:proofErr w:type="spellStart"/>
      <w:r>
        <w:rPr>
          <w:rFonts w:ascii="Calibri" w:eastAsia="Calibri" w:hAnsi="Calibri" w:cs="Calibri"/>
          <w:color w:val="E91E63"/>
        </w:rPr>
        <w:t>Gäfgen</w:t>
      </w:r>
      <w:proofErr w:type="spellEnd"/>
      <w:r>
        <w:rPr>
          <w:rFonts w:ascii="Calibri" w:eastAsia="Calibri" w:hAnsi="Calibri" w:cs="Calibri"/>
          <w:color w:val="E91E63"/>
        </w:rPr>
        <w:t xml:space="preserve"> c. Allemagne, n° 22978/05</w:t>
      </w:r>
      <w:r>
        <w:rPr>
          <w:rFonts w:ascii="Calibri" w:eastAsia="Calibri" w:hAnsi="Calibri" w:cs="Calibri"/>
          <w:color w:val="1A1A1A"/>
        </w:rPr>
        <w:t xml:space="preserve"> : définition du </w:t>
      </w:r>
      <w:r>
        <w:rPr>
          <w:rFonts w:ascii="Calibri" w:eastAsia="Calibri" w:hAnsi="Calibri" w:cs="Calibri"/>
          <w:b/>
          <w:bCs/>
          <w:color w:val="1A1A1A"/>
        </w:rPr>
        <w:t>dégradant</w:t>
      </w:r>
      <w:r>
        <w:rPr>
          <w:rFonts w:ascii="Calibri" w:eastAsia="Calibri" w:hAnsi="Calibri" w:cs="Calibri"/>
          <w:color w:val="1A1A1A"/>
        </w:rPr>
        <w:t xml:space="preserve"> — traitement « </w:t>
      </w:r>
      <w:r>
        <w:rPr>
          <w:rFonts w:ascii="Calibri" w:eastAsia="Calibri" w:hAnsi="Calibri" w:cs="Calibri"/>
          <w:i/>
          <w:iCs/>
          <w:color w:val="1A1A1A"/>
        </w:rPr>
        <w:t>de nature à créer des sentiments de peur, d’angoisse et d’infériorité propres à humilier, avilir et briser éventuellement la résistance physique ou morale de la personne qui en est victime</w:t>
      </w:r>
      <w:r>
        <w:rPr>
          <w:rFonts w:ascii="Calibri" w:eastAsia="Calibri" w:hAnsi="Calibri" w:cs="Calibri"/>
          <w:color w:val="1A1A1A"/>
        </w:rPr>
        <w:t xml:space="preserve"> ».</w:t>
      </w:r>
    </w:p>
    <w:p w14:paraId="7CAABA08"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30 janvier 2020, J.M.B. et a. c. France, n° 9671/15</w:t>
      </w:r>
      <w:r>
        <w:rPr>
          <w:rFonts w:ascii="Calibri" w:eastAsia="Calibri" w:hAnsi="Calibri" w:cs="Calibri"/>
          <w:color w:val="1A1A1A"/>
        </w:rPr>
        <w:t xml:space="preserve"> : violation des </w:t>
      </w:r>
      <w:r>
        <w:rPr>
          <w:rFonts w:ascii="Calibri" w:eastAsia="Calibri" w:hAnsi="Calibri" w:cs="Calibri"/>
          <w:color w:val="1E88E5"/>
        </w:rPr>
        <w:t>art. 3 et 13</w:t>
      </w:r>
      <w:r>
        <w:rPr>
          <w:rFonts w:ascii="Calibri" w:eastAsia="Calibri" w:hAnsi="Calibri" w:cs="Calibri"/>
          <w:color w:val="1A1A1A"/>
        </w:rPr>
        <w:t xml:space="preserve"> ; recommandation à la France d’adopter des mesures générales et de créer un </w:t>
      </w:r>
      <w:r>
        <w:rPr>
          <w:rFonts w:ascii="Calibri" w:eastAsia="Calibri" w:hAnsi="Calibri" w:cs="Calibri"/>
          <w:b/>
          <w:bCs/>
          <w:color w:val="1A1A1A"/>
        </w:rPr>
        <w:t>recours préventif effectif</w:t>
      </w:r>
      <w:r>
        <w:rPr>
          <w:rFonts w:ascii="Calibri" w:eastAsia="Calibri" w:hAnsi="Calibri" w:cs="Calibri"/>
          <w:color w:val="1A1A1A"/>
        </w:rPr>
        <w:t>.</w:t>
      </w:r>
    </w:p>
    <w:p w14:paraId="3CAFAEDB"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Cons. const., 2020-858/859 QPC, 2 octobre 2020</w:t>
      </w:r>
      <w:r>
        <w:rPr>
          <w:rFonts w:ascii="Calibri" w:eastAsia="Calibri" w:hAnsi="Calibri" w:cs="Calibri"/>
          <w:color w:val="1A1A1A"/>
        </w:rPr>
        <w:t xml:space="preserve"> et </w:t>
      </w:r>
      <w:r>
        <w:rPr>
          <w:rFonts w:ascii="Calibri" w:eastAsia="Calibri" w:hAnsi="Calibri" w:cs="Calibri"/>
          <w:color w:val="E91E63"/>
        </w:rPr>
        <w:t>2021-898 QPC, 16 avril 2021</w:t>
      </w:r>
      <w:r>
        <w:rPr>
          <w:rFonts w:ascii="Calibri" w:eastAsia="Calibri" w:hAnsi="Calibri" w:cs="Calibri"/>
          <w:color w:val="1A1A1A"/>
        </w:rPr>
        <w:t xml:space="preserve">, puis </w:t>
      </w:r>
      <w:r>
        <w:rPr>
          <w:rFonts w:ascii="Calibri" w:eastAsia="Calibri" w:hAnsi="Calibri" w:cs="Calibri"/>
          <w:color w:val="1E88E5"/>
        </w:rPr>
        <w:t>loi n° 2021-403 du 8 avril 2021</w:t>
      </w:r>
      <w:r>
        <w:rPr>
          <w:rFonts w:ascii="Calibri" w:eastAsia="Calibri" w:hAnsi="Calibri" w:cs="Calibri"/>
          <w:color w:val="1A1A1A"/>
        </w:rPr>
        <w:t xml:space="preserve"> créant l’</w:t>
      </w:r>
      <w:r>
        <w:rPr>
          <w:rFonts w:ascii="Calibri" w:eastAsia="Calibri" w:hAnsi="Calibri" w:cs="Calibri"/>
          <w:color w:val="1E88E5"/>
        </w:rPr>
        <w:t>art. 803-8 du Code de procédure pénale</w:t>
      </w:r>
      <w:r>
        <w:rPr>
          <w:rFonts w:ascii="Calibri" w:eastAsia="Calibri" w:hAnsi="Calibri" w:cs="Calibri"/>
          <w:color w:val="1A1A1A"/>
        </w:rPr>
        <w:t xml:space="preserve"> : nouvelle voie de recours permettant de faire constater des conditions de détention indignes.</w:t>
      </w:r>
    </w:p>
    <w:p w14:paraId="3AD3DB41" w14:textId="77777777" w:rsidR="004A4E1F" w:rsidRDefault="00000000">
      <w:pPr>
        <w:pStyle w:val="Titre3"/>
        <w:spacing w:before="200" w:after="90"/>
      </w:pPr>
      <w:r>
        <w:rPr>
          <w:rFonts w:ascii="Calibri" w:eastAsia="Calibri" w:hAnsi="Calibri" w:cs="Calibri"/>
          <w:b/>
          <w:bCs/>
          <w:i/>
          <w:iCs/>
          <w:color w:val="5A5A5A"/>
          <w:sz w:val="21"/>
          <w:szCs w:val="21"/>
        </w:rPr>
        <w:t>Deux matrices de plan</w:t>
      </w:r>
    </w:p>
    <w:p w14:paraId="6C8F2254"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Sujet « Commentaire de CEDH, 30 janvier 2020, J.M.B. et a. c. France »</w:t>
      </w:r>
      <w:r>
        <w:rPr>
          <w:rFonts w:ascii="Calibri" w:eastAsia="Calibri" w:hAnsi="Calibri" w:cs="Calibri"/>
          <w:color w:val="1A1A1A"/>
        </w:rPr>
        <w:t xml:space="preserve"> — </w:t>
      </w:r>
      <w:r>
        <w:rPr>
          <w:rFonts w:ascii="Calibri" w:eastAsia="Calibri" w:hAnsi="Calibri" w:cs="Calibri"/>
          <w:b/>
          <w:bCs/>
          <w:color w:val="1A1A1A"/>
        </w:rPr>
        <w:t>I. La création d’une nouvelle voie de droit</w:t>
      </w:r>
      <w:r>
        <w:rPr>
          <w:rFonts w:ascii="Calibri" w:eastAsia="Calibri" w:hAnsi="Calibri" w:cs="Calibri"/>
          <w:color w:val="1A1A1A"/>
        </w:rPr>
        <w:t xml:space="preserve"> (A. La condamnation pour violation des </w:t>
      </w:r>
      <w:r>
        <w:rPr>
          <w:rFonts w:ascii="Calibri" w:eastAsia="Calibri" w:hAnsi="Calibri" w:cs="Calibri"/>
          <w:color w:val="1E88E5"/>
        </w:rPr>
        <w:t>art. 3 et 13</w:t>
      </w:r>
      <w:r>
        <w:rPr>
          <w:rFonts w:ascii="Calibri" w:eastAsia="Calibri" w:hAnsi="Calibri" w:cs="Calibri"/>
          <w:color w:val="1A1A1A"/>
        </w:rPr>
        <w:t xml:space="preserve"> : l’office limité du juge des référés, prolongée par </w:t>
      </w:r>
      <w:r>
        <w:rPr>
          <w:rFonts w:ascii="Calibri" w:eastAsia="Calibri" w:hAnsi="Calibri" w:cs="Calibri"/>
          <w:color w:val="E91E63"/>
        </w:rPr>
        <w:t>Barbotin c. France</w:t>
      </w:r>
      <w:r>
        <w:rPr>
          <w:rFonts w:ascii="Calibri" w:eastAsia="Calibri" w:hAnsi="Calibri" w:cs="Calibri"/>
          <w:color w:val="1A1A1A"/>
        </w:rPr>
        <w:t xml:space="preserve"> sur l’insuffisance du recours compensatoire ; B. L’évolution du droit positif : </w:t>
      </w:r>
      <w:r>
        <w:rPr>
          <w:rFonts w:ascii="Calibri" w:eastAsia="Calibri" w:hAnsi="Calibri" w:cs="Calibri"/>
          <w:color w:val="E91E63"/>
        </w:rPr>
        <w:t>Cass. crim., 8 juillet 2020</w:t>
      </w:r>
      <w:r>
        <w:rPr>
          <w:rFonts w:ascii="Calibri" w:eastAsia="Calibri" w:hAnsi="Calibri" w:cs="Calibri"/>
          <w:color w:val="1A1A1A"/>
        </w:rPr>
        <w:t xml:space="preserve">, les deux QPC de 2020 et 2021, la </w:t>
      </w:r>
      <w:r>
        <w:rPr>
          <w:rFonts w:ascii="Calibri" w:eastAsia="Calibri" w:hAnsi="Calibri" w:cs="Calibri"/>
          <w:color w:val="1E88E5"/>
        </w:rPr>
        <w:t>loi du 8 avril 2021</w:t>
      </w:r>
      <w:r>
        <w:rPr>
          <w:rFonts w:ascii="Calibri" w:eastAsia="Calibri" w:hAnsi="Calibri" w:cs="Calibri"/>
          <w:color w:val="1A1A1A"/>
        </w:rPr>
        <w:t xml:space="preserve">) / </w:t>
      </w:r>
      <w:r>
        <w:rPr>
          <w:rFonts w:ascii="Calibri" w:eastAsia="Calibri" w:hAnsi="Calibri" w:cs="Calibri"/>
          <w:b/>
          <w:bCs/>
          <w:color w:val="1A1A1A"/>
        </w:rPr>
        <w:t>II. La mise en œuvre hésitante</w:t>
      </w:r>
      <w:r>
        <w:rPr>
          <w:rFonts w:ascii="Calibri" w:eastAsia="Calibri" w:hAnsi="Calibri" w:cs="Calibri"/>
          <w:color w:val="1A1A1A"/>
        </w:rPr>
        <w:t xml:space="preserve"> (A. Une effectivité limitée : critiques de la CNCDH sur le transfèrement, le délai et l’atteinte à la vie privée et familiale ; B. Une effectivité timorée liée à la persistance de la surpopulation carcérale : « profonde préoccupation » du Comité des ministres du 14 mars 2024, condamnations </w:t>
      </w:r>
      <w:r>
        <w:rPr>
          <w:rFonts w:ascii="Calibri" w:eastAsia="Calibri" w:hAnsi="Calibri" w:cs="Calibri"/>
          <w:color w:val="E91E63"/>
        </w:rPr>
        <w:t>B.M.</w:t>
      </w:r>
      <w:r>
        <w:rPr>
          <w:rFonts w:ascii="Calibri" w:eastAsia="Calibri" w:hAnsi="Calibri" w:cs="Calibri"/>
          <w:color w:val="1A1A1A"/>
        </w:rPr>
        <w:t xml:space="preserve"> 2023 et </w:t>
      </w:r>
      <w:r>
        <w:rPr>
          <w:rFonts w:ascii="Calibri" w:eastAsia="Calibri" w:hAnsi="Calibri" w:cs="Calibri"/>
          <w:color w:val="E91E63"/>
        </w:rPr>
        <w:t>Leroy</w:t>
      </w:r>
      <w:r>
        <w:rPr>
          <w:rFonts w:ascii="Calibri" w:eastAsia="Calibri" w:hAnsi="Calibri" w:cs="Calibri"/>
          <w:color w:val="1A1A1A"/>
        </w:rPr>
        <w:t xml:space="preserve"> 2024).</w:t>
      </w:r>
    </w:p>
    <w:p w14:paraId="4A24E8ED"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Sujet « L’article 3 est-il un droit absolu ? »</w:t>
      </w:r>
      <w:r>
        <w:rPr>
          <w:rFonts w:ascii="Calibri" w:eastAsia="Calibri" w:hAnsi="Calibri" w:cs="Calibri"/>
          <w:color w:val="1A1A1A"/>
        </w:rPr>
        <w:t xml:space="preserve"> — </w:t>
      </w:r>
      <w:r>
        <w:rPr>
          <w:rFonts w:ascii="Calibri" w:eastAsia="Calibri" w:hAnsi="Calibri" w:cs="Calibri"/>
          <w:b/>
          <w:bCs/>
          <w:color w:val="1A1A1A"/>
        </w:rPr>
        <w:t>I. Une interdiction absolue dans son principe</w:t>
      </w:r>
      <w:r>
        <w:rPr>
          <w:rFonts w:ascii="Calibri" w:eastAsia="Calibri" w:hAnsi="Calibri" w:cs="Calibri"/>
          <w:color w:val="1A1A1A"/>
        </w:rPr>
        <w:t xml:space="preserve"> (A. Indérogeabilité et </w:t>
      </w:r>
      <w:r>
        <w:rPr>
          <w:rFonts w:ascii="Calibri" w:eastAsia="Calibri" w:hAnsi="Calibri" w:cs="Calibri"/>
          <w:i/>
          <w:iCs/>
          <w:color w:val="1A1A1A"/>
        </w:rPr>
        <w:t>jus cogens</w:t>
      </w:r>
      <w:r>
        <w:rPr>
          <w:rFonts w:ascii="Calibri" w:eastAsia="Calibri" w:hAnsi="Calibri" w:cs="Calibri"/>
          <w:color w:val="1A1A1A"/>
        </w:rPr>
        <w:t xml:space="preserve"> : </w:t>
      </w:r>
      <w:r>
        <w:rPr>
          <w:rFonts w:ascii="Calibri" w:eastAsia="Calibri" w:hAnsi="Calibri" w:cs="Calibri"/>
          <w:color w:val="E91E63"/>
        </w:rPr>
        <w:t>Irlande c. Royaume-Uni</w:t>
      </w:r>
      <w:r>
        <w:rPr>
          <w:rFonts w:ascii="Calibri" w:eastAsia="Calibri" w:hAnsi="Calibri" w:cs="Calibri"/>
          <w:color w:val="1A1A1A"/>
        </w:rPr>
        <w:t xml:space="preserve">, </w:t>
      </w:r>
      <w:r>
        <w:rPr>
          <w:rFonts w:ascii="Calibri" w:eastAsia="Calibri" w:hAnsi="Calibri" w:cs="Calibri"/>
          <w:color w:val="E91E63"/>
        </w:rPr>
        <w:t>Al-</w:t>
      </w:r>
      <w:proofErr w:type="spellStart"/>
      <w:r>
        <w:rPr>
          <w:rFonts w:ascii="Calibri" w:eastAsia="Calibri" w:hAnsi="Calibri" w:cs="Calibri"/>
          <w:color w:val="E91E63"/>
        </w:rPr>
        <w:t>Adsani</w:t>
      </w:r>
      <w:proofErr w:type="spellEnd"/>
      <w:r>
        <w:rPr>
          <w:rFonts w:ascii="Calibri" w:eastAsia="Calibri" w:hAnsi="Calibri" w:cs="Calibri"/>
          <w:color w:val="1A1A1A"/>
        </w:rPr>
        <w:t xml:space="preserve">, </w:t>
      </w:r>
      <w:r>
        <w:rPr>
          <w:rFonts w:ascii="Calibri" w:eastAsia="Calibri" w:hAnsi="Calibri" w:cs="Calibri"/>
          <w:color w:val="E91E63"/>
        </w:rPr>
        <w:t xml:space="preserve">TPIY, </w:t>
      </w:r>
      <w:proofErr w:type="spellStart"/>
      <w:r>
        <w:rPr>
          <w:rFonts w:ascii="Calibri" w:eastAsia="Calibri" w:hAnsi="Calibri" w:cs="Calibri"/>
          <w:color w:val="E91E63"/>
        </w:rPr>
        <w:t>Furundžija</w:t>
      </w:r>
      <w:proofErr w:type="spellEnd"/>
      <w:r>
        <w:rPr>
          <w:rFonts w:ascii="Calibri" w:eastAsia="Calibri" w:hAnsi="Calibri" w:cs="Calibri"/>
          <w:color w:val="1A1A1A"/>
        </w:rPr>
        <w:t xml:space="preserve"> ; B. Un lien consubstantiel avec la dignité : </w:t>
      </w:r>
      <w:proofErr w:type="spellStart"/>
      <w:r>
        <w:rPr>
          <w:rFonts w:ascii="Calibri" w:eastAsia="Calibri" w:hAnsi="Calibri" w:cs="Calibri"/>
          <w:color w:val="E91E63"/>
        </w:rPr>
        <w:t>Bouyid</w:t>
      </w:r>
      <w:proofErr w:type="spellEnd"/>
      <w:r>
        <w:rPr>
          <w:rFonts w:ascii="Calibri" w:eastAsia="Calibri" w:hAnsi="Calibri" w:cs="Calibri"/>
          <w:color w:val="1A1A1A"/>
        </w:rPr>
        <w:t xml:space="preserve">) / </w:t>
      </w:r>
      <w:r>
        <w:rPr>
          <w:rFonts w:ascii="Calibri" w:eastAsia="Calibri" w:hAnsi="Calibri" w:cs="Calibri"/>
          <w:b/>
          <w:bCs/>
          <w:color w:val="1A1A1A"/>
        </w:rPr>
        <w:t>II. Une interdiction relative dans sa mise en œuvre</w:t>
      </w:r>
      <w:r>
        <w:rPr>
          <w:rFonts w:ascii="Calibri" w:eastAsia="Calibri" w:hAnsi="Calibri" w:cs="Calibri"/>
          <w:color w:val="1A1A1A"/>
        </w:rPr>
        <w:t xml:space="preserve"> (A. Un seuil de gravité « relatif par essence » : </w:t>
      </w:r>
      <w:r>
        <w:rPr>
          <w:rFonts w:ascii="Calibri" w:eastAsia="Calibri" w:hAnsi="Calibri" w:cs="Calibri"/>
          <w:color w:val="E91E63"/>
        </w:rPr>
        <w:t>Labita</w:t>
      </w:r>
      <w:r>
        <w:rPr>
          <w:rFonts w:ascii="Calibri" w:eastAsia="Calibri" w:hAnsi="Calibri" w:cs="Calibri"/>
          <w:color w:val="1A1A1A"/>
        </w:rPr>
        <w:t xml:space="preserve"> ; B. Une qualification évolutive, la Convention étant un instrument vivant : </w:t>
      </w:r>
      <w:r>
        <w:rPr>
          <w:rFonts w:ascii="Calibri" w:eastAsia="Calibri" w:hAnsi="Calibri" w:cs="Calibri"/>
          <w:color w:val="E91E63"/>
        </w:rPr>
        <w:t>Selmouni</w:t>
      </w:r>
      <w:r>
        <w:rPr>
          <w:rFonts w:ascii="Calibri" w:eastAsia="Calibri" w:hAnsi="Calibri" w:cs="Calibri"/>
          <w:color w:val="1A1A1A"/>
        </w:rPr>
        <w:t xml:space="preserve">, </w:t>
      </w:r>
      <w:r>
        <w:rPr>
          <w:rFonts w:ascii="Calibri" w:eastAsia="Calibri" w:hAnsi="Calibri" w:cs="Calibri"/>
          <w:color w:val="E91E63"/>
        </w:rPr>
        <w:t>Tyrer</w:t>
      </w:r>
      <w:r>
        <w:rPr>
          <w:rFonts w:ascii="Calibri" w:eastAsia="Calibri" w:hAnsi="Calibri" w:cs="Calibri"/>
          <w:color w:val="1A1A1A"/>
        </w:rPr>
        <w:t>).</w:t>
      </w:r>
    </w:p>
    <w:p w14:paraId="0508A20B" w14:textId="77777777" w:rsidR="004A4E1F" w:rsidRDefault="00000000">
      <w:pPr>
        <w:pStyle w:val="Titre3"/>
        <w:spacing w:before="200" w:after="90"/>
      </w:pPr>
      <w:r>
        <w:rPr>
          <w:rFonts w:ascii="Calibri" w:eastAsia="Calibri" w:hAnsi="Calibri" w:cs="Calibri"/>
          <w:b/>
          <w:bCs/>
          <w:i/>
          <w:iCs/>
          <w:color w:val="5A5A5A"/>
          <w:sz w:val="21"/>
          <w:szCs w:val="21"/>
        </w:rPr>
        <w:t>Trois pièges</w:t>
      </w:r>
    </w:p>
    <w:p w14:paraId="373D4096"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lastRenderedPageBreak/>
        <w:t>Le caractère absolu de l’interdiction n’empêche pas la relativité du seuil</w:t>
      </w:r>
      <w:r>
        <w:rPr>
          <w:rFonts w:ascii="Calibri" w:eastAsia="Calibri" w:hAnsi="Calibri" w:cs="Calibri"/>
          <w:color w:val="1A1A1A"/>
        </w:rPr>
        <w:t xml:space="preserve"> : l’appréciation du minimum de gravité « </w:t>
      </w:r>
      <w:r>
        <w:rPr>
          <w:rFonts w:ascii="Calibri" w:eastAsia="Calibri" w:hAnsi="Calibri" w:cs="Calibri"/>
          <w:i/>
          <w:iCs/>
          <w:color w:val="1A1A1A"/>
        </w:rPr>
        <w:t>est relative par essence ; elle dépend de l’ensemble des données de la cause</w:t>
      </w:r>
      <w:r>
        <w:rPr>
          <w:rFonts w:ascii="Calibri" w:eastAsia="Calibri" w:hAnsi="Calibri" w:cs="Calibri"/>
          <w:color w:val="1A1A1A"/>
        </w:rPr>
        <w:t xml:space="preserve"> » (</w:t>
      </w:r>
      <w:r>
        <w:rPr>
          <w:rFonts w:ascii="Calibri" w:eastAsia="Calibri" w:hAnsi="Calibri" w:cs="Calibri"/>
          <w:color w:val="E91E63"/>
        </w:rPr>
        <w:t>CEDH, 6 avril 2000, Labita c. Italie, n° 26772/95</w:t>
      </w:r>
      <w:r>
        <w:rPr>
          <w:rFonts w:ascii="Calibri" w:eastAsia="Calibri" w:hAnsi="Calibri" w:cs="Calibri"/>
          <w:color w:val="1A1A1A"/>
        </w:rPr>
        <w:t>). Absolu ne signifie pas automatique.</w:t>
      </w:r>
    </w:p>
    <w:p w14:paraId="43E383FF"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L’esclavage et le travail forcé ne relèvent pas de l’</w:t>
      </w:r>
      <w:r>
        <w:rPr>
          <w:rFonts w:ascii="Calibri" w:eastAsia="Calibri" w:hAnsi="Calibri" w:cs="Calibri"/>
          <w:b/>
          <w:bCs/>
          <w:color w:val="1E88E5"/>
        </w:rPr>
        <w:t>art. 3</w:t>
      </w:r>
      <w:r>
        <w:rPr>
          <w:rFonts w:ascii="Calibri" w:eastAsia="Calibri" w:hAnsi="Calibri" w:cs="Calibri"/>
          <w:b/>
          <w:bCs/>
          <w:color w:val="1A1A1A"/>
        </w:rPr>
        <w:t xml:space="preserve"> mais de l’</w:t>
      </w:r>
      <w:r>
        <w:rPr>
          <w:rFonts w:ascii="Calibri" w:eastAsia="Calibri" w:hAnsi="Calibri" w:cs="Calibri"/>
          <w:b/>
          <w:bCs/>
          <w:color w:val="1E88E5"/>
        </w:rPr>
        <w:t>art. 4</w:t>
      </w:r>
      <w:r>
        <w:rPr>
          <w:rFonts w:ascii="Calibri" w:eastAsia="Calibri" w:hAnsi="Calibri" w:cs="Calibri"/>
          <w:color w:val="1A1A1A"/>
        </w:rPr>
        <w:t xml:space="preserve"> : autonomie normative, avec des conventions spécifiques (1926, 1953, 1956 ; OIT 1930). Les rattacher à l’article 3 est une erreur de fondement.</w:t>
      </w:r>
    </w:p>
    <w:p w14:paraId="0A4BAEBF"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L’incarcération à vie n’est pas en soi contraire à l’</w:t>
      </w:r>
      <w:r>
        <w:rPr>
          <w:rFonts w:ascii="Calibri" w:eastAsia="Calibri" w:hAnsi="Calibri" w:cs="Calibri"/>
          <w:b/>
          <w:bCs/>
          <w:color w:val="1E88E5"/>
        </w:rPr>
        <w:t>art. 3</w:t>
      </w:r>
      <w:r>
        <w:rPr>
          <w:rFonts w:ascii="Calibri" w:eastAsia="Calibri" w:hAnsi="Calibri" w:cs="Calibri"/>
          <w:color w:val="1A1A1A"/>
        </w:rPr>
        <w:t xml:space="preserve"> : la Cour exige seulement qu’elle soit </w:t>
      </w:r>
      <w:r>
        <w:rPr>
          <w:rFonts w:ascii="Calibri" w:eastAsia="Calibri" w:hAnsi="Calibri" w:cs="Calibri"/>
          <w:b/>
          <w:bCs/>
          <w:color w:val="1A1A1A"/>
        </w:rPr>
        <w:t>compressible</w:t>
      </w:r>
      <w:r>
        <w:rPr>
          <w:rFonts w:ascii="Calibri" w:eastAsia="Calibri" w:hAnsi="Calibri" w:cs="Calibri"/>
          <w:color w:val="1A1A1A"/>
        </w:rPr>
        <w:t>, c’est-à-dire que la personne dispose d’une possibilité de réexamen.</w:t>
      </w:r>
    </w:p>
    <w:p w14:paraId="147B9873" w14:textId="77777777" w:rsidR="004A4E1F" w:rsidRDefault="00000000">
      <w:r>
        <w:br w:type="page"/>
      </w:r>
    </w:p>
    <w:p w14:paraId="64943D0E" w14:textId="77777777" w:rsidR="004A4E1F" w:rsidRDefault="00000000">
      <w:pPr>
        <w:pStyle w:val="Titre2"/>
        <w:spacing w:before="280" w:after="120"/>
      </w:pPr>
      <w:r>
        <w:rPr>
          <w:rFonts w:ascii="Calibri" w:eastAsia="Calibri" w:hAnsi="Calibri" w:cs="Calibri"/>
          <w:b/>
          <w:bCs/>
          <w:color w:val="1A1A1A"/>
          <w:sz w:val="24"/>
          <w:szCs w:val="24"/>
        </w:rPr>
        <w:lastRenderedPageBreak/>
        <w:t>1. Architecture textuelle</w:t>
      </w:r>
    </w:p>
    <w:p w14:paraId="25F734A7" w14:textId="77777777" w:rsidR="004A4E1F" w:rsidRDefault="00000000">
      <w:pPr>
        <w:pStyle w:val="Paragraphedeliste"/>
        <w:numPr>
          <w:ilvl w:val="0"/>
          <w:numId w:val="2"/>
        </w:numPr>
        <w:spacing w:after="70" w:line="264" w:lineRule="auto"/>
        <w:jc w:val="both"/>
      </w:pPr>
      <w:r>
        <w:rPr>
          <w:rFonts w:ascii="Calibri" w:eastAsia="Calibri" w:hAnsi="Calibri" w:cs="Calibri"/>
          <w:color w:val="1E88E5"/>
        </w:rPr>
        <w:t>Convention contre la torture et autres peines ou traitements cruels, inhumains ou dégradants (1984)</w:t>
      </w:r>
      <w:r>
        <w:rPr>
          <w:rFonts w:ascii="Calibri" w:eastAsia="Calibri" w:hAnsi="Calibri" w:cs="Calibri"/>
          <w:color w:val="1A1A1A"/>
        </w:rPr>
        <w:t xml:space="preserve"> ; </w:t>
      </w:r>
      <w:r>
        <w:rPr>
          <w:rFonts w:ascii="Calibri" w:eastAsia="Calibri" w:hAnsi="Calibri" w:cs="Calibri"/>
          <w:color w:val="1E88E5"/>
        </w:rPr>
        <w:t>art. 3 de la Convention européenne</w:t>
      </w:r>
      <w:r>
        <w:rPr>
          <w:rFonts w:ascii="Calibri" w:eastAsia="Calibri" w:hAnsi="Calibri" w:cs="Calibri"/>
          <w:color w:val="1A1A1A"/>
        </w:rPr>
        <w:t xml:space="preserve"> ; </w:t>
      </w:r>
      <w:r>
        <w:rPr>
          <w:rFonts w:ascii="Calibri" w:eastAsia="Calibri" w:hAnsi="Calibri" w:cs="Calibri"/>
          <w:color w:val="1E88E5"/>
        </w:rPr>
        <w:t>art. 5 DUDH</w:t>
      </w:r>
      <w:r>
        <w:rPr>
          <w:rFonts w:ascii="Calibri" w:eastAsia="Calibri" w:hAnsi="Calibri" w:cs="Calibri"/>
          <w:color w:val="1A1A1A"/>
        </w:rPr>
        <w:t xml:space="preserve"> ; </w:t>
      </w:r>
      <w:r>
        <w:rPr>
          <w:rFonts w:ascii="Calibri" w:eastAsia="Calibri" w:hAnsi="Calibri" w:cs="Calibri"/>
          <w:color w:val="1E88E5"/>
        </w:rPr>
        <w:t>art. 7 PIDCP</w:t>
      </w:r>
      <w:r>
        <w:rPr>
          <w:rFonts w:ascii="Calibri" w:eastAsia="Calibri" w:hAnsi="Calibri" w:cs="Calibri"/>
          <w:color w:val="1A1A1A"/>
        </w:rPr>
        <w:t xml:space="preserve">, qui ajoute qu’il est « </w:t>
      </w:r>
      <w:r>
        <w:rPr>
          <w:rFonts w:ascii="Calibri" w:eastAsia="Calibri" w:hAnsi="Calibri" w:cs="Calibri"/>
          <w:i/>
          <w:iCs/>
          <w:color w:val="1A1A1A"/>
        </w:rPr>
        <w:t>interdit de soumettre une personne sans son libre consentement à une expérience médicale ou scientifique</w:t>
      </w:r>
      <w:r>
        <w:rPr>
          <w:rFonts w:ascii="Calibri" w:eastAsia="Calibri" w:hAnsi="Calibri" w:cs="Calibri"/>
          <w:color w:val="1A1A1A"/>
        </w:rPr>
        <w:t xml:space="preserve"> » ; </w:t>
      </w:r>
      <w:r>
        <w:rPr>
          <w:rFonts w:ascii="Calibri" w:eastAsia="Calibri" w:hAnsi="Calibri" w:cs="Calibri"/>
          <w:color w:val="1E88E5"/>
        </w:rPr>
        <w:t>art. 222-1 et s. du Code pénal</w:t>
      </w:r>
      <w:r>
        <w:rPr>
          <w:rFonts w:ascii="Calibri" w:eastAsia="Calibri" w:hAnsi="Calibri" w:cs="Calibri"/>
          <w:color w:val="1A1A1A"/>
        </w:rPr>
        <w:t xml:space="preserve"> (tortures et actes de barbarie) ; </w:t>
      </w:r>
      <w:r>
        <w:rPr>
          <w:rFonts w:ascii="Calibri" w:eastAsia="Calibri" w:hAnsi="Calibri" w:cs="Calibri"/>
          <w:color w:val="1E88E5"/>
        </w:rPr>
        <w:t>art. 2226 du Code civil</w:t>
      </w:r>
      <w:r>
        <w:rPr>
          <w:rFonts w:ascii="Calibri" w:eastAsia="Calibri" w:hAnsi="Calibri" w:cs="Calibri"/>
          <w:color w:val="1A1A1A"/>
        </w:rPr>
        <w:t xml:space="preserve"> (prescription de dix ans, portée à </w:t>
      </w:r>
      <w:r>
        <w:rPr>
          <w:rFonts w:ascii="Calibri" w:eastAsia="Calibri" w:hAnsi="Calibri" w:cs="Calibri"/>
          <w:b/>
          <w:bCs/>
          <w:color w:val="1A1A1A"/>
        </w:rPr>
        <w:t>vingt ans</w:t>
      </w:r>
      <w:r>
        <w:rPr>
          <w:rFonts w:ascii="Calibri" w:eastAsia="Calibri" w:hAnsi="Calibri" w:cs="Calibri"/>
          <w:color w:val="1A1A1A"/>
        </w:rPr>
        <w:t xml:space="preserve"> en cas de préjudice causé par des tortures ou des actes de barbarie) ; </w:t>
      </w:r>
      <w:r>
        <w:rPr>
          <w:rFonts w:ascii="Calibri" w:eastAsia="Calibri" w:hAnsi="Calibri" w:cs="Calibri"/>
          <w:color w:val="1E88E5"/>
        </w:rPr>
        <w:t>loi n° 2021-403 du 8 avril 2021 tendant à garantir le droit au respect de la dignité humaine en détention</w:t>
      </w:r>
      <w:r>
        <w:rPr>
          <w:rFonts w:ascii="Calibri" w:eastAsia="Calibri" w:hAnsi="Calibri" w:cs="Calibri"/>
          <w:color w:val="1A1A1A"/>
        </w:rPr>
        <w:t>.</w:t>
      </w:r>
    </w:p>
    <w:p w14:paraId="17ABBA18"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 xml:space="preserve">Une norme de </w:t>
      </w:r>
      <w:r>
        <w:rPr>
          <w:rFonts w:ascii="Calibri" w:eastAsia="Calibri" w:hAnsi="Calibri" w:cs="Calibri"/>
          <w:b/>
          <w:bCs/>
          <w:i/>
          <w:iCs/>
          <w:color w:val="1A1A1A"/>
        </w:rPr>
        <w:t>jus cogens</w:t>
      </w:r>
      <w:r>
        <w:rPr>
          <w:rFonts w:ascii="Calibri" w:eastAsia="Calibri" w:hAnsi="Calibri" w:cs="Calibri"/>
          <w:color w:val="1A1A1A"/>
        </w:rPr>
        <w:t xml:space="preserve"> : </w:t>
      </w:r>
      <w:r>
        <w:rPr>
          <w:rFonts w:ascii="Calibri" w:eastAsia="Calibri" w:hAnsi="Calibri" w:cs="Calibri"/>
          <w:color w:val="E91E63"/>
        </w:rPr>
        <w:t xml:space="preserve">TPIY, 10 décembre 1998, Procureur c. </w:t>
      </w:r>
      <w:proofErr w:type="spellStart"/>
      <w:r>
        <w:rPr>
          <w:rFonts w:ascii="Calibri" w:eastAsia="Calibri" w:hAnsi="Calibri" w:cs="Calibri"/>
          <w:color w:val="E91E63"/>
        </w:rPr>
        <w:t>Furundžija</w:t>
      </w:r>
      <w:proofErr w:type="spellEnd"/>
      <w:r>
        <w:rPr>
          <w:rFonts w:ascii="Calibri" w:eastAsia="Calibri" w:hAnsi="Calibri" w:cs="Calibri"/>
          <w:color w:val="1A1A1A"/>
        </w:rPr>
        <w:t xml:space="preserve"> ; </w:t>
      </w:r>
      <w:r>
        <w:rPr>
          <w:rFonts w:ascii="Calibri" w:eastAsia="Calibri" w:hAnsi="Calibri" w:cs="Calibri"/>
          <w:color w:val="E91E63"/>
        </w:rPr>
        <w:t>CEDH, 21 novembre 2001, Al-</w:t>
      </w:r>
      <w:proofErr w:type="spellStart"/>
      <w:r>
        <w:rPr>
          <w:rFonts w:ascii="Calibri" w:eastAsia="Calibri" w:hAnsi="Calibri" w:cs="Calibri"/>
          <w:color w:val="E91E63"/>
        </w:rPr>
        <w:t>Adsani</w:t>
      </w:r>
      <w:proofErr w:type="spellEnd"/>
      <w:r>
        <w:rPr>
          <w:rFonts w:ascii="Calibri" w:eastAsia="Calibri" w:hAnsi="Calibri" w:cs="Calibri"/>
          <w:color w:val="E91E63"/>
        </w:rPr>
        <w:t xml:space="preserve"> c. Royaume-Uni, n° 35763/97</w:t>
      </w:r>
      <w:r>
        <w:rPr>
          <w:rFonts w:ascii="Calibri" w:eastAsia="Calibri" w:hAnsi="Calibri" w:cs="Calibri"/>
          <w:color w:val="1A1A1A"/>
        </w:rPr>
        <w:t>.</w:t>
      </w:r>
    </w:p>
    <w:p w14:paraId="320EF2E0" w14:textId="77777777" w:rsidR="004A4E1F" w:rsidRDefault="00000000">
      <w:pPr>
        <w:pStyle w:val="Titre2"/>
        <w:spacing w:before="280" w:after="120"/>
      </w:pPr>
      <w:r>
        <w:rPr>
          <w:rFonts w:ascii="Calibri" w:eastAsia="Calibri" w:hAnsi="Calibri" w:cs="Calibri"/>
          <w:b/>
          <w:bCs/>
          <w:color w:val="1A1A1A"/>
          <w:sz w:val="24"/>
          <w:szCs w:val="24"/>
        </w:rPr>
        <w:t>2. Les instruments conventionnels spécifiques</w:t>
      </w:r>
    </w:p>
    <w:p w14:paraId="02885225"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Niveau onusien</w:t>
      </w:r>
      <w:r>
        <w:rPr>
          <w:rFonts w:ascii="Calibri" w:eastAsia="Calibri" w:hAnsi="Calibri" w:cs="Calibri"/>
          <w:color w:val="1A1A1A"/>
        </w:rPr>
        <w:t xml:space="preserve"> : la </w:t>
      </w:r>
      <w:r>
        <w:rPr>
          <w:rFonts w:ascii="Calibri" w:eastAsia="Calibri" w:hAnsi="Calibri" w:cs="Calibri"/>
          <w:color w:val="1E88E5"/>
        </w:rPr>
        <w:t>Convention de 1984</w:t>
      </w:r>
      <w:r>
        <w:rPr>
          <w:rFonts w:ascii="Calibri" w:eastAsia="Calibri" w:hAnsi="Calibri" w:cs="Calibri"/>
          <w:color w:val="1A1A1A"/>
        </w:rPr>
        <w:t xml:space="preserve"> institue le </w:t>
      </w:r>
      <w:r>
        <w:rPr>
          <w:rFonts w:ascii="Calibri" w:eastAsia="Calibri" w:hAnsi="Calibri" w:cs="Calibri"/>
          <w:b/>
          <w:bCs/>
          <w:color w:val="1A1A1A"/>
        </w:rPr>
        <w:t>Comité contre la torture</w:t>
      </w:r>
      <w:r>
        <w:rPr>
          <w:rFonts w:ascii="Calibri" w:eastAsia="Calibri" w:hAnsi="Calibri" w:cs="Calibri"/>
          <w:color w:val="1A1A1A"/>
        </w:rPr>
        <w:t xml:space="preserve">. L’Assemblée générale adopte en </w:t>
      </w:r>
      <w:r>
        <w:rPr>
          <w:rFonts w:ascii="Calibri" w:eastAsia="Calibri" w:hAnsi="Calibri" w:cs="Calibri"/>
          <w:b/>
          <w:bCs/>
          <w:color w:val="1A1A1A"/>
        </w:rPr>
        <w:t>2002</w:t>
      </w:r>
      <w:r>
        <w:rPr>
          <w:rFonts w:ascii="Calibri" w:eastAsia="Calibri" w:hAnsi="Calibri" w:cs="Calibri"/>
          <w:color w:val="1A1A1A"/>
        </w:rPr>
        <w:t xml:space="preserve"> un </w:t>
      </w:r>
      <w:r>
        <w:rPr>
          <w:rFonts w:ascii="Calibri" w:eastAsia="Calibri" w:hAnsi="Calibri" w:cs="Calibri"/>
          <w:color w:val="1E88E5"/>
        </w:rPr>
        <w:t>Protocole facultatif</w:t>
      </w:r>
      <w:r>
        <w:rPr>
          <w:rFonts w:ascii="Calibri" w:eastAsia="Calibri" w:hAnsi="Calibri" w:cs="Calibri"/>
          <w:color w:val="1A1A1A"/>
        </w:rPr>
        <w:t xml:space="preserve"> prévoyant l’établissement d’un système de visites régulières dans les lieux de privation de liberté. En France, une </w:t>
      </w:r>
      <w:r>
        <w:rPr>
          <w:rFonts w:ascii="Calibri" w:eastAsia="Calibri" w:hAnsi="Calibri" w:cs="Calibri"/>
          <w:color w:val="1E88E5"/>
        </w:rPr>
        <w:t>loi de 2007</w:t>
      </w:r>
      <w:r>
        <w:rPr>
          <w:rFonts w:ascii="Calibri" w:eastAsia="Calibri" w:hAnsi="Calibri" w:cs="Calibri"/>
          <w:color w:val="1A1A1A"/>
        </w:rPr>
        <w:t xml:space="preserve"> institue une autorité administrative indépendante — le </w:t>
      </w:r>
      <w:r>
        <w:rPr>
          <w:rFonts w:ascii="Calibri" w:eastAsia="Calibri" w:hAnsi="Calibri" w:cs="Calibri"/>
          <w:b/>
          <w:bCs/>
          <w:color w:val="1A1A1A"/>
        </w:rPr>
        <w:t>Contrôleur général des lieux de privation de liberté</w:t>
      </w:r>
      <w:r>
        <w:rPr>
          <w:rFonts w:ascii="Calibri" w:eastAsia="Calibri" w:hAnsi="Calibri" w:cs="Calibri"/>
          <w:color w:val="1A1A1A"/>
        </w:rPr>
        <w:t xml:space="preserve"> — et une loi de </w:t>
      </w:r>
      <w:r>
        <w:rPr>
          <w:rFonts w:ascii="Calibri" w:eastAsia="Calibri" w:hAnsi="Calibri" w:cs="Calibri"/>
          <w:b/>
          <w:bCs/>
          <w:color w:val="1A1A1A"/>
        </w:rPr>
        <w:t>2008</w:t>
      </w:r>
      <w:r>
        <w:rPr>
          <w:rFonts w:ascii="Calibri" w:eastAsia="Calibri" w:hAnsi="Calibri" w:cs="Calibri"/>
          <w:color w:val="1A1A1A"/>
        </w:rPr>
        <w:t xml:space="preserve"> approuve le protocole.</w:t>
      </w:r>
    </w:p>
    <w:p w14:paraId="42C415F4"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Le Contrôleur général</w:t>
      </w:r>
      <w:r>
        <w:rPr>
          <w:rFonts w:ascii="Calibri" w:eastAsia="Calibri" w:hAnsi="Calibri" w:cs="Calibri"/>
          <w:color w:val="1A1A1A"/>
        </w:rPr>
        <w:t xml:space="preserve"> : </w:t>
      </w:r>
      <w:r>
        <w:rPr>
          <w:rFonts w:ascii="Calibri" w:eastAsia="Calibri" w:hAnsi="Calibri" w:cs="Calibri"/>
          <w:b/>
          <w:bCs/>
          <w:color w:val="1A1A1A"/>
        </w:rPr>
        <w:t>Dominique Simonnot</w:t>
      </w:r>
      <w:r>
        <w:rPr>
          <w:rFonts w:ascii="Calibri" w:eastAsia="Calibri" w:hAnsi="Calibri" w:cs="Calibri"/>
          <w:color w:val="1A1A1A"/>
        </w:rPr>
        <w:t>, nommée pour six ans par le président de la République en 2020 conformément à l’</w:t>
      </w:r>
      <w:r>
        <w:rPr>
          <w:rFonts w:ascii="Calibri" w:eastAsia="Calibri" w:hAnsi="Calibri" w:cs="Calibri"/>
          <w:color w:val="1E88E5"/>
        </w:rPr>
        <w:t>art. 13 C.</w:t>
      </w:r>
      <w:r>
        <w:rPr>
          <w:rFonts w:ascii="Calibri" w:eastAsia="Calibri" w:hAnsi="Calibri" w:cs="Calibri"/>
          <w:color w:val="1A1A1A"/>
        </w:rPr>
        <w:t xml:space="preserve">, succédant à Adeline Hazan. Il peut visiter, </w:t>
      </w:r>
      <w:r>
        <w:rPr>
          <w:rFonts w:ascii="Calibri" w:eastAsia="Calibri" w:hAnsi="Calibri" w:cs="Calibri"/>
          <w:b/>
          <w:bCs/>
          <w:color w:val="1A1A1A"/>
        </w:rPr>
        <w:t>même de façon inopinée</w:t>
      </w:r>
      <w:r>
        <w:rPr>
          <w:rFonts w:ascii="Calibri" w:eastAsia="Calibri" w:hAnsi="Calibri" w:cs="Calibri"/>
          <w:color w:val="1A1A1A"/>
        </w:rPr>
        <w:t xml:space="preserve">, les établissements pénitentiaires, les établissements de santé accueillant des personnes hospitalisées sans consentement, les centres éducatifs fermés, les locaux de garde à vue, les établissements de rétention administrative, les zones d’attente et les geôles de tribunaux. Saisine large : personnes privées de liberté, proches, agents publics, Gouvernement, parlementaires, autres AAI. Il publie avis, recommandations et rapports thématiques, mais </w:t>
      </w:r>
      <w:r>
        <w:rPr>
          <w:rFonts w:ascii="Calibri" w:eastAsia="Calibri" w:hAnsi="Calibri" w:cs="Calibri"/>
          <w:b/>
          <w:bCs/>
          <w:color w:val="1A1A1A"/>
        </w:rPr>
        <w:t>ne dispose pas d’un pouvoir réglementaire</w:t>
      </w:r>
      <w:r>
        <w:rPr>
          <w:rFonts w:ascii="Calibri" w:eastAsia="Calibri" w:hAnsi="Calibri" w:cs="Calibri"/>
          <w:color w:val="1A1A1A"/>
        </w:rPr>
        <w:t>.</w:t>
      </w:r>
    </w:p>
    <w:p w14:paraId="778B1A8A"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Niveau européen</w:t>
      </w:r>
      <w:r>
        <w:rPr>
          <w:rFonts w:ascii="Calibri" w:eastAsia="Calibri" w:hAnsi="Calibri" w:cs="Calibri"/>
          <w:color w:val="1A1A1A"/>
        </w:rPr>
        <w:t xml:space="preserve"> : la </w:t>
      </w:r>
      <w:r>
        <w:rPr>
          <w:rFonts w:ascii="Calibri" w:eastAsia="Calibri" w:hAnsi="Calibri" w:cs="Calibri"/>
          <w:color w:val="1E88E5"/>
        </w:rPr>
        <w:t>Convention européenne pour la prévention de la torture et des peines ou traitements inhumains ou dégradants de 1989</w:t>
      </w:r>
      <w:r>
        <w:rPr>
          <w:rFonts w:ascii="Calibri" w:eastAsia="Calibri" w:hAnsi="Calibri" w:cs="Calibri"/>
          <w:color w:val="1A1A1A"/>
        </w:rPr>
        <w:t xml:space="preserve"> institue, par un protocole, le </w:t>
      </w:r>
      <w:r>
        <w:rPr>
          <w:rFonts w:ascii="Calibri" w:eastAsia="Calibri" w:hAnsi="Calibri" w:cs="Calibri"/>
          <w:b/>
          <w:bCs/>
          <w:color w:val="1A1A1A"/>
        </w:rPr>
        <w:t>Comité européen pour la prévention de la torture</w:t>
      </w:r>
      <w:r>
        <w:rPr>
          <w:rFonts w:ascii="Calibri" w:eastAsia="Calibri" w:hAnsi="Calibri" w:cs="Calibri"/>
          <w:color w:val="1A1A1A"/>
        </w:rPr>
        <w:t xml:space="preserve">, mécanisme de prévention des mauvais traitements. En vertu de son article premier, le Comité visite les lieux de privation de liberté à raison d’environ </w:t>
      </w:r>
      <w:r>
        <w:rPr>
          <w:rFonts w:ascii="Calibri" w:eastAsia="Calibri" w:hAnsi="Calibri" w:cs="Calibri"/>
          <w:b/>
          <w:bCs/>
          <w:color w:val="1A1A1A"/>
        </w:rPr>
        <w:t>18 visites par an</w:t>
      </w:r>
      <w:r>
        <w:rPr>
          <w:rFonts w:ascii="Calibri" w:eastAsia="Calibri" w:hAnsi="Calibri" w:cs="Calibri"/>
          <w:color w:val="1A1A1A"/>
        </w:rPr>
        <w:t xml:space="preserve">. En 2024, il a visité plusieurs établissements français particulièrement concernés par la surpopulation carcérale, quatorze établissements de police et de gendarmerie ainsi que les geôles du tribunal judiciaire de Marseille ; son </w:t>
      </w:r>
      <w:r>
        <w:rPr>
          <w:rFonts w:ascii="Calibri" w:eastAsia="Calibri" w:hAnsi="Calibri" w:cs="Calibri"/>
          <w:b/>
          <w:bCs/>
          <w:color w:val="1A1A1A"/>
        </w:rPr>
        <w:t>34e rapport général d’activité</w:t>
      </w:r>
      <w:r>
        <w:rPr>
          <w:rFonts w:ascii="Calibri" w:eastAsia="Calibri" w:hAnsi="Calibri" w:cs="Calibri"/>
          <w:color w:val="1A1A1A"/>
        </w:rPr>
        <w:t xml:space="preserve"> indique avoir accordé une attention particulière « </w:t>
      </w:r>
      <w:r>
        <w:rPr>
          <w:rFonts w:ascii="Calibri" w:eastAsia="Calibri" w:hAnsi="Calibri" w:cs="Calibri"/>
          <w:i/>
          <w:iCs/>
          <w:color w:val="1A1A1A"/>
        </w:rPr>
        <w:t>à la situation des femmes et des enfants dans les prisons et aux conditions de détention dans les établissements des forces de l’ordre</w:t>
      </w:r>
      <w:r>
        <w:rPr>
          <w:rFonts w:ascii="Calibri" w:eastAsia="Calibri" w:hAnsi="Calibri" w:cs="Calibri"/>
          <w:color w:val="1A1A1A"/>
        </w:rPr>
        <w:t xml:space="preserve"> ».</w:t>
      </w:r>
    </w:p>
    <w:p w14:paraId="2E861C5E"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sidRPr="00A6394A">
        <w:rPr>
          <w:rFonts w:ascii="Calibri" w:eastAsia="Calibri" w:hAnsi="Calibri" w:cs="Calibri"/>
          <w:b/>
          <w:bCs/>
          <w:color w:val="1A1A1A"/>
          <w:highlight w:val="yellow"/>
        </w:rPr>
        <w:t>Actualité</w:t>
      </w:r>
      <w:r>
        <w:rPr>
          <w:rFonts w:ascii="Calibri" w:eastAsia="Calibri" w:hAnsi="Calibri" w:cs="Calibri"/>
          <w:b/>
          <w:bCs/>
          <w:color w:val="1A1A1A"/>
        </w:rPr>
        <w:t xml:space="preserve"> — recommandations en urgence du CGLPL</w:t>
      </w:r>
      <w:r>
        <w:rPr>
          <w:rFonts w:ascii="Calibri" w:eastAsia="Calibri" w:hAnsi="Calibri" w:cs="Calibri"/>
          <w:color w:val="1A1A1A"/>
        </w:rPr>
        <w:t xml:space="preserve"> : en juin 2026, la Contrôleure générale a adressé des </w:t>
      </w:r>
      <w:r>
        <w:rPr>
          <w:rFonts w:ascii="Calibri" w:eastAsia="Calibri" w:hAnsi="Calibri" w:cs="Calibri"/>
          <w:b/>
          <w:bCs/>
          <w:color w:val="1A1A1A"/>
        </w:rPr>
        <w:t>recommandations en urgence</w:t>
      </w:r>
      <w:r>
        <w:rPr>
          <w:rFonts w:ascii="Calibri" w:eastAsia="Calibri" w:hAnsi="Calibri" w:cs="Calibri"/>
          <w:color w:val="1A1A1A"/>
        </w:rPr>
        <w:t xml:space="preserve"> au ministre de la Justice concernant le centre pénitentiaire d’</w:t>
      </w:r>
      <w:r>
        <w:rPr>
          <w:rFonts w:ascii="Calibri" w:eastAsia="Calibri" w:hAnsi="Calibri" w:cs="Calibri"/>
          <w:b/>
          <w:bCs/>
          <w:color w:val="1A1A1A"/>
        </w:rPr>
        <w:t>Alençon-Condé-sur-Sarthe</w:t>
      </w:r>
      <w:r>
        <w:rPr>
          <w:rFonts w:ascii="Calibri" w:eastAsia="Calibri" w:hAnsi="Calibri" w:cs="Calibri"/>
          <w:color w:val="1A1A1A"/>
        </w:rPr>
        <w:t xml:space="preserve">. À la suite d’une visite du quartier de lutte contre la criminalité organisée, elle a constaté des </w:t>
      </w:r>
      <w:r>
        <w:rPr>
          <w:rFonts w:ascii="Calibri" w:eastAsia="Calibri" w:hAnsi="Calibri" w:cs="Calibri"/>
          <w:b/>
          <w:bCs/>
          <w:color w:val="1A1A1A"/>
        </w:rPr>
        <w:t>violences</w:t>
      </w:r>
      <w:r>
        <w:rPr>
          <w:rFonts w:ascii="Calibri" w:eastAsia="Calibri" w:hAnsi="Calibri" w:cs="Calibri"/>
          <w:color w:val="1A1A1A"/>
        </w:rPr>
        <w:t xml:space="preserve"> commises sur des détenus par certains personnels, des </w:t>
      </w:r>
      <w:r>
        <w:rPr>
          <w:rFonts w:ascii="Calibri" w:eastAsia="Calibri" w:hAnsi="Calibri" w:cs="Calibri"/>
          <w:b/>
          <w:bCs/>
          <w:color w:val="1A1A1A"/>
        </w:rPr>
        <w:t>fouilles humiliantes ou brutales</w:t>
      </w:r>
      <w:r>
        <w:rPr>
          <w:rFonts w:ascii="Calibri" w:eastAsia="Calibri" w:hAnsi="Calibri" w:cs="Calibri"/>
          <w:color w:val="1A1A1A"/>
        </w:rPr>
        <w:t xml:space="preserve"> et des usages disproportionnés de la force, rappelant que l’administration pénitentiaire est tenue de garantir la sécurité et l’intégrité physique des personnes placées sous sa garde. Ces recommandations ont été publiées au Journal officiel le </w:t>
      </w:r>
      <w:r>
        <w:rPr>
          <w:rFonts w:ascii="Calibri" w:eastAsia="Calibri" w:hAnsi="Calibri" w:cs="Calibri"/>
          <w:b/>
          <w:bCs/>
          <w:color w:val="1A1A1A"/>
        </w:rPr>
        <w:t>9 juillet 2026</w:t>
      </w:r>
      <w:r>
        <w:rPr>
          <w:rFonts w:ascii="Calibri" w:eastAsia="Calibri" w:hAnsi="Calibri" w:cs="Calibri"/>
          <w:color w:val="1A1A1A"/>
        </w:rPr>
        <w:t xml:space="preserve"> (</w:t>
      </w:r>
      <w:r>
        <w:rPr>
          <w:rFonts w:ascii="Calibri" w:eastAsia="Calibri" w:hAnsi="Calibri" w:cs="Calibri"/>
          <w:color w:val="1E88E5"/>
        </w:rPr>
        <w:t>CGLPL, recommandations en urgence du 9 juin 2026</w:t>
      </w:r>
      <w:r>
        <w:rPr>
          <w:rFonts w:ascii="Calibri" w:eastAsia="Calibri" w:hAnsi="Calibri" w:cs="Calibri"/>
          <w:color w:val="1A1A1A"/>
        </w:rPr>
        <w:t>).</w:t>
      </w:r>
    </w:p>
    <w:p w14:paraId="69FAFBC4" w14:textId="77777777" w:rsidR="004A4E1F" w:rsidRDefault="00000000">
      <w:pPr>
        <w:pStyle w:val="Titre2"/>
        <w:spacing w:before="280" w:after="120"/>
      </w:pPr>
      <w:r>
        <w:rPr>
          <w:rFonts w:ascii="Calibri" w:eastAsia="Calibri" w:hAnsi="Calibri" w:cs="Calibri"/>
          <w:b/>
          <w:bCs/>
          <w:color w:val="1A1A1A"/>
          <w:sz w:val="24"/>
          <w:szCs w:val="24"/>
        </w:rPr>
        <w:t>3. Les contours de la torture et des traitements prohibés</w:t>
      </w:r>
    </w:p>
    <w:p w14:paraId="5C998231" w14:textId="77777777" w:rsidR="004A4E1F" w:rsidRDefault="00000000">
      <w:pPr>
        <w:pStyle w:val="Titre3"/>
        <w:spacing w:before="200" w:after="90"/>
      </w:pPr>
      <w:r>
        <w:rPr>
          <w:rFonts w:ascii="Calibri" w:eastAsia="Calibri" w:hAnsi="Calibri" w:cs="Calibri"/>
          <w:b/>
          <w:bCs/>
          <w:i/>
          <w:iCs/>
          <w:color w:val="5A5A5A"/>
          <w:sz w:val="21"/>
          <w:szCs w:val="21"/>
        </w:rPr>
        <w:t>3.1. La définition de la torture</w:t>
      </w:r>
    </w:p>
    <w:p w14:paraId="08247289" w14:textId="77777777" w:rsidR="004A4E1F" w:rsidRDefault="00000000">
      <w:pPr>
        <w:pStyle w:val="Paragraphedeliste"/>
        <w:numPr>
          <w:ilvl w:val="0"/>
          <w:numId w:val="2"/>
        </w:numPr>
        <w:spacing w:after="70" w:line="264" w:lineRule="auto"/>
        <w:jc w:val="both"/>
      </w:pPr>
      <w:r>
        <w:rPr>
          <w:rFonts w:ascii="Calibri" w:eastAsia="Calibri" w:hAnsi="Calibri" w:cs="Calibri"/>
          <w:color w:val="1E88E5"/>
        </w:rPr>
        <w:t>Art. 1er de la Convention contre la torture</w:t>
      </w:r>
      <w:r>
        <w:rPr>
          <w:rFonts w:ascii="Calibri" w:eastAsia="Calibri" w:hAnsi="Calibri" w:cs="Calibri"/>
          <w:color w:val="1A1A1A"/>
        </w:rPr>
        <w:t xml:space="preserve"> : « </w:t>
      </w:r>
      <w:r>
        <w:rPr>
          <w:rFonts w:ascii="Calibri" w:eastAsia="Calibri" w:hAnsi="Calibri" w:cs="Calibri"/>
          <w:i/>
          <w:iCs/>
          <w:color w:val="1A1A1A"/>
        </w:rPr>
        <w:t>[La torture] désigne tout acte par lequel une douleur ou des souffrances aiguës, physiques ou mentales, sont intentionnellement infligées à une personne aux fins notamment d’obtenir d’elle ou d’une tierce personne des renseignements ou des aveux, de la punir d’un acte qu’elle ou une tierce personne a commis ou est soupçonnée d’avoir commis, de l’intimider ou de faire pression sur elle ou d’intimider ou de faire pression sur une tierce personne, ou pour tout autre motif fondé sur une forme de discrimination quelle qu’elle soit, lorsqu’une telle douleur ou de telles souffrances sont infligées par un agent de la fonction publique ou toute autre personne agissant à titre officiel ou à son instigation ou avec son consentement exprès ou tacite. Ce terme ne s’étend pas à la douleur ou aux souffrances résultant uniquement de sanctions légitimes, inhérentes à ces sanctions ou occasionnées par elles.</w:t>
      </w:r>
      <w:r>
        <w:rPr>
          <w:rFonts w:ascii="Calibri" w:eastAsia="Calibri" w:hAnsi="Calibri" w:cs="Calibri"/>
          <w:color w:val="1A1A1A"/>
        </w:rPr>
        <w:t xml:space="preserve"> »</w:t>
      </w:r>
    </w:p>
    <w:p w14:paraId="794AB859"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Les critères de distinction</w:t>
      </w:r>
      <w:r>
        <w:rPr>
          <w:rFonts w:ascii="Calibri" w:eastAsia="Calibri" w:hAnsi="Calibri" w:cs="Calibri"/>
          <w:color w:val="1A1A1A"/>
        </w:rPr>
        <w:t xml:space="preserve"> : la Cour se réfère d’abord à « </w:t>
      </w:r>
      <w:r>
        <w:rPr>
          <w:rFonts w:ascii="Calibri" w:eastAsia="Calibri" w:hAnsi="Calibri" w:cs="Calibri"/>
          <w:i/>
          <w:iCs/>
          <w:color w:val="1A1A1A"/>
        </w:rPr>
        <w:t>une différence dans l’intensité des souffrances infligées</w:t>
      </w:r>
      <w:r>
        <w:rPr>
          <w:rFonts w:ascii="Calibri" w:eastAsia="Calibri" w:hAnsi="Calibri" w:cs="Calibri"/>
          <w:color w:val="1A1A1A"/>
        </w:rPr>
        <w:t xml:space="preserve"> » (</w:t>
      </w:r>
      <w:r>
        <w:rPr>
          <w:rFonts w:ascii="Calibri" w:eastAsia="Calibri" w:hAnsi="Calibri" w:cs="Calibri"/>
          <w:color w:val="E91E63"/>
        </w:rPr>
        <w:t>Irlande c. Royaume-</w:t>
      </w:r>
      <w:r w:rsidRPr="00A6394A">
        <w:rPr>
          <w:rFonts w:ascii="Calibri" w:eastAsia="Calibri" w:hAnsi="Calibri" w:cs="Calibri"/>
          <w:color w:val="E91D62"/>
        </w:rPr>
        <w:t>Uni, 1978</w:t>
      </w:r>
      <w:r>
        <w:rPr>
          <w:rFonts w:ascii="Calibri" w:eastAsia="Calibri" w:hAnsi="Calibri" w:cs="Calibri"/>
          <w:color w:val="1A1A1A"/>
        </w:rPr>
        <w:t xml:space="preserve">), puis, en 1997, à l’« </w:t>
      </w:r>
      <w:r>
        <w:rPr>
          <w:rFonts w:ascii="Calibri" w:eastAsia="Calibri" w:hAnsi="Calibri" w:cs="Calibri"/>
          <w:b/>
          <w:bCs/>
          <w:color w:val="1A1A1A"/>
        </w:rPr>
        <w:t>infamie spéciale</w:t>
      </w:r>
      <w:r>
        <w:rPr>
          <w:rFonts w:ascii="Calibri" w:eastAsia="Calibri" w:hAnsi="Calibri" w:cs="Calibri"/>
          <w:color w:val="1A1A1A"/>
        </w:rPr>
        <w:t xml:space="preserve"> » de la torture pour la distinguer des traitements </w:t>
      </w:r>
      <w:r>
        <w:rPr>
          <w:rFonts w:ascii="Calibri" w:eastAsia="Calibri" w:hAnsi="Calibri" w:cs="Calibri"/>
          <w:color w:val="1A1A1A"/>
        </w:rPr>
        <w:lastRenderedPageBreak/>
        <w:t>inhumains (</w:t>
      </w:r>
      <w:r>
        <w:rPr>
          <w:rFonts w:ascii="Calibri" w:eastAsia="Calibri" w:hAnsi="Calibri" w:cs="Calibri"/>
          <w:color w:val="E91E63"/>
        </w:rPr>
        <w:t>CEDH, 25 septembre 1997, Aydin c. Turquie, n° 23178/94</w:t>
      </w:r>
      <w:r>
        <w:rPr>
          <w:rFonts w:ascii="Calibri" w:eastAsia="Calibri" w:hAnsi="Calibri" w:cs="Calibri"/>
          <w:color w:val="1A1A1A"/>
        </w:rPr>
        <w:t xml:space="preserve">). Elle n’exclut pas de faire </w:t>
      </w:r>
      <w:r>
        <w:rPr>
          <w:rFonts w:ascii="Calibri" w:eastAsia="Calibri" w:hAnsi="Calibri" w:cs="Calibri"/>
          <w:b/>
          <w:bCs/>
          <w:color w:val="1A1A1A"/>
        </w:rPr>
        <w:t>évoluer</w:t>
      </w:r>
      <w:r>
        <w:rPr>
          <w:rFonts w:ascii="Calibri" w:eastAsia="Calibri" w:hAnsi="Calibri" w:cs="Calibri"/>
          <w:color w:val="1A1A1A"/>
        </w:rPr>
        <w:t xml:space="preserve"> la qualification d’un acte de traitement inhumain et dégradant en acte de torture, la Convention étant un instrument vivant. Illustration : ★ </w:t>
      </w:r>
      <w:r>
        <w:rPr>
          <w:rFonts w:ascii="Calibri" w:eastAsia="Calibri" w:hAnsi="Calibri" w:cs="Calibri"/>
          <w:color w:val="E91E63"/>
        </w:rPr>
        <w:t>CEDH, 28 juillet 1999, Selmouni c. France, n° 25803/94</w:t>
      </w:r>
      <w:r>
        <w:rPr>
          <w:rFonts w:ascii="Calibri" w:eastAsia="Calibri" w:hAnsi="Calibri" w:cs="Calibri"/>
          <w:color w:val="1A1A1A"/>
        </w:rPr>
        <w:t>, condamnation de la France pour des faits de torture à l’encontre d’une personne gardée à vue par des agents de police.</w:t>
      </w:r>
    </w:p>
    <w:p w14:paraId="428F3295"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En droit interne</w:t>
      </w:r>
      <w:r>
        <w:rPr>
          <w:rFonts w:ascii="Calibri" w:eastAsia="Calibri" w:hAnsi="Calibri" w:cs="Calibri"/>
          <w:color w:val="1A1A1A"/>
        </w:rPr>
        <w:t xml:space="preserve"> : le Code pénal comprend un paragraphe consacré aux tortures et actes de barbarie, inséré dans le chapitre relatif aux atteintes à l’intégrité physique ou psychique (</w:t>
      </w:r>
      <w:r>
        <w:rPr>
          <w:rFonts w:ascii="Calibri" w:eastAsia="Calibri" w:hAnsi="Calibri" w:cs="Calibri"/>
          <w:color w:val="1E88E5"/>
        </w:rPr>
        <w:t>art. 222-1 et s.</w:t>
      </w:r>
      <w:r>
        <w:rPr>
          <w:rFonts w:ascii="Calibri" w:eastAsia="Calibri" w:hAnsi="Calibri" w:cs="Calibri"/>
          <w:color w:val="1A1A1A"/>
        </w:rPr>
        <w:t>). L’</w:t>
      </w:r>
      <w:r>
        <w:rPr>
          <w:rFonts w:ascii="Calibri" w:eastAsia="Calibri" w:hAnsi="Calibri" w:cs="Calibri"/>
          <w:color w:val="1E88E5"/>
        </w:rPr>
        <w:t>art. 2226 du Code civil</w:t>
      </w:r>
      <w:r>
        <w:rPr>
          <w:rFonts w:ascii="Calibri" w:eastAsia="Calibri" w:hAnsi="Calibri" w:cs="Calibri"/>
          <w:color w:val="1A1A1A"/>
        </w:rPr>
        <w:t xml:space="preserve"> prévoit un délai de prescription de dix ans pour l’action en responsabilité née d’un dommage corporel, </w:t>
      </w:r>
      <w:r>
        <w:rPr>
          <w:rFonts w:ascii="Calibri" w:eastAsia="Calibri" w:hAnsi="Calibri" w:cs="Calibri"/>
          <w:b/>
          <w:bCs/>
          <w:color w:val="1A1A1A"/>
        </w:rPr>
        <w:t>porté à vingt ans</w:t>
      </w:r>
      <w:r>
        <w:rPr>
          <w:rFonts w:ascii="Calibri" w:eastAsia="Calibri" w:hAnsi="Calibri" w:cs="Calibri"/>
          <w:color w:val="1A1A1A"/>
        </w:rPr>
        <w:t xml:space="preserve"> en cas de préjudice causé par des tortures ou des actes de barbarie.</w:t>
      </w:r>
    </w:p>
    <w:p w14:paraId="0A944889" w14:textId="77777777" w:rsidR="004A4E1F" w:rsidRDefault="00000000">
      <w:pPr>
        <w:pStyle w:val="Titre3"/>
        <w:spacing w:before="200" w:after="90"/>
      </w:pPr>
      <w:r>
        <w:rPr>
          <w:rFonts w:ascii="Calibri" w:eastAsia="Calibri" w:hAnsi="Calibri" w:cs="Calibri"/>
          <w:b/>
          <w:bCs/>
          <w:i/>
          <w:iCs/>
          <w:color w:val="5A5A5A"/>
          <w:sz w:val="21"/>
          <w:szCs w:val="21"/>
        </w:rPr>
        <w:t>3.2. Les caractères « inhumain » et « dégradant »</w:t>
      </w:r>
    </w:p>
    <w:p w14:paraId="75AF7167"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Inhumain</w:t>
      </w:r>
      <w:r>
        <w:rPr>
          <w:rFonts w:ascii="Calibri" w:eastAsia="Calibri" w:hAnsi="Calibri" w:cs="Calibri"/>
          <w:color w:val="1A1A1A"/>
        </w:rPr>
        <w:t xml:space="preserve"> : le traitement doit « </w:t>
      </w:r>
      <w:r>
        <w:rPr>
          <w:rFonts w:ascii="Calibri" w:eastAsia="Calibri" w:hAnsi="Calibri" w:cs="Calibri"/>
          <w:i/>
          <w:iCs/>
          <w:color w:val="1A1A1A"/>
        </w:rPr>
        <w:t>atteindre un minimum de gravité pour tomber sous le coup de l’article 3. L’appréciation de ce minimum est relative par essence ; elle dépend de l’ensemble des données de la cause, et notamment de la durée du traitement, de ses effets physiques et mentaux ainsi que, parfois, du sexe, de l’âge et de l’état de santé de la victime</w:t>
      </w:r>
      <w:r>
        <w:rPr>
          <w:rFonts w:ascii="Calibri" w:eastAsia="Calibri" w:hAnsi="Calibri" w:cs="Calibri"/>
          <w:color w:val="1A1A1A"/>
        </w:rPr>
        <w:t xml:space="preserve"> » (</w:t>
      </w:r>
      <w:r>
        <w:rPr>
          <w:rFonts w:ascii="Calibri" w:eastAsia="Calibri" w:hAnsi="Calibri" w:cs="Calibri"/>
          <w:color w:val="E91E63"/>
        </w:rPr>
        <w:t>CEDH, 6 avril 2000, Labita c. Italie, n° 26772/95</w:t>
      </w:r>
      <w:r>
        <w:rPr>
          <w:rFonts w:ascii="Calibri" w:eastAsia="Calibri" w:hAnsi="Calibri" w:cs="Calibri"/>
          <w:color w:val="1A1A1A"/>
        </w:rPr>
        <w:t>).</w:t>
      </w:r>
    </w:p>
    <w:p w14:paraId="669E811D"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Dégradant</w:t>
      </w:r>
      <w:r>
        <w:rPr>
          <w:rFonts w:ascii="Calibri" w:eastAsia="Calibri" w:hAnsi="Calibri" w:cs="Calibri"/>
          <w:color w:val="1A1A1A"/>
        </w:rPr>
        <w:t xml:space="preserve"> : traitement « </w:t>
      </w:r>
      <w:r>
        <w:rPr>
          <w:rFonts w:ascii="Calibri" w:eastAsia="Calibri" w:hAnsi="Calibri" w:cs="Calibri"/>
          <w:i/>
          <w:iCs/>
          <w:color w:val="1A1A1A"/>
        </w:rPr>
        <w:t>de nature à créer des sentiments de peur, d’angoisse et d’infériorité propres à humilier, avilir et briser éventuellement la résistance physique ou morale de la personne qui en est victime, ou à la conduire à agir contre sa volonté ou sa conscience</w:t>
      </w:r>
      <w:r>
        <w:rPr>
          <w:rFonts w:ascii="Calibri" w:eastAsia="Calibri" w:hAnsi="Calibri" w:cs="Calibri"/>
          <w:color w:val="1A1A1A"/>
        </w:rPr>
        <w:t xml:space="preserve"> » (</w:t>
      </w:r>
      <w:proofErr w:type="spellStart"/>
      <w:r>
        <w:rPr>
          <w:rFonts w:ascii="Calibri" w:eastAsia="Calibri" w:hAnsi="Calibri" w:cs="Calibri"/>
          <w:color w:val="E91E63"/>
        </w:rPr>
        <w:t>Gäfgen</w:t>
      </w:r>
      <w:proofErr w:type="spellEnd"/>
      <w:r>
        <w:rPr>
          <w:rFonts w:ascii="Calibri" w:eastAsia="Calibri" w:hAnsi="Calibri" w:cs="Calibri"/>
          <w:color w:val="E91E63"/>
        </w:rPr>
        <w:t xml:space="preserve"> c. Allemagne</w:t>
      </w:r>
      <w:r>
        <w:rPr>
          <w:rFonts w:ascii="Calibri" w:eastAsia="Calibri" w:hAnsi="Calibri" w:cs="Calibri"/>
          <w:color w:val="1A1A1A"/>
        </w:rPr>
        <w:t xml:space="preserve">). Exemple : le placement d’une personne dans une </w:t>
      </w:r>
      <w:r>
        <w:rPr>
          <w:rFonts w:ascii="Calibri" w:eastAsia="Calibri" w:hAnsi="Calibri" w:cs="Calibri"/>
          <w:b/>
          <w:bCs/>
          <w:color w:val="1A1A1A"/>
        </w:rPr>
        <w:t>cage en métal</w:t>
      </w:r>
      <w:r>
        <w:rPr>
          <w:rFonts w:ascii="Calibri" w:eastAsia="Calibri" w:hAnsi="Calibri" w:cs="Calibri"/>
          <w:color w:val="1A1A1A"/>
        </w:rPr>
        <w:t xml:space="preserve"> lors de son procès (</w:t>
      </w:r>
      <w:r>
        <w:rPr>
          <w:rFonts w:ascii="Calibri" w:eastAsia="Calibri" w:hAnsi="Calibri" w:cs="Calibri"/>
          <w:color w:val="E91E63"/>
        </w:rPr>
        <w:t>CEDH, 17 juillet 2014, Svinarenko et Slyadnev c. Russie, n° 32541/08</w:t>
      </w:r>
      <w:r>
        <w:rPr>
          <w:rFonts w:ascii="Calibri" w:eastAsia="Calibri" w:hAnsi="Calibri" w:cs="Calibri"/>
          <w:color w:val="1A1A1A"/>
        </w:rPr>
        <w:t xml:space="preserve">). Une </w:t>
      </w:r>
      <w:r>
        <w:rPr>
          <w:rFonts w:ascii="Calibri" w:eastAsia="Calibri" w:hAnsi="Calibri" w:cs="Calibri"/>
          <w:b/>
          <w:bCs/>
          <w:color w:val="1A1A1A"/>
        </w:rPr>
        <w:t>peine</w:t>
      </w:r>
      <w:r>
        <w:rPr>
          <w:rFonts w:ascii="Calibri" w:eastAsia="Calibri" w:hAnsi="Calibri" w:cs="Calibri"/>
          <w:color w:val="1A1A1A"/>
        </w:rPr>
        <w:t xml:space="preserve"> est dégradante à l’aune de l’humiliation découlant de la condamnation ainsi que des modalités de son exécution (</w:t>
      </w:r>
      <w:r>
        <w:rPr>
          <w:rFonts w:ascii="Calibri" w:eastAsia="Calibri" w:hAnsi="Calibri" w:cs="Calibri"/>
          <w:color w:val="E91E63"/>
        </w:rPr>
        <w:t>CEDH, 25 avril 1978, Tyrer c. Royaume-Uni, n° 5856/72</w:t>
      </w:r>
      <w:r>
        <w:rPr>
          <w:rFonts w:ascii="Calibri" w:eastAsia="Calibri" w:hAnsi="Calibri" w:cs="Calibri"/>
          <w:color w:val="1A1A1A"/>
        </w:rPr>
        <w:t xml:space="preserve">). </w:t>
      </w:r>
      <w:r>
        <w:rPr>
          <w:rFonts w:ascii="Calibri" w:eastAsia="Calibri" w:hAnsi="Calibri" w:cs="Calibri"/>
          <w:b/>
          <w:bCs/>
          <w:color w:val="1A1A1A"/>
        </w:rPr>
        <w:t>L’incarcération à vie</w:t>
      </w:r>
      <w:r>
        <w:rPr>
          <w:rFonts w:ascii="Calibri" w:eastAsia="Calibri" w:hAnsi="Calibri" w:cs="Calibri"/>
          <w:color w:val="1A1A1A"/>
        </w:rPr>
        <w:t xml:space="preserve"> ne constitue pas en soi une violation, mais elle doit être </w:t>
      </w:r>
      <w:r>
        <w:rPr>
          <w:rFonts w:ascii="Calibri" w:eastAsia="Calibri" w:hAnsi="Calibri" w:cs="Calibri"/>
          <w:b/>
          <w:bCs/>
          <w:color w:val="1A1A1A"/>
        </w:rPr>
        <w:t>compressible</w:t>
      </w:r>
      <w:r>
        <w:rPr>
          <w:rFonts w:ascii="Calibri" w:eastAsia="Calibri" w:hAnsi="Calibri" w:cs="Calibri"/>
          <w:color w:val="1A1A1A"/>
        </w:rPr>
        <w:t>, la personne devant disposer d’une possibilité de réexamen.</w:t>
      </w:r>
    </w:p>
    <w:p w14:paraId="69CC29BF" w14:textId="77777777" w:rsidR="004A4E1F" w:rsidRDefault="00000000">
      <w:pPr>
        <w:pStyle w:val="Paragraphedeliste"/>
        <w:numPr>
          <w:ilvl w:val="0"/>
          <w:numId w:val="2"/>
        </w:numPr>
        <w:spacing w:after="70" w:line="264" w:lineRule="auto"/>
        <w:jc w:val="both"/>
      </w:pPr>
      <w:r w:rsidRPr="00925E08">
        <w:rPr>
          <w:rFonts w:ascii="Calibri" w:eastAsia="Calibri" w:hAnsi="Calibri" w:cs="Calibri"/>
          <w:b/>
          <w:bCs/>
          <w:color w:val="1A1A1A"/>
          <w:highlight w:val="yellow"/>
        </w:rPr>
        <w:t>Statistiques 2024 à citer</w:t>
      </w:r>
      <w:r>
        <w:rPr>
          <w:rFonts w:ascii="Calibri" w:eastAsia="Calibri" w:hAnsi="Calibri" w:cs="Calibri"/>
          <w:color w:val="1A1A1A"/>
        </w:rPr>
        <w:t xml:space="preserve"> : sur </w:t>
      </w:r>
      <w:r>
        <w:rPr>
          <w:rFonts w:ascii="Calibri" w:eastAsia="Calibri" w:hAnsi="Calibri" w:cs="Calibri"/>
          <w:b/>
          <w:bCs/>
          <w:color w:val="1A1A1A"/>
        </w:rPr>
        <w:t>1 102 violations</w:t>
      </w:r>
      <w:r>
        <w:rPr>
          <w:rFonts w:ascii="Calibri" w:eastAsia="Calibri" w:hAnsi="Calibri" w:cs="Calibri"/>
          <w:color w:val="1A1A1A"/>
        </w:rPr>
        <w:t xml:space="preserve"> prononcées au total, </w:t>
      </w:r>
      <w:r>
        <w:rPr>
          <w:rFonts w:ascii="Calibri" w:eastAsia="Calibri" w:hAnsi="Calibri" w:cs="Calibri"/>
          <w:b/>
          <w:bCs/>
          <w:color w:val="1A1A1A"/>
        </w:rPr>
        <w:t>344</w:t>
      </w:r>
      <w:r>
        <w:rPr>
          <w:rFonts w:ascii="Calibri" w:eastAsia="Calibri" w:hAnsi="Calibri" w:cs="Calibri"/>
          <w:color w:val="1A1A1A"/>
        </w:rPr>
        <w:t xml:space="preserve"> concernent les traitements inhumains et dégradants — dont </w:t>
      </w:r>
      <w:r>
        <w:rPr>
          <w:rFonts w:ascii="Calibri" w:eastAsia="Calibri" w:hAnsi="Calibri" w:cs="Calibri"/>
          <w:b/>
          <w:bCs/>
          <w:color w:val="1A1A1A"/>
        </w:rPr>
        <w:t>30 la Roumanie, 52 l’Ukraine et 195 la Fédération de Russie</w:t>
      </w:r>
      <w:r>
        <w:rPr>
          <w:rFonts w:ascii="Calibri" w:eastAsia="Calibri" w:hAnsi="Calibri" w:cs="Calibri"/>
          <w:color w:val="1A1A1A"/>
        </w:rPr>
        <w:t xml:space="preserve"> ; les </w:t>
      </w:r>
      <w:r>
        <w:rPr>
          <w:rFonts w:ascii="Calibri" w:eastAsia="Calibri" w:hAnsi="Calibri" w:cs="Calibri"/>
          <w:b/>
          <w:bCs/>
          <w:color w:val="1A1A1A"/>
        </w:rPr>
        <w:t>deux seules</w:t>
      </w:r>
      <w:r>
        <w:rPr>
          <w:rFonts w:ascii="Calibri" w:eastAsia="Calibri" w:hAnsi="Calibri" w:cs="Calibri"/>
          <w:color w:val="1A1A1A"/>
        </w:rPr>
        <w:t xml:space="preserve"> condamnations pour violation de l’interdiction de la torture concernent la Fédération de Russie.</w:t>
      </w:r>
    </w:p>
    <w:p w14:paraId="586A7A06" w14:textId="77777777" w:rsidR="004A4E1F" w:rsidRDefault="00000000">
      <w:pPr>
        <w:pStyle w:val="Titre3"/>
        <w:spacing w:before="200" w:after="90"/>
      </w:pPr>
      <w:r>
        <w:rPr>
          <w:rFonts w:ascii="Calibri" w:eastAsia="Calibri" w:hAnsi="Calibri" w:cs="Calibri"/>
          <w:b/>
          <w:bCs/>
          <w:i/>
          <w:iCs/>
          <w:color w:val="5A5A5A"/>
          <w:sz w:val="21"/>
          <w:szCs w:val="21"/>
        </w:rPr>
        <w:t>3.3. La France et l’article 3</w:t>
      </w:r>
    </w:p>
    <w:p w14:paraId="07D818C4"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En matière pénitentiaire</w:t>
      </w:r>
      <w:r>
        <w:rPr>
          <w:rFonts w:ascii="Calibri" w:eastAsia="Calibri" w:hAnsi="Calibri" w:cs="Calibri"/>
          <w:color w:val="1A1A1A"/>
        </w:rPr>
        <w:t xml:space="preserve"> : absence de soins médicaux appropriés à une personne incarcérée anorexique (</w:t>
      </w:r>
      <w:r>
        <w:rPr>
          <w:rFonts w:ascii="Calibri" w:eastAsia="Calibri" w:hAnsi="Calibri" w:cs="Calibri"/>
          <w:color w:val="E91E63"/>
        </w:rPr>
        <w:t>CEDH, Raffray Taddei c. France, n° 36435/07</w:t>
      </w:r>
      <w:r>
        <w:rPr>
          <w:rFonts w:ascii="Calibri" w:eastAsia="Calibri" w:hAnsi="Calibri" w:cs="Calibri"/>
          <w:color w:val="1A1A1A"/>
        </w:rPr>
        <w:t>) ; placement en quartier disciplinaire 23h/24 dans une cellule incendiée à l’odeur « nauséabonde » (</w:t>
      </w:r>
      <w:r>
        <w:rPr>
          <w:rFonts w:ascii="Calibri" w:eastAsia="Calibri" w:hAnsi="Calibri" w:cs="Calibri"/>
          <w:color w:val="E91E63"/>
        </w:rPr>
        <w:t>CEDH, 10 novembre 2011, Plathey c. France, n° 48337/09</w:t>
      </w:r>
      <w:r>
        <w:rPr>
          <w:rFonts w:ascii="Calibri" w:eastAsia="Calibri" w:hAnsi="Calibri" w:cs="Calibri"/>
          <w:color w:val="1A1A1A"/>
        </w:rPr>
        <w:t>) ; fouilles intégrales systématiques (</w:t>
      </w:r>
      <w:r>
        <w:rPr>
          <w:rFonts w:ascii="Calibri" w:eastAsia="Calibri" w:hAnsi="Calibri" w:cs="Calibri"/>
          <w:color w:val="E91E63"/>
        </w:rPr>
        <w:t>CEDH, 12 juin 2007, Frérot c. France, n° 70204/01</w:t>
      </w:r>
      <w:r>
        <w:rPr>
          <w:rFonts w:ascii="Calibri" w:eastAsia="Calibri" w:hAnsi="Calibri" w:cs="Calibri"/>
          <w:color w:val="1A1A1A"/>
        </w:rPr>
        <w:t>) ; conditions de détention (</w:t>
      </w:r>
      <w:r>
        <w:rPr>
          <w:rFonts w:ascii="Calibri" w:eastAsia="Calibri" w:hAnsi="Calibri" w:cs="Calibri"/>
          <w:color w:val="E91E63"/>
        </w:rPr>
        <w:t>CEDH, 25 avril 2013, Canali c. France, n° 40119/09</w:t>
      </w:r>
      <w:r>
        <w:rPr>
          <w:rFonts w:ascii="Calibri" w:eastAsia="Calibri" w:hAnsi="Calibri" w:cs="Calibri"/>
          <w:color w:val="1A1A1A"/>
        </w:rPr>
        <w:t xml:space="preserve"> ; </w:t>
      </w:r>
      <w:r>
        <w:rPr>
          <w:rFonts w:ascii="Calibri" w:eastAsia="Calibri" w:hAnsi="Calibri" w:cs="Calibri"/>
          <w:color w:val="E91E63"/>
        </w:rPr>
        <w:t>CEDH, 30 janvier 2020, J.M.B. c. France, n° 9671/15</w:t>
      </w:r>
      <w:r>
        <w:rPr>
          <w:rFonts w:ascii="Calibri" w:eastAsia="Calibri" w:hAnsi="Calibri" w:cs="Calibri"/>
          <w:color w:val="1A1A1A"/>
        </w:rPr>
        <w:t>).</w:t>
      </w:r>
    </w:p>
    <w:p w14:paraId="083ACFDA"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Dans d’autres domaines</w:t>
      </w:r>
      <w:r>
        <w:rPr>
          <w:rFonts w:ascii="Calibri" w:eastAsia="Calibri" w:hAnsi="Calibri" w:cs="Calibri"/>
          <w:color w:val="1A1A1A"/>
        </w:rPr>
        <w:t xml:space="preserve"> : renvoi vers le Maroc d’un requérant risquant des traitements contraires à l’</w:t>
      </w:r>
      <w:r>
        <w:rPr>
          <w:rFonts w:ascii="Calibri" w:eastAsia="Calibri" w:hAnsi="Calibri" w:cs="Calibri"/>
          <w:color w:val="1E88E5"/>
        </w:rPr>
        <w:t>art. 3</w:t>
      </w:r>
      <w:r>
        <w:rPr>
          <w:rFonts w:ascii="Calibri" w:eastAsia="Calibri" w:hAnsi="Calibri" w:cs="Calibri"/>
          <w:color w:val="1A1A1A"/>
        </w:rPr>
        <w:t xml:space="preserve"> du fait de son soutien à la cause sahraouie (</w:t>
      </w:r>
      <w:r>
        <w:rPr>
          <w:rFonts w:ascii="Calibri" w:eastAsia="Calibri" w:hAnsi="Calibri" w:cs="Calibri"/>
          <w:color w:val="E91E63"/>
        </w:rPr>
        <w:t>CEDH, 30 mai 2013, Rafaa c. France, n° 25393/10</w:t>
      </w:r>
      <w:r>
        <w:rPr>
          <w:rFonts w:ascii="Calibri" w:eastAsia="Calibri" w:hAnsi="Calibri" w:cs="Calibri"/>
          <w:color w:val="1A1A1A"/>
        </w:rPr>
        <w:t>) ; violences policières sur une personne vulnérable du fait de sa santé psychiatrique (</w:t>
      </w:r>
      <w:r>
        <w:rPr>
          <w:rFonts w:ascii="Calibri" w:eastAsia="Calibri" w:hAnsi="Calibri" w:cs="Calibri"/>
          <w:color w:val="E91E63"/>
        </w:rPr>
        <w:t>CEDH, 16 novembre 2017, Boukrourou et a. c. France, n° 30059/15</w:t>
      </w:r>
      <w:r>
        <w:rPr>
          <w:rFonts w:ascii="Calibri" w:eastAsia="Calibri" w:hAnsi="Calibri" w:cs="Calibri"/>
          <w:color w:val="1A1A1A"/>
        </w:rPr>
        <w:t>) ; carence de prise en charge d’un enfant vivant dans le « bidonville » de Calais (</w:t>
      </w:r>
      <w:r>
        <w:rPr>
          <w:rFonts w:ascii="Calibri" w:eastAsia="Calibri" w:hAnsi="Calibri" w:cs="Calibri"/>
          <w:color w:val="E91E63"/>
        </w:rPr>
        <w:t>CEDH, 28 février 2019, Khan c. France, n° 12267/16</w:t>
      </w:r>
      <w:r>
        <w:rPr>
          <w:rFonts w:ascii="Calibri" w:eastAsia="Calibri" w:hAnsi="Calibri" w:cs="Calibri"/>
          <w:color w:val="1A1A1A"/>
        </w:rPr>
        <w:t>) ; méconnaissance des obligations positives pour défaut de protection d’un enfant victime de maltraitances ayant conduit à son décès (</w:t>
      </w:r>
      <w:r>
        <w:rPr>
          <w:rFonts w:ascii="Calibri" w:eastAsia="Calibri" w:hAnsi="Calibri" w:cs="Calibri"/>
          <w:color w:val="E91E63"/>
        </w:rPr>
        <w:t>CEDH, 4 juin 2020, Association Innocence en Danger et Association Enfance et Partage c. France</w:t>
      </w:r>
      <w:r>
        <w:rPr>
          <w:rFonts w:ascii="Calibri" w:eastAsia="Calibri" w:hAnsi="Calibri" w:cs="Calibri"/>
          <w:color w:val="1A1A1A"/>
        </w:rPr>
        <w:t>).</w:t>
      </w:r>
    </w:p>
    <w:p w14:paraId="53449DF5"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En droit français</w:t>
      </w:r>
      <w:r>
        <w:rPr>
          <w:rFonts w:ascii="Calibri" w:eastAsia="Calibri" w:hAnsi="Calibri" w:cs="Calibri"/>
          <w:color w:val="1A1A1A"/>
        </w:rPr>
        <w:t xml:space="preserve"> : le droit de ne pas être soumis à des traitements inhumains et dégradants constitue une </w:t>
      </w:r>
      <w:r>
        <w:rPr>
          <w:rFonts w:ascii="Calibri" w:eastAsia="Calibri" w:hAnsi="Calibri" w:cs="Calibri"/>
          <w:b/>
          <w:bCs/>
          <w:color w:val="1A1A1A"/>
        </w:rPr>
        <w:t>liberté fondamentale</w:t>
      </w:r>
      <w:r>
        <w:rPr>
          <w:rFonts w:ascii="Calibri" w:eastAsia="Calibri" w:hAnsi="Calibri" w:cs="Calibri"/>
          <w:color w:val="1A1A1A"/>
        </w:rPr>
        <w:t xml:space="preserve"> au sens de l’</w:t>
      </w:r>
      <w:r>
        <w:rPr>
          <w:rFonts w:ascii="Calibri" w:eastAsia="Calibri" w:hAnsi="Calibri" w:cs="Calibri"/>
          <w:color w:val="1E88E5"/>
        </w:rPr>
        <w:t>art. L. 521-2 CJA</w:t>
      </w:r>
      <w:r>
        <w:rPr>
          <w:rFonts w:ascii="Calibri" w:eastAsia="Calibri" w:hAnsi="Calibri" w:cs="Calibri"/>
          <w:color w:val="1A1A1A"/>
        </w:rPr>
        <w:t xml:space="preserve"> (</w:t>
      </w:r>
      <w:r>
        <w:rPr>
          <w:rFonts w:ascii="Calibri" w:eastAsia="Calibri" w:hAnsi="Calibri" w:cs="Calibri"/>
          <w:color w:val="E91E63"/>
        </w:rPr>
        <w:t>CE, ord., 22 décembre 2012, SF-OIP, n° 364584</w:t>
      </w:r>
      <w:r>
        <w:rPr>
          <w:rFonts w:ascii="Calibri" w:eastAsia="Calibri" w:hAnsi="Calibri" w:cs="Calibri"/>
          <w:color w:val="1A1A1A"/>
        </w:rPr>
        <w:t>). Le Conseil d’État a affirmé que les autorités publiques doivent veiller à la garantie de ce droit et retenu que les conditions de vie des personnes migrantes à Calais y portaient atteinte, en relevant la carence des autorités (</w:t>
      </w:r>
      <w:r>
        <w:rPr>
          <w:rFonts w:ascii="Calibri" w:eastAsia="Calibri" w:hAnsi="Calibri" w:cs="Calibri"/>
          <w:color w:val="E91E63"/>
        </w:rPr>
        <w:t>CE, ord., 23 novembre 2015, n° 394540</w:t>
      </w:r>
      <w:r>
        <w:rPr>
          <w:rFonts w:ascii="Calibri" w:eastAsia="Calibri" w:hAnsi="Calibri" w:cs="Calibri"/>
          <w:color w:val="1A1A1A"/>
        </w:rPr>
        <w:t xml:space="preserve"> ; </w:t>
      </w:r>
      <w:r>
        <w:rPr>
          <w:rFonts w:ascii="Calibri" w:eastAsia="Calibri" w:hAnsi="Calibri" w:cs="Calibri"/>
          <w:color w:val="E91E63"/>
        </w:rPr>
        <w:t>CE, 31 juillet 2017, n° 412125</w:t>
      </w:r>
      <w:r>
        <w:rPr>
          <w:rFonts w:ascii="Calibri" w:eastAsia="Calibri" w:hAnsi="Calibri" w:cs="Calibri"/>
          <w:color w:val="1A1A1A"/>
        </w:rPr>
        <w:t>) ; invocation fréquente dans le contentieux de l’éloignement des étrangers (</w:t>
      </w:r>
      <w:r>
        <w:rPr>
          <w:rFonts w:ascii="Calibri" w:eastAsia="Calibri" w:hAnsi="Calibri" w:cs="Calibri"/>
          <w:color w:val="E91E63"/>
        </w:rPr>
        <w:t>CE, ord., 23 décembre 2024, n° 499403</w:t>
      </w:r>
      <w:r>
        <w:rPr>
          <w:rFonts w:ascii="Calibri" w:eastAsia="Calibri" w:hAnsi="Calibri" w:cs="Calibri"/>
          <w:color w:val="1A1A1A"/>
        </w:rPr>
        <w:t>).</w:t>
      </w:r>
    </w:p>
    <w:p w14:paraId="0A6CAFF3" w14:textId="77777777" w:rsidR="004A4E1F" w:rsidRPr="007665BB" w:rsidRDefault="00000000">
      <w:pPr>
        <w:pStyle w:val="Paragraphedeliste"/>
        <w:numPr>
          <w:ilvl w:val="0"/>
          <w:numId w:val="2"/>
        </w:numPr>
        <w:spacing w:after="70" w:line="264" w:lineRule="auto"/>
        <w:jc w:val="both"/>
      </w:pPr>
      <w:r>
        <w:rPr>
          <w:rFonts w:ascii="Calibri" w:eastAsia="Calibri" w:hAnsi="Calibri" w:cs="Calibri"/>
          <w:b/>
          <w:bCs/>
          <w:color w:val="1A1A1A"/>
        </w:rPr>
        <w:t>Mineurs non accompagnés</w:t>
      </w:r>
      <w:r>
        <w:rPr>
          <w:rFonts w:ascii="Calibri" w:eastAsia="Calibri" w:hAnsi="Calibri" w:cs="Calibri"/>
          <w:color w:val="1A1A1A"/>
        </w:rPr>
        <w:t xml:space="preserve"> : les autorités publiques ont « </w:t>
      </w:r>
      <w:r>
        <w:rPr>
          <w:rFonts w:ascii="Calibri" w:eastAsia="Calibri" w:hAnsi="Calibri" w:cs="Calibri"/>
          <w:i/>
          <w:iCs/>
          <w:color w:val="1A1A1A"/>
        </w:rPr>
        <w:t>une obligation de protection et de prise en charge des mineurs non accompagnés</w:t>
      </w:r>
      <w:r>
        <w:rPr>
          <w:rFonts w:ascii="Calibri" w:eastAsia="Calibri" w:hAnsi="Calibri" w:cs="Calibri"/>
          <w:color w:val="1A1A1A"/>
        </w:rPr>
        <w:t xml:space="preserve"> » ; l’</w:t>
      </w:r>
      <w:r>
        <w:rPr>
          <w:rFonts w:ascii="Calibri" w:eastAsia="Calibri" w:hAnsi="Calibri" w:cs="Calibri"/>
          <w:color w:val="1E88E5"/>
        </w:rPr>
        <w:t>art. 388 du Code civil</w:t>
      </w:r>
      <w:r>
        <w:rPr>
          <w:rFonts w:ascii="Calibri" w:eastAsia="Calibri" w:hAnsi="Calibri" w:cs="Calibri"/>
          <w:color w:val="1A1A1A"/>
        </w:rPr>
        <w:t xml:space="preserve"> permet le recours à des examens radiologiques osseux pour évaluer l’âge, mais </w:t>
      </w:r>
      <w:r>
        <w:rPr>
          <w:rFonts w:ascii="Calibri" w:eastAsia="Calibri" w:hAnsi="Calibri" w:cs="Calibri"/>
          <w:b/>
          <w:bCs/>
          <w:color w:val="1A1A1A"/>
        </w:rPr>
        <w:t>ces examens manquent de fiabilité</w:t>
      </w:r>
      <w:r>
        <w:rPr>
          <w:rFonts w:ascii="Calibri" w:eastAsia="Calibri" w:hAnsi="Calibri" w:cs="Calibri"/>
          <w:color w:val="1A1A1A"/>
        </w:rPr>
        <w:t xml:space="preserve"> ; un juge ne peut motiver sa décision sur cette seule base — à défaut, violation de l’</w:t>
      </w:r>
      <w:r>
        <w:rPr>
          <w:rFonts w:ascii="Calibri" w:eastAsia="Calibri" w:hAnsi="Calibri" w:cs="Calibri"/>
          <w:color w:val="1E88E5"/>
        </w:rPr>
        <w:t>art. 3</w:t>
      </w:r>
      <w:r>
        <w:rPr>
          <w:rFonts w:ascii="Calibri" w:eastAsia="Calibri" w:hAnsi="Calibri" w:cs="Calibri"/>
          <w:color w:val="1A1A1A"/>
        </w:rPr>
        <w:t xml:space="preserve"> (</w:t>
      </w:r>
      <w:r>
        <w:rPr>
          <w:rFonts w:ascii="Calibri" w:eastAsia="Calibri" w:hAnsi="Calibri" w:cs="Calibri"/>
          <w:color w:val="E91E63"/>
        </w:rPr>
        <w:t>Cass. civ. 1re, 21 novembre 2019, n° 19-15.890</w:t>
      </w:r>
      <w:r>
        <w:rPr>
          <w:rFonts w:ascii="Calibri" w:eastAsia="Calibri" w:hAnsi="Calibri" w:cs="Calibri"/>
          <w:color w:val="1A1A1A"/>
        </w:rPr>
        <w:t xml:space="preserve">). Voir également </w:t>
      </w:r>
      <w:r>
        <w:rPr>
          <w:rFonts w:ascii="Calibri" w:eastAsia="Calibri" w:hAnsi="Calibri" w:cs="Calibri"/>
          <w:color w:val="E91E63"/>
        </w:rPr>
        <w:t>CEDH, 23 juillet 2024, O.R. c. Grèce</w:t>
      </w:r>
      <w:r>
        <w:rPr>
          <w:rFonts w:ascii="Calibri" w:eastAsia="Calibri" w:hAnsi="Calibri" w:cs="Calibri"/>
          <w:color w:val="1A1A1A"/>
        </w:rPr>
        <w:t xml:space="preserve"> : condamnation pour n’avoir pas assuré pendant six mois « </w:t>
      </w:r>
      <w:r>
        <w:rPr>
          <w:rFonts w:ascii="Calibri" w:eastAsia="Calibri" w:hAnsi="Calibri" w:cs="Calibri"/>
          <w:i/>
          <w:iCs/>
          <w:color w:val="1A1A1A"/>
        </w:rPr>
        <w:t>des conditions de vie propres et adaptées</w:t>
      </w:r>
      <w:r>
        <w:rPr>
          <w:rFonts w:ascii="Calibri" w:eastAsia="Calibri" w:hAnsi="Calibri" w:cs="Calibri"/>
          <w:color w:val="1A1A1A"/>
        </w:rPr>
        <w:t xml:space="preserve"> » à un mineur non accompagné en situation irrégulière se disant victime d’un passé familial violent, « </w:t>
      </w:r>
      <w:r>
        <w:rPr>
          <w:rFonts w:ascii="Calibri" w:eastAsia="Calibri" w:hAnsi="Calibri" w:cs="Calibri"/>
          <w:i/>
          <w:iCs/>
          <w:color w:val="1A1A1A"/>
        </w:rPr>
        <w:t>un individu relevant de la catégorie des personnes les plus vulnérables de la société</w:t>
      </w:r>
      <w:r>
        <w:rPr>
          <w:rFonts w:ascii="Calibri" w:eastAsia="Calibri" w:hAnsi="Calibri" w:cs="Calibri"/>
          <w:color w:val="1A1A1A"/>
        </w:rPr>
        <w:t xml:space="preserve"> ».</w:t>
      </w:r>
    </w:p>
    <w:p w14:paraId="773F7756" w14:textId="77777777" w:rsidR="007665BB" w:rsidRDefault="007665BB" w:rsidP="007665BB">
      <w:pPr>
        <w:pStyle w:val="Paragraphedeliste"/>
        <w:spacing w:after="70" w:line="264" w:lineRule="auto"/>
        <w:ind w:left="340"/>
        <w:jc w:val="both"/>
      </w:pPr>
    </w:p>
    <w:p w14:paraId="06A6BEFE" w14:textId="77777777" w:rsidR="004A4E1F" w:rsidRDefault="00000000">
      <w:pPr>
        <w:pStyle w:val="Titre2"/>
        <w:spacing w:before="280" w:after="120"/>
      </w:pPr>
      <w:r>
        <w:rPr>
          <w:rFonts w:ascii="Calibri" w:eastAsia="Calibri" w:hAnsi="Calibri" w:cs="Calibri"/>
          <w:b/>
          <w:bCs/>
          <w:color w:val="1A1A1A"/>
          <w:sz w:val="24"/>
          <w:szCs w:val="24"/>
        </w:rPr>
        <w:lastRenderedPageBreak/>
        <w:t>4. L’autonomie normative de l’interdiction de l’esclavage et du travail forcé</w:t>
      </w:r>
    </w:p>
    <w:p w14:paraId="45F9D537" w14:textId="77777777" w:rsidR="004A4E1F" w:rsidRPr="00155A55" w:rsidRDefault="00000000">
      <w:pPr>
        <w:pStyle w:val="Paragraphedeliste"/>
        <w:numPr>
          <w:ilvl w:val="0"/>
          <w:numId w:val="2"/>
        </w:numPr>
        <w:spacing w:after="70" w:line="264" w:lineRule="auto"/>
        <w:jc w:val="both"/>
        <w:rPr>
          <w:color w:val="1E88C7"/>
        </w:rPr>
      </w:pPr>
      <w:r>
        <w:rPr>
          <w:rFonts w:ascii="Calibri" w:eastAsia="Calibri" w:hAnsi="Calibri" w:cs="Calibri"/>
          <w:color w:val="1A1A1A"/>
        </w:rPr>
        <w:t xml:space="preserve">Si l’esclavage et le travail forcé peuvent </w:t>
      </w:r>
      <w:r>
        <w:rPr>
          <w:rFonts w:ascii="Calibri" w:eastAsia="Calibri" w:hAnsi="Calibri" w:cs="Calibri"/>
          <w:i/>
          <w:iCs/>
          <w:color w:val="1A1A1A"/>
        </w:rPr>
        <w:t>a priori</w:t>
      </w:r>
      <w:r>
        <w:rPr>
          <w:rFonts w:ascii="Calibri" w:eastAsia="Calibri" w:hAnsi="Calibri" w:cs="Calibri"/>
          <w:color w:val="1A1A1A"/>
        </w:rPr>
        <w:t xml:space="preserve"> faire penser qu’ils rentrent dans le champ de l’</w:t>
      </w:r>
      <w:r>
        <w:rPr>
          <w:rFonts w:ascii="Calibri" w:eastAsia="Calibri" w:hAnsi="Calibri" w:cs="Calibri"/>
          <w:color w:val="1E88E5"/>
        </w:rPr>
        <w:t>art. 3</w:t>
      </w:r>
      <w:r>
        <w:rPr>
          <w:rFonts w:ascii="Calibri" w:eastAsia="Calibri" w:hAnsi="Calibri" w:cs="Calibri"/>
          <w:color w:val="1A1A1A"/>
        </w:rPr>
        <w:t xml:space="preserve">, leur interdiction relève de dispositions </w:t>
      </w:r>
      <w:r>
        <w:rPr>
          <w:rFonts w:ascii="Calibri" w:eastAsia="Calibri" w:hAnsi="Calibri" w:cs="Calibri"/>
          <w:b/>
          <w:bCs/>
          <w:color w:val="1A1A1A"/>
        </w:rPr>
        <w:t>normatives distinctes</w:t>
      </w:r>
      <w:r>
        <w:rPr>
          <w:rFonts w:ascii="Calibri" w:eastAsia="Calibri" w:hAnsi="Calibri" w:cs="Calibri"/>
          <w:color w:val="1A1A1A"/>
        </w:rPr>
        <w:t xml:space="preserve"> : </w:t>
      </w:r>
      <w:r>
        <w:rPr>
          <w:rFonts w:ascii="Calibri" w:eastAsia="Calibri" w:hAnsi="Calibri" w:cs="Calibri"/>
          <w:color w:val="1E88E5"/>
        </w:rPr>
        <w:t>art. 4 de la Convention européenne</w:t>
      </w:r>
      <w:r>
        <w:rPr>
          <w:rFonts w:ascii="Calibri" w:eastAsia="Calibri" w:hAnsi="Calibri" w:cs="Calibri"/>
          <w:color w:val="1A1A1A"/>
        </w:rPr>
        <w:t xml:space="preserve"> ; </w:t>
      </w:r>
      <w:r>
        <w:rPr>
          <w:rFonts w:ascii="Calibri" w:eastAsia="Calibri" w:hAnsi="Calibri" w:cs="Calibri"/>
          <w:color w:val="1E88E5"/>
        </w:rPr>
        <w:t>art. 8 du PIDCP</w:t>
      </w:r>
      <w:r>
        <w:rPr>
          <w:rFonts w:ascii="Calibri" w:eastAsia="Calibri" w:hAnsi="Calibri" w:cs="Calibri"/>
          <w:color w:val="1A1A1A"/>
        </w:rPr>
        <w:t xml:space="preserve"> ; </w:t>
      </w:r>
      <w:r>
        <w:rPr>
          <w:rFonts w:ascii="Calibri" w:eastAsia="Calibri" w:hAnsi="Calibri" w:cs="Calibri"/>
          <w:color w:val="1E88E5"/>
        </w:rPr>
        <w:t>art. 4 de la DUDH</w:t>
      </w:r>
      <w:r>
        <w:rPr>
          <w:rFonts w:ascii="Calibri" w:eastAsia="Calibri" w:hAnsi="Calibri" w:cs="Calibri"/>
          <w:color w:val="1A1A1A"/>
        </w:rPr>
        <w:t xml:space="preserve">. S’y ajoutent des conventions spécifiques : </w:t>
      </w:r>
      <w:r>
        <w:rPr>
          <w:rFonts w:ascii="Calibri" w:eastAsia="Calibri" w:hAnsi="Calibri" w:cs="Calibri"/>
          <w:color w:val="1E88E5"/>
        </w:rPr>
        <w:t>Convention relative à l’esclavage de 1926</w:t>
      </w:r>
      <w:r>
        <w:rPr>
          <w:rFonts w:ascii="Calibri" w:eastAsia="Calibri" w:hAnsi="Calibri" w:cs="Calibri"/>
          <w:color w:val="1A1A1A"/>
        </w:rPr>
        <w:t xml:space="preserve">, amendée par un protocole de 1953 ; </w:t>
      </w:r>
      <w:r>
        <w:rPr>
          <w:rFonts w:ascii="Calibri" w:eastAsia="Calibri" w:hAnsi="Calibri" w:cs="Calibri"/>
          <w:color w:val="1E88E5"/>
        </w:rPr>
        <w:t>Convention supplémentaire relative à l’abolition de l’esclavage et des institutions et pratiques analogues de 1956</w:t>
      </w:r>
      <w:r>
        <w:rPr>
          <w:rFonts w:ascii="Calibri" w:eastAsia="Calibri" w:hAnsi="Calibri" w:cs="Calibri"/>
          <w:color w:val="1A1A1A"/>
        </w:rPr>
        <w:t xml:space="preserve"> ; </w:t>
      </w:r>
      <w:r>
        <w:rPr>
          <w:rFonts w:ascii="Calibri" w:eastAsia="Calibri" w:hAnsi="Calibri" w:cs="Calibri"/>
          <w:color w:val="1E88E5"/>
        </w:rPr>
        <w:t xml:space="preserve">Convention sur le travail forcé de </w:t>
      </w:r>
      <w:r w:rsidRPr="00155A55">
        <w:rPr>
          <w:rFonts w:ascii="Calibri" w:eastAsia="Calibri" w:hAnsi="Calibri" w:cs="Calibri"/>
          <w:color w:val="1E88C7"/>
        </w:rPr>
        <w:t>1930 de l’Organisation internationale du travail.</w:t>
      </w:r>
    </w:p>
    <w:p w14:paraId="1C7568A3" w14:textId="77777777" w:rsidR="004A4E1F" w:rsidRDefault="00000000">
      <w:pPr>
        <w:pStyle w:val="Titre2"/>
        <w:spacing w:before="280" w:after="120"/>
      </w:pPr>
      <w:r>
        <w:rPr>
          <w:rFonts w:ascii="Calibri" w:eastAsia="Calibri" w:hAnsi="Calibri" w:cs="Calibri"/>
          <w:b/>
          <w:bCs/>
          <w:color w:val="1A1A1A"/>
          <w:sz w:val="24"/>
          <w:szCs w:val="24"/>
        </w:rPr>
        <w:t>5. Les obligations négatives et positives de l’État</w:t>
      </w:r>
    </w:p>
    <w:p w14:paraId="5F3BFDE5"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Les obligations découlant de l’</w:t>
      </w:r>
      <w:r>
        <w:rPr>
          <w:rFonts w:ascii="Calibri" w:eastAsia="Calibri" w:hAnsi="Calibri" w:cs="Calibri"/>
          <w:color w:val="1E88E5"/>
        </w:rPr>
        <w:t>art. 3</w:t>
      </w:r>
      <w:r>
        <w:rPr>
          <w:rFonts w:ascii="Calibri" w:eastAsia="Calibri" w:hAnsi="Calibri" w:cs="Calibri"/>
          <w:color w:val="1A1A1A"/>
        </w:rPr>
        <w:t xml:space="preserve"> sont </w:t>
      </w:r>
      <w:r>
        <w:rPr>
          <w:rFonts w:ascii="Calibri" w:eastAsia="Calibri" w:hAnsi="Calibri" w:cs="Calibri"/>
          <w:b/>
          <w:bCs/>
          <w:color w:val="1A1A1A"/>
        </w:rPr>
        <w:t>essentiellement négatives</w:t>
      </w:r>
      <w:r>
        <w:rPr>
          <w:rFonts w:ascii="Calibri" w:eastAsia="Calibri" w:hAnsi="Calibri" w:cs="Calibri"/>
          <w:color w:val="1A1A1A"/>
        </w:rPr>
        <w:t>, pour reprendre les termes de la Cour (</w:t>
      </w:r>
      <w:r>
        <w:rPr>
          <w:rFonts w:ascii="Calibri" w:eastAsia="Calibri" w:hAnsi="Calibri" w:cs="Calibri"/>
          <w:color w:val="E91E63"/>
        </w:rPr>
        <w:t>CEDH, 13 novembre 2012, Hristozov et a. c. Bulgarie, n° 47039/11</w:t>
      </w:r>
      <w:r>
        <w:rPr>
          <w:rFonts w:ascii="Calibri" w:eastAsia="Calibri" w:hAnsi="Calibri" w:cs="Calibri"/>
          <w:color w:val="1A1A1A"/>
        </w:rPr>
        <w:t xml:space="preserve">). Un arrêt de 2021 présente une </w:t>
      </w:r>
      <w:r>
        <w:rPr>
          <w:rFonts w:ascii="Calibri" w:eastAsia="Calibri" w:hAnsi="Calibri" w:cs="Calibri"/>
          <w:b/>
          <w:bCs/>
          <w:color w:val="1A1A1A"/>
        </w:rPr>
        <w:t>classification tripartite</w:t>
      </w:r>
      <w:r>
        <w:rPr>
          <w:rFonts w:ascii="Calibri" w:eastAsia="Calibri" w:hAnsi="Calibri" w:cs="Calibri"/>
          <w:color w:val="1A1A1A"/>
        </w:rPr>
        <w:t xml:space="preserve"> des obligations positives, comprenant un volet matériel et un volet procédural : établir un </w:t>
      </w:r>
      <w:r>
        <w:rPr>
          <w:rFonts w:ascii="Calibri" w:eastAsia="Calibri" w:hAnsi="Calibri" w:cs="Calibri"/>
          <w:b/>
          <w:bCs/>
          <w:color w:val="1A1A1A"/>
        </w:rPr>
        <w:t>cadre normatif</w:t>
      </w:r>
      <w:r>
        <w:rPr>
          <w:rFonts w:ascii="Calibri" w:eastAsia="Calibri" w:hAnsi="Calibri" w:cs="Calibri"/>
          <w:color w:val="1A1A1A"/>
        </w:rPr>
        <w:t xml:space="preserve">, prendre des </w:t>
      </w:r>
      <w:r>
        <w:rPr>
          <w:rFonts w:ascii="Calibri" w:eastAsia="Calibri" w:hAnsi="Calibri" w:cs="Calibri"/>
          <w:b/>
          <w:bCs/>
          <w:color w:val="1A1A1A"/>
        </w:rPr>
        <w:t>mesures opérationnelles</w:t>
      </w:r>
      <w:r>
        <w:rPr>
          <w:rFonts w:ascii="Calibri" w:eastAsia="Calibri" w:hAnsi="Calibri" w:cs="Calibri"/>
          <w:color w:val="1A1A1A"/>
        </w:rPr>
        <w:t xml:space="preserve">, mener une </w:t>
      </w:r>
      <w:r>
        <w:rPr>
          <w:rFonts w:ascii="Calibri" w:eastAsia="Calibri" w:hAnsi="Calibri" w:cs="Calibri"/>
          <w:b/>
          <w:bCs/>
          <w:color w:val="1A1A1A"/>
        </w:rPr>
        <w:t>enquête effective</w:t>
      </w:r>
      <w:r>
        <w:rPr>
          <w:rFonts w:ascii="Calibri" w:eastAsia="Calibri" w:hAnsi="Calibri" w:cs="Calibri"/>
          <w:color w:val="1A1A1A"/>
        </w:rPr>
        <w:t xml:space="preserve"> en cas d’allégations (</w:t>
      </w:r>
      <w:r>
        <w:rPr>
          <w:rFonts w:ascii="Calibri" w:eastAsia="Calibri" w:hAnsi="Calibri" w:cs="Calibri"/>
          <w:color w:val="E91E63"/>
        </w:rPr>
        <w:t>CEDH, 2 février 2021, X et a. c. Bulgarie, n° 22457/16</w:t>
      </w:r>
      <w:r>
        <w:rPr>
          <w:rFonts w:ascii="Calibri" w:eastAsia="Calibri" w:hAnsi="Calibri" w:cs="Calibri"/>
          <w:color w:val="1A1A1A"/>
        </w:rPr>
        <w:t>).</w:t>
      </w:r>
    </w:p>
    <w:p w14:paraId="1B881B60"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Violences faites aux femmes</w:t>
      </w:r>
      <w:r>
        <w:rPr>
          <w:rFonts w:ascii="Calibri" w:eastAsia="Calibri" w:hAnsi="Calibri" w:cs="Calibri"/>
          <w:color w:val="1A1A1A"/>
        </w:rPr>
        <w:t xml:space="preserve"> : en 2024, plusieurs arrêts prononcent la violation de l’</w:t>
      </w:r>
      <w:r>
        <w:rPr>
          <w:rFonts w:ascii="Calibri" w:eastAsia="Calibri" w:hAnsi="Calibri" w:cs="Calibri"/>
          <w:color w:val="1E88E5"/>
        </w:rPr>
        <w:t>art. 3</w:t>
      </w:r>
      <w:r>
        <w:rPr>
          <w:rFonts w:ascii="Calibri" w:eastAsia="Calibri" w:hAnsi="Calibri" w:cs="Calibri"/>
          <w:color w:val="1A1A1A"/>
        </w:rPr>
        <w:t xml:space="preserve"> pour manquements aux obligations positives. Le Danemark est condamné pour manquement à ses obligations </w:t>
      </w:r>
      <w:r>
        <w:rPr>
          <w:rFonts w:ascii="Calibri" w:eastAsia="Calibri" w:hAnsi="Calibri" w:cs="Calibri"/>
          <w:b/>
          <w:bCs/>
          <w:color w:val="1A1A1A"/>
        </w:rPr>
        <w:t>procédurales</w:t>
      </w:r>
      <w:r>
        <w:rPr>
          <w:rFonts w:ascii="Calibri" w:eastAsia="Calibri" w:hAnsi="Calibri" w:cs="Calibri"/>
          <w:color w:val="1A1A1A"/>
        </w:rPr>
        <w:t>, la Cour relevant des défaillances significatives dans la réponse apportée aux allégations de viols (</w:t>
      </w:r>
      <w:r>
        <w:rPr>
          <w:rFonts w:ascii="Calibri" w:eastAsia="Calibri" w:hAnsi="Calibri" w:cs="Calibri"/>
          <w:color w:val="E91E63"/>
        </w:rPr>
        <w:t xml:space="preserve">CEDH, 15 octobre 2024, </w:t>
      </w:r>
      <w:proofErr w:type="spellStart"/>
      <w:r>
        <w:rPr>
          <w:rFonts w:ascii="Calibri" w:eastAsia="Calibri" w:hAnsi="Calibri" w:cs="Calibri"/>
          <w:color w:val="E91E63"/>
        </w:rPr>
        <w:t>Daugard</w:t>
      </w:r>
      <w:proofErr w:type="spellEnd"/>
      <w:r>
        <w:rPr>
          <w:rFonts w:ascii="Calibri" w:eastAsia="Calibri" w:hAnsi="Calibri" w:cs="Calibri"/>
          <w:color w:val="E91E63"/>
        </w:rPr>
        <w:t xml:space="preserve"> Sorensen c. Danemark, n° 11829/16</w:t>
      </w:r>
      <w:r>
        <w:rPr>
          <w:rFonts w:ascii="Calibri" w:eastAsia="Calibri" w:hAnsi="Calibri" w:cs="Calibri"/>
          <w:color w:val="1A1A1A"/>
        </w:rPr>
        <w:t>). L’Arménie est condamnée pour manquement à ses obligations positives dans une affaire de violences domestiques : après avoir retenu que le seuil de gravité était atteint, la Cour relève l’insuffisance du cadre juridique et législatif — absence de considération des violences domestiques dans la loi, absence de mesure de protection accordée à la requérante, indigence du traitement malgré les signalements (</w:t>
      </w:r>
      <w:r>
        <w:rPr>
          <w:rFonts w:ascii="Calibri" w:eastAsia="Calibri" w:hAnsi="Calibri" w:cs="Calibri"/>
          <w:color w:val="E91E63"/>
        </w:rPr>
        <w:t>CEDH, Hasmik Khachatryan c. Arménie</w:t>
      </w:r>
      <w:r>
        <w:rPr>
          <w:rFonts w:ascii="Calibri" w:eastAsia="Calibri" w:hAnsi="Calibri" w:cs="Calibri"/>
          <w:color w:val="1A1A1A"/>
        </w:rPr>
        <w:t xml:space="preserve">). </w:t>
      </w:r>
      <w:r>
        <w:rPr>
          <w:rFonts w:ascii="Calibri" w:eastAsia="Calibri" w:hAnsi="Calibri" w:cs="Calibri"/>
          <w:b/>
          <w:bCs/>
          <w:color w:val="1A1A1A"/>
        </w:rPr>
        <w:t>Vigilance</w:t>
      </w:r>
      <w:r>
        <w:rPr>
          <w:rFonts w:ascii="Calibri" w:eastAsia="Calibri" w:hAnsi="Calibri" w:cs="Calibri"/>
          <w:color w:val="1A1A1A"/>
        </w:rPr>
        <w:t xml:space="preserve"> : le fascicule affecte le même numéro de requête (11829/16) à ces deux affaires ; citer l’apport plutôt que le numéro.</w:t>
      </w:r>
    </w:p>
    <w:p w14:paraId="4F8EFBE7" w14:textId="77777777" w:rsidR="004A4E1F" w:rsidRDefault="00000000">
      <w:pPr>
        <w:pStyle w:val="Titre2"/>
        <w:spacing w:before="280" w:after="120"/>
      </w:pPr>
      <w:r>
        <w:rPr>
          <w:rFonts w:ascii="Calibri" w:eastAsia="Calibri" w:hAnsi="Calibri" w:cs="Calibri"/>
          <w:b/>
          <w:bCs/>
          <w:color w:val="1A1A1A"/>
          <w:sz w:val="24"/>
          <w:szCs w:val="24"/>
        </w:rPr>
        <w:t>6. Le contentieux des conditions indignes de détention</w:t>
      </w:r>
    </w:p>
    <w:p w14:paraId="3B62B871"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La condamnation de la France</w:t>
      </w:r>
      <w:r>
        <w:rPr>
          <w:rFonts w:ascii="Calibri" w:eastAsia="Calibri" w:hAnsi="Calibri" w:cs="Calibri"/>
          <w:color w:val="1A1A1A"/>
        </w:rPr>
        <w:t xml:space="preserve"> : ★ </w:t>
      </w:r>
      <w:r>
        <w:rPr>
          <w:rFonts w:ascii="Calibri" w:eastAsia="Calibri" w:hAnsi="Calibri" w:cs="Calibri"/>
          <w:color w:val="E91E63"/>
        </w:rPr>
        <w:t>CEDH, 30 janvier 2020, J.M.B. et a. c. France, n° 9671/15</w:t>
      </w:r>
      <w:r>
        <w:rPr>
          <w:rFonts w:ascii="Calibri" w:eastAsia="Calibri" w:hAnsi="Calibri" w:cs="Calibri"/>
          <w:color w:val="1A1A1A"/>
        </w:rPr>
        <w:t xml:space="preserve">. Des personnes incarcérées dans plusieurs établissements français invoquaient moins de 3 m² d’espace personnel, des WC partiellement cloisonnés, une intimité insuffisante, une insuffisance d’activités, de mauvaises conditions sanitaires et hygiéniques. La Cour juge que « </w:t>
      </w:r>
      <w:r>
        <w:rPr>
          <w:rFonts w:ascii="Calibri" w:eastAsia="Calibri" w:hAnsi="Calibri" w:cs="Calibri"/>
          <w:i/>
          <w:iCs/>
          <w:color w:val="1A1A1A"/>
        </w:rPr>
        <w:t>la surpopulation des prisons et leur vétusté, a fortiori sur des territoires où n’existent que peu de prisons et où les transferts s’avèrent illusoires, font obstacle à ce que l’utilisation du référé-liberté offre aux personnes détenues la possibilité en pratique de faire cesser pleinement et immédiatement les atteintes graves portées à l’article 3 ou d’y apporter une amélioration substantielle</w:t>
      </w:r>
      <w:r>
        <w:rPr>
          <w:rFonts w:ascii="Calibri" w:eastAsia="Calibri" w:hAnsi="Calibri" w:cs="Calibri"/>
          <w:color w:val="1A1A1A"/>
        </w:rPr>
        <w:t xml:space="preserve"> » ; le référé-liberté, « </w:t>
      </w:r>
      <w:r>
        <w:rPr>
          <w:rFonts w:ascii="Calibri" w:eastAsia="Calibri" w:hAnsi="Calibri" w:cs="Calibri"/>
          <w:i/>
          <w:iCs/>
          <w:color w:val="1A1A1A"/>
        </w:rPr>
        <w:t>malgré un cadre juridique théorique solide</w:t>
      </w:r>
      <w:r>
        <w:rPr>
          <w:rFonts w:ascii="Calibri" w:eastAsia="Calibri" w:hAnsi="Calibri" w:cs="Calibri"/>
          <w:color w:val="1A1A1A"/>
        </w:rPr>
        <w:t xml:space="preserve"> », ne peut être considéré comme le </w:t>
      </w:r>
      <w:r>
        <w:rPr>
          <w:rFonts w:ascii="Calibri" w:eastAsia="Calibri" w:hAnsi="Calibri" w:cs="Calibri"/>
          <w:b/>
          <w:bCs/>
          <w:color w:val="1A1A1A"/>
        </w:rPr>
        <w:t>recours préventif</w:t>
      </w:r>
      <w:r>
        <w:rPr>
          <w:rFonts w:ascii="Calibri" w:eastAsia="Calibri" w:hAnsi="Calibri" w:cs="Calibri"/>
          <w:color w:val="1A1A1A"/>
        </w:rPr>
        <w:t xml:space="preserve"> qu’exige la Cour. </w:t>
      </w:r>
      <w:r>
        <w:rPr>
          <w:rFonts w:ascii="Calibri" w:eastAsia="Calibri" w:hAnsi="Calibri" w:cs="Calibri"/>
          <w:b/>
          <w:bCs/>
          <w:color w:val="1A1A1A"/>
        </w:rPr>
        <w:t>Violation des articles 3 et 13.</w:t>
      </w:r>
      <w:r>
        <w:rPr>
          <w:rFonts w:ascii="Calibri" w:eastAsia="Calibri" w:hAnsi="Calibri" w:cs="Calibri"/>
          <w:color w:val="1A1A1A"/>
        </w:rPr>
        <w:t xml:space="preserve"> Prolongement : </w:t>
      </w:r>
      <w:r>
        <w:rPr>
          <w:rFonts w:ascii="Calibri" w:eastAsia="Calibri" w:hAnsi="Calibri" w:cs="Calibri"/>
          <w:color w:val="E91E63"/>
        </w:rPr>
        <w:t>CEDH, Barbotin c. France</w:t>
      </w:r>
      <w:r>
        <w:rPr>
          <w:rFonts w:ascii="Calibri" w:eastAsia="Calibri" w:hAnsi="Calibri" w:cs="Calibri"/>
          <w:color w:val="1A1A1A"/>
        </w:rPr>
        <w:t xml:space="preserve"> </w:t>
      </w:r>
      <w:r w:rsidRPr="00155A55">
        <w:rPr>
          <w:rFonts w:ascii="Calibri" w:eastAsia="Calibri" w:hAnsi="Calibri" w:cs="Calibri"/>
          <w:color w:val="E91D62"/>
        </w:rPr>
        <w:t>(2020)</w:t>
      </w:r>
      <w:r>
        <w:rPr>
          <w:rFonts w:ascii="Calibri" w:eastAsia="Calibri" w:hAnsi="Calibri" w:cs="Calibri"/>
          <w:color w:val="1A1A1A"/>
        </w:rPr>
        <w:t xml:space="preserve">, condamnation du fait de l’insuffisance du </w:t>
      </w:r>
      <w:r>
        <w:rPr>
          <w:rFonts w:ascii="Calibri" w:eastAsia="Calibri" w:hAnsi="Calibri" w:cs="Calibri"/>
          <w:b/>
          <w:bCs/>
          <w:color w:val="1A1A1A"/>
        </w:rPr>
        <w:t>recours compensatoire</w:t>
      </w:r>
      <w:r>
        <w:rPr>
          <w:rFonts w:ascii="Calibri" w:eastAsia="Calibri" w:hAnsi="Calibri" w:cs="Calibri"/>
          <w:color w:val="1A1A1A"/>
        </w:rPr>
        <w:t>.</w:t>
      </w:r>
    </w:p>
    <w:p w14:paraId="0D4B5F79" w14:textId="77777777" w:rsidR="00155A55" w:rsidRPr="00155A55" w:rsidRDefault="00000000">
      <w:pPr>
        <w:pStyle w:val="Paragraphedeliste"/>
        <w:numPr>
          <w:ilvl w:val="0"/>
          <w:numId w:val="2"/>
        </w:numPr>
        <w:spacing w:after="70" w:line="264" w:lineRule="auto"/>
        <w:jc w:val="both"/>
      </w:pPr>
      <w:r>
        <w:rPr>
          <w:rFonts w:ascii="Calibri" w:eastAsia="Calibri" w:hAnsi="Calibri" w:cs="Calibri"/>
          <w:b/>
          <w:bCs/>
          <w:color w:val="1A1A1A"/>
        </w:rPr>
        <w:t>L’évolution du droit positif</w:t>
      </w:r>
      <w:r>
        <w:rPr>
          <w:rFonts w:ascii="Calibri" w:eastAsia="Calibri" w:hAnsi="Calibri" w:cs="Calibri"/>
          <w:color w:val="1A1A1A"/>
        </w:rPr>
        <w:t xml:space="preserve"> : </w:t>
      </w:r>
      <w:r>
        <w:rPr>
          <w:rFonts w:ascii="Calibri" w:eastAsia="Calibri" w:hAnsi="Calibri" w:cs="Calibri"/>
          <w:color w:val="E91E63"/>
        </w:rPr>
        <w:t>Cass. crim., 8 juillet 2020</w:t>
      </w:r>
      <w:r>
        <w:rPr>
          <w:rFonts w:ascii="Calibri" w:eastAsia="Calibri" w:hAnsi="Calibri" w:cs="Calibri"/>
          <w:color w:val="1A1A1A"/>
        </w:rPr>
        <w:t xml:space="preserve"> — il « </w:t>
      </w:r>
      <w:r>
        <w:rPr>
          <w:rFonts w:ascii="Calibri" w:eastAsia="Calibri" w:hAnsi="Calibri" w:cs="Calibri"/>
          <w:i/>
          <w:iCs/>
          <w:color w:val="1A1A1A"/>
        </w:rPr>
        <w:t>appartient au juge national, chargé d’appliquer la Convention, de tenir compte de ladite décision sans attendre une éventuelle modification des textes législatifs ou réglementaires</w:t>
      </w:r>
      <w:r>
        <w:rPr>
          <w:rFonts w:ascii="Calibri" w:eastAsia="Calibri" w:hAnsi="Calibri" w:cs="Calibri"/>
          <w:color w:val="1A1A1A"/>
        </w:rPr>
        <w:t xml:space="preserve"> » ; le juge judiciaire doit veiller à ce que la détention provisoire soit « exempte de tout traitement inhumain et dégradant ». </w:t>
      </w:r>
      <w:r>
        <w:rPr>
          <w:rFonts w:ascii="Calibri" w:eastAsia="Calibri" w:hAnsi="Calibri" w:cs="Calibri"/>
          <w:color w:val="E91E63"/>
        </w:rPr>
        <w:t>Cons. const., 2020-858/859 QPC, 2 octobre 2020</w:t>
      </w:r>
      <w:r>
        <w:rPr>
          <w:rFonts w:ascii="Calibri" w:eastAsia="Calibri" w:hAnsi="Calibri" w:cs="Calibri"/>
          <w:color w:val="1A1A1A"/>
        </w:rPr>
        <w:t xml:space="preserve"> et </w:t>
      </w:r>
      <w:r>
        <w:rPr>
          <w:rFonts w:ascii="Calibri" w:eastAsia="Calibri" w:hAnsi="Calibri" w:cs="Calibri"/>
          <w:color w:val="E91E63"/>
        </w:rPr>
        <w:t>2021-898 QPC, 16 avril 2021</w:t>
      </w:r>
      <w:r>
        <w:rPr>
          <w:rFonts w:ascii="Calibri" w:eastAsia="Calibri" w:hAnsi="Calibri" w:cs="Calibri"/>
          <w:color w:val="1A1A1A"/>
        </w:rPr>
        <w:t xml:space="preserve"> : censure des dispositions du Code de procédure pénale qui ne permettaient pas aux personnes incarcérées, prévenues et condamnées, de contester effectivement les conditions indignes de détention (</w:t>
      </w:r>
      <w:r>
        <w:rPr>
          <w:rFonts w:ascii="Calibri" w:eastAsia="Calibri" w:hAnsi="Calibri" w:cs="Calibri"/>
          <w:color w:val="1E88E5"/>
        </w:rPr>
        <w:t>art. 16 DDHC</w:t>
      </w:r>
      <w:r>
        <w:rPr>
          <w:rFonts w:ascii="Calibri" w:eastAsia="Calibri" w:hAnsi="Calibri" w:cs="Calibri"/>
          <w:color w:val="1A1A1A"/>
        </w:rPr>
        <w:t xml:space="preserve">) ; il incombe au législateur de leur garantir la saisine du juge. </w:t>
      </w:r>
    </w:p>
    <w:p w14:paraId="554A93A0" w14:textId="20C05DF5" w:rsidR="004A4E1F" w:rsidRDefault="00000000" w:rsidP="00155A55">
      <w:pPr>
        <w:pStyle w:val="Paragraphedeliste"/>
        <w:numPr>
          <w:ilvl w:val="0"/>
          <w:numId w:val="4"/>
        </w:numPr>
        <w:spacing w:after="70" w:line="264" w:lineRule="auto"/>
        <w:jc w:val="both"/>
      </w:pPr>
      <w:r>
        <w:rPr>
          <w:rFonts w:ascii="Calibri" w:eastAsia="Calibri" w:hAnsi="Calibri" w:cs="Calibri"/>
          <w:color w:val="1E88E5"/>
        </w:rPr>
        <w:t>Loi du 8 avril 2021</w:t>
      </w:r>
      <w:r>
        <w:rPr>
          <w:rFonts w:ascii="Calibri" w:eastAsia="Calibri" w:hAnsi="Calibri" w:cs="Calibri"/>
          <w:color w:val="1A1A1A"/>
        </w:rPr>
        <w:t xml:space="preserve"> : création de l’</w:t>
      </w:r>
      <w:r>
        <w:rPr>
          <w:rFonts w:ascii="Calibri" w:eastAsia="Calibri" w:hAnsi="Calibri" w:cs="Calibri"/>
          <w:color w:val="1E88E5"/>
        </w:rPr>
        <w:t>art. 803-8 du Code de procédure pénale</w:t>
      </w:r>
      <w:r>
        <w:rPr>
          <w:rFonts w:ascii="Calibri" w:eastAsia="Calibri" w:hAnsi="Calibri" w:cs="Calibri"/>
          <w:color w:val="1A1A1A"/>
        </w:rPr>
        <w:t xml:space="preserve"> — saisine du </w:t>
      </w:r>
      <w:r>
        <w:rPr>
          <w:rFonts w:ascii="Calibri" w:eastAsia="Calibri" w:hAnsi="Calibri" w:cs="Calibri"/>
          <w:b/>
          <w:bCs/>
          <w:color w:val="1A1A1A"/>
        </w:rPr>
        <w:t>juge des libertés et de la détention</w:t>
      </w:r>
      <w:r>
        <w:rPr>
          <w:rFonts w:ascii="Calibri" w:eastAsia="Calibri" w:hAnsi="Calibri" w:cs="Calibri"/>
          <w:color w:val="1A1A1A"/>
        </w:rPr>
        <w:t xml:space="preserve"> pour la détention provisoire, du </w:t>
      </w:r>
      <w:r>
        <w:rPr>
          <w:rFonts w:ascii="Calibri" w:eastAsia="Calibri" w:hAnsi="Calibri" w:cs="Calibri"/>
          <w:b/>
          <w:bCs/>
          <w:color w:val="1A1A1A"/>
        </w:rPr>
        <w:t>juge de l’application des peines</w:t>
      </w:r>
      <w:r>
        <w:rPr>
          <w:rFonts w:ascii="Calibri" w:eastAsia="Calibri" w:hAnsi="Calibri" w:cs="Calibri"/>
          <w:color w:val="1A1A1A"/>
        </w:rPr>
        <w:t xml:space="preserve"> pour les condamnés.</w:t>
      </w:r>
    </w:p>
    <w:p w14:paraId="290E5364"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La critique de l’effectivité</w:t>
      </w:r>
      <w:r>
        <w:rPr>
          <w:rFonts w:ascii="Calibri" w:eastAsia="Calibri" w:hAnsi="Calibri" w:cs="Calibri"/>
          <w:color w:val="1A1A1A"/>
        </w:rPr>
        <w:t xml:space="preserve"> : dans sa déclaration relative à la proposition de loi, la </w:t>
      </w:r>
      <w:r>
        <w:rPr>
          <w:rFonts w:ascii="Calibri" w:eastAsia="Calibri" w:hAnsi="Calibri" w:cs="Calibri"/>
          <w:color w:val="2E7D32"/>
        </w:rPr>
        <w:t>CNCDH</w:t>
      </w:r>
      <w:r>
        <w:rPr>
          <w:rFonts w:ascii="Calibri" w:eastAsia="Calibri" w:hAnsi="Calibri" w:cs="Calibri"/>
          <w:color w:val="1A1A1A"/>
        </w:rPr>
        <w:t xml:space="preserve"> estime que le nouveau recours n’est pas compatible avec les exigences de la Cour — le </w:t>
      </w:r>
      <w:r>
        <w:rPr>
          <w:rFonts w:ascii="Calibri" w:eastAsia="Calibri" w:hAnsi="Calibri" w:cs="Calibri"/>
          <w:b/>
          <w:bCs/>
          <w:color w:val="1A1A1A"/>
        </w:rPr>
        <w:t>transfèrement</w:t>
      </w:r>
      <w:r>
        <w:rPr>
          <w:rFonts w:ascii="Calibri" w:eastAsia="Calibri" w:hAnsi="Calibri" w:cs="Calibri"/>
          <w:color w:val="1A1A1A"/>
        </w:rPr>
        <w:t xml:space="preserve"> d’une personne incarcérée pour mettre fin à des conditions indignes est incompatible avec le droit au respect de la vie privée et familiale et pourrait dissuader d’exercer un recours ; le </w:t>
      </w:r>
      <w:r>
        <w:rPr>
          <w:rFonts w:ascii="Calibri" w:eastAsia="Calibri" w:hAnsi="Calibri" w:cs="Calibri"/>
          <w:b/>
          <w:bCs/>
          <w:color w:val="1A1A1A"/>
        </w:rPr>
        <w:t>délai</w:t>
      </w:r>
      <w:r>
        <w:rPr>
          <w:rFonts w:ascii="Calibri" w:eastAsia="Calibri" w:hAnsi="Calibri" w:cs="Calibri"/>
          <w:color w:val="1A1A1A"/>
        </w:rPr>
        <w:t xml:space="preserve"> entre le dépôt de la requête et la décision est contraire à la dignité ; le transfèrement peut porter atteinte à un parcours de soin ou à un projet d’aménagement de peine.</w:t>
      </w:r>
    </w:p>
    <w:p w14:paraId="25A1FD3E"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La persistance de la surpopulation</w:t>
      </w:r>
      <w:r>
        <w:rPr>
          <w:rFonts w:ascii="Calibri" w:eastAsia="Calibri" w:hAnsi="Calibri" w:cs="Calibri"/>
          <w:color w:val="1A1A1A"/>
        </w:rPr>
        <w:t xml:space="preserve"> : le Comité des ministres du Conseil de l’Europe a exprimé, le </w:t>
      </w:r>
      <w:r>
        <w:rPr>
          <w:rFonts w:ascii="Calibri" w:eastAsia="Calibri" w:hAnsi="Calibri" w:cs="Calibri"/>
          <w:b/>
          <w:bCs/>
          <w:color w:val="1A1A1A"/>
        </w:rPr>
        <w:t>14 mars 2024</w:t>
      </w:r>
      <w:r>
        <w:rPr>
          <w:rFonts w:ascii="Calibri" w:eastAsia="Calibri" w:hAnsi="Calibri" w:cs="Calibri"/>
          <w:color w:val="1A1A1A"/>
        </w:rPr>
        <w:t xml:space="preserve">, une « profonde préoccupation » face à l’aggravation de la surpopulation carcérale française. Au </w:t>
      </w:r>
      <w:r>
        <w:rPr>
          <w:rFonts w:ascii="Calibri" w:eastAsia="Calibri" w:hAnsi="Calibri" w:cs="Calibri"/>
          <w:b/>
          <w:bCs/>
          <w:color w:val="1A1A1A"/>
        </w:rPr>
        <w:t>1er juin 2025</w:t>
      </w:r>
      <w:r>
        <w:rPr>
          <w:rFonts w:ascii="Calibri" w:eastAsia="Calibri" w:hAnsi="Calibri" w:cs="Calibri"/>
          <w:color w:val="1A1A1A"/>
        </w:rPr>
        <w:t xml:space="preserve">, environ </w:t>
      </w:r>
      <w:r>
        <w:rPr>
          <w:rFonts w:ascii="Calibri" w:eastAsia="Calibri" w:hAnsi="Calibri" w:cs="Calibri"/>
          <w:b/>
          <w:bCs/>
          <w:color w:val="1A1A1A"/>
        </w:rPr>
        <w:t>62 000 places opérationnelles pour plus de 84 000 personnes incarcérées</w:t>
      </w:r>
      <w:r>
        <w:rPr>
          <w:rFonts w:ascii="Calibri" w:eastAsia="Calibri" w:hAnsi="Calibri" w:cs="Calibri"/>
          <w:color w:val="1A1A1A"/>
        </w:rPr>
        <w:t xml:space="preserve">. Malgré la condamnation de 2020, la France a fait l’objet de nouvelles condamnations en matière pénitentiaire : </w:t>
      </w:r>
      <w:r>
        <w:rPr>
          <w:rFonts w:ascii="Calibri" w:eastAsia="Calibri" w:hAnsi="Calibri" w:cs="Calibri"/>
          <w:color w:val="E91E63"/>
        </w:rPr>
        <w:t>B.M. et a. c. France, 6 juillet 2023</w:t>
      </w:r>
      <w:r>
        <w:rPr>
          <w:rFonts w:ascii="Calibri" w:eastAsia="Calibri" w:hAnsi="Calibri" w:cs="Calibri"/>
          <w:color w:val="1A1A1A"/>
        </w:rPr>
        <w:t xml:space="preserve"> </w:t>
      </w:r>
      <w:r>
        <w:rPr>
          <w:rFonts w:ascii="Calibri" w:eastAsia="Calibri" w:hAnsi="Calibri" w:cs="Calibri"/>
          <w:color w:val="1A1A1A"/>
        </w:rPr>
        <w:lastRenderedPageBreak/>
        <w:t xml:space="preserve">(mauvaises conditions de détention) et </w:t>
      </w:r>
      <w:r>
        <w:rPr>
          <w:rFonts w:ascii="Calibri" w:eastAsia="Calibri" w:hAnsi="Calibri" w:cs="Calibri"/>
          <w:color w:val="E91E63"/>
        </w:rPr>
        <w:t>Leroy c. France, 18 avril 2024</w:t>
      </w:r>
      <w:r>
        <w:rPr>
          <w:rFonts w:ascii="Calibri" w:eastAsia="Calibri" w:hAnsi="Calibri" w:cs="Calibri"/>
          <w:color w:val="1A1A1A"/>
        </w:rPr>
        <w:t xml:space="preserve"> (conditions indignes consécutives à un mouvement social).</w:t>
      </w:r>
    </w:p>
    <w:p w14:paraId="527D0C2A"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Le fondement constitutionnel interne</w:t>
      </w:r>
      <w:r>
        <w:rPr>
          <w:rFonts w:ascii="Calibri" w:eastAsia="Calibri" w:hAnsi="Calibri" w:cs="Calibri"/>
          <w:color w:val="1A1A1A"/>
        </w:rPr>
        <w:t xml:space="preserve"> : </w:t>
      </w:r>
      <w:r>
        <w:rPr>
          <w:rFonts w:ascii="Calibri" w:eastAsia="Calibri" w:hAnsi="Calibri" w:cs="Calibri"/>
          <w:color w:val="E91E63"/>
        </w:rPr>
        <w:t>Cons. const., 2009-593 DC, 19 novembre 2009, Loi pénitentiaire</w:t>
      </w:r>
      <w:r>
        <w:rPr>
          <w:rFonts w:ascii="Calibri" w:eastAsia="Calibri" w:hAnsi="Calibri" w:cs="Calibri"/>
          <w:color w:val="1A1A1A"/>
        </w:rPr>
        <w:t xml:space="preserve"> — « </w:t>
      </w:r>
      <w:r>
        <w:rPr>
          <w:rFonts w:ascii="Calibri" w:eastAsia="Calibri" w:hAnsi="Calibri" w:cs="Calibri"/>
          <w:i/>
          <w:iCs/>
          <w:color w:val="1A1A1A"/>
        </w:rPr>
        <w:t>la sauvegarde de la dignité de la personne contre toute forme d’asservissement et de dégradation</w:t>
      </w:r>
      <w:r>
        <w:rPr>
          <w:rFonts w:ascii="Calibri" w:eastAsia="Calibri" w:hAnsi="Calibri" w:cs="Calibri"/>
          <w:color w:val="1A1A1A"/>
        </w:rPr>
        <w:t xml:space="preserve"> » figure au nombre des droits et constitue un principe à valeur constitutionnelle ; en vertu de l’</w:t>
      </w:r>
      <w:r>
        <w:rPr>
          <w:rFonts w:ascii="Calibri" w:eastAsia="Calibri" w:hAnsi="Calibri" w:cs="Calibri"/>
          <w:color w:val="1E88E5"/>
        </w:rPr>
        <w:t>art. 34 C.</w:t>
      </w:r>
      <w:r>
        <w:rPr>
          <w:rFonts w:ascii="Calibri" w:eastAsia="Calibri" w:hAnsi="Calibri" w:cs="Calibri"/>
          <w:color w:val="1A1A1A"/>
        </w:rPr>
        <w:t xml:space="preserve">, le législateur doit notamment déterminer « </w:t>
      </w:r>
      <w:r>
        <w:rPr>
          <w:rFonts w:ascii="Calibri" w:eastAsia="Calibri" w:hAnsi="Calibri" w:cs="Calibri"/>
          <w:i/>
          <w:iCs/>
          <w:color w:val="1A1A1A"/>
        </w:rPr>
        <w:t>les conditions et les modalités d’exécution des peines privatives de liberté dans le respect de la dignité de la personne</w:t>
      </w:r>
      <w:r>
        <w:rPr>
          <w:rFonts w:ascii="Calibri" w:eastAsia="Calibri" w:hAnsi="Calibri" w:cs="Calibri"/>
          <w:color w:val="1A1A1A"/>
        </w:rPr>
        <w:t xml:space="preserve"> ». Réaffirmation : </w:t>
      </w:r>
      <w:r>
        <w:rPr>
          <w:rFonts w:ascii="Calibri" w:eastAsia="Calibri" w:hAnsi="Calibri" w:cs="Calibri"/>
          <w:color w:val="E91E63"/>
        </w:rPr>
        <w:t>Cons. const., 2023-1064 QPC, 6 octobre 2023, Association des avocats pénalistes</w:t>
      </w:r>
      <w:r>
        <w:rPr>
          <w:rFonts w:ascii="Calibri" w:eastAsia="Calibri" w:hAnsi="Calibri" w:cs="Calibri"/>
          <w:color w:val="1A1A1A"/>
        </w:rPr>
        <w:t xml:space="preserve"> — « </w:t>
      </w:r>
      <w:r>
        <w:rPr>
          <w:rFonts w:ascii="Calibri" w:eastAsia="Calibri" w:hAnsi="Calibri" w:cs="Calibri"/>
          <w:i/>
          <w:iCs/>
          <w:color w:val="1A1A1A"/>
        </w:rPr>
        <w:t>toute mesure privative de liberté doit être mise en œuvre dans le respect de la dignité humaine</w:t>
      </w:r>
      <w:r>
        <w:rPr>
          <w:rFonts w:ascii="Calibri" w:eastAsia="Calibri" w:hAnsi="Calibri" w:cs="Calibri"/>
          <w:color w:val="1A1A1A"/>
        </w:rPr>
        <w:t xml:space="preserve"> ».</w:t>
      </w:r>
    </w:p>
    <w:p w14:paraId="22487C87" w14:textId="77777777" w:rsidR="004A4E1F" w:rsidRDefault="00000000">
      <w:pPr>
        <w:pStyle w:val="Titre2"/>
        <w:spacing w:before="280" w:after="120"/>
      </w:pPr>
      <w:r>
        <w:rPr>
          <w:rFonts w:ascii="Calibri" w:eastAsia="Calibri" w:hAnsi="Calibri" w:cs="Calibri"/>
          <w:b/>
          <w:bCs/>
          <w:color w:val="1A1A1A"/>
          <w:sz w:val="24"/>
          <w:szCs w:val="24"/>
        </w:rPr>
        <w:t>7. Dispositif « Grand Oral »</w:t>
      </w:r>
    </w:p>
    <w:p w14:paraId="51DE15A4" w14:textId="77777777" w:rsidR="004A4E1F" w:rsidRDefault="00000000">
      <w:pPr>
        <w:pStyle w:val="Titre3"/>
        <w:spacing w:before="200" w:after="90"/>
      </w:pPr>
      <w:r>
        <w:rPr>
          <w:rFonts w:ascii="Calibri" w:eastAsia="Calibri" w:hAnsi="Calibri" w:cs="Calibri"/>
          <w:b/>
          <w:bCs/>
          <w:i/>
          <w:iCs/>
          <w:color w:val="5A5A5A"/>
          <w:sz w:val="21"/>
          <w:szCs w:val="21"/>
        </w:rPr>
        <w:t>7.1. Trois relances / questions pièges</w:t>
      </w:r>
    </w:p>
    <w:p w14:paraId="4FF1232C"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 Si l’article 3 est absolu, pourquoi un seuil de gravité ? »</w:t>
      </w:r>
      <w:r>
        <w:rPr>
          <w:rFonts w:ascii="Calibri" w:eastAsia="Calibri" w:hAnsi="Calibri" w:cs="Calibri"/>
          <w:color w:val="1A1A1A"/>
        </w:rPr>
        <w:t xml:space="preserve"> — Distinguer deux choses : le caractère </w:t>
      </w:r>
      <w:r>
        <w:rPr>
          <w:rFonts w:ascii="Calibri" w:eastAsia="Calibri" w:hAnsi="Calibri" w:cs="Calibri"/>
          <w:b/>
          <w:bCs/>
          <w:color w:val="1A1A1A"/>
        </w:rPr>
        <w:t>absolu de l’interdiction</w:t>
      </w:r>
      <w:r>
        <w:rPr>
          <w:rFonts w:ascii="Calibri" w:eastAsia="Calibri" w:hAnsi="Calibri" w:cs="Calibri"/>
          <w:color w:val="1A1A1A"/>
        </w:rPr>
        <w:t xml:space="preserve"> (aucune dérogation, aucune mise en balance une fois la qualification acquise) et la </w:t>
      </w:r>
      <w:r>
        <w:rPr>
          <w:rFonts w:ascii="Calibri" w:eastAsia="Calibri" w:hAnsi="Calibri" w:cs="Calibri"/>
          <w:b/>
          <w:bCs/>
          <w:color w:val="1A1A1A"/>
        </w:rPr>
        <w:t>relativité du seuil de qualification</w:t>
      </w:r>
      <w:r>
        <w:rPr>
          <w:rFonts w:ascii="Calibri" w:eastAsia="Calibri" w:hAnsi="Calibri" w:cs="Calibri"/>
          <w:color w:val="1A1A1A"/>
        </w:rPr>
        <w:t xml:space="preserve"> (</w:t>
      </w:r>
      <w:r>
        <w:rPr>
          <w:rFonts w:ascii="Calibri" w:eastAsia="Calibri" w:hAnsi="Calibri" w:cs="Calibri"/>
          <w:color w:val="E91E63"/>
        </w:rPr>
        <w:t>Labita</w:t>
      </w:r>
      <w:r>
        <w:rPr>
          <w:rFonts w:ascii="Calibri" w:eastAsia="Calibri" w:hAnsi="Calibri" w:cs="Calibri"/>
          <w:color w:val="1A1A1A"/>
        </w:rPr>
        <w:t>). Le contrôle porte sur l’entrée dans le champ de l’article, non sur une proportionnalité.</w:t>
      </w:r>
    </w:p>
    <w:p w14:paraId="70DF2CB8"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 Le référé-liberté est-il un recours effectif en matière pénitentiaire ? »</w:t>
      </w:r>
      <w:r>
        <w:rPr>
          <w:rFonts w:ascii="Calibri" w:eastAsia="Calibri" w:hAnsi="Calibri" w:cs="Calibri"/>
          <w:color w:val="1A1A1A"/>
        </w:rPr>
        <w:t xml:space="preserve"> — Non, selon </w:t>
      </w:r>
      <w:r>
        <w:rPr>
          <w:rFonts w:ascii="Calibri" w:eastAsia="Calibri" w:hAnsi="Calibri" w:cs="Calibri"/>
          <w:color w:val="E91E63"/>
        </w:rPr>
        <w:t>J.M.B.</w:t>
      </w:r>
      <w:r>
        <w:rPr>
          <w:rFonts w:ascii="Calibri" w:eastAsia="Calibri" w:hAnsi="Calibri" w:cs="Calibri"/>
          <w:color w:val="1A1A1A"/>
        </w:rPr>
        <w:t xml:space="preserve"> : son office limité et les obstacles pratiques de la surpopulation l’empêchent de faire cesser pleinement et immédiatement l’atteinte. D’où la création de l’</w:t>
      </w:r>
      <w:r>
        <w:rPr>
          <w:rFonts w:ascii="Calibri" w:eastAsia="Calibri" w:hAnsi="Calibri" w:cs="Calibri"/>
          <w:color w:val="1E88E5"/>
        </w:rPr>
        <w:t>art. 803-8 CPP</w:t>
      </w:r>
      <w:r>
        <w:rPr>
          <w:rFonts w:ascii="Calibri" w:eastAsia="Calibri" w:hAnsi="Calibri" w:cs="Calibri"/>
          <w:color w:val="1A1A1A"/>
        </w:rPr>
        <w:t>. Nuancer par la critique de la CNCDH sur l’effectivité de cette nouvelle voie.</w:t>
      </w:r>
    </w:p>
    <w:p w14:paraId="3CC3719A"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 La perpétuité est-elle contraire à l’article 3 ? »</w:t>
      </w:r>
      <w:r>
        <w:rPr>
          <w:rFonts w:ascii="Calibri" w:eastAsia="Calibri" w:hAnsi="Calibri" w:cs="Calibri"/>
          <w:color w:val="1A1A1A"/>
        </w:rPr>
        <w:t xml:space="preserve"> — Non en soi, </w:t>
      </w:r>
      <w:r>
        <w:rPr>
          <w:rFonts w:ascii="Calibri" w:eastAsia="Calibri" w:hAnsi="Calibri" w:cs="Calibri"/>
          <w:b/>
          <w:bCs/>
          <w:color w:val="1A1A1A"/>
        </w:rPr>
        <w:t>à condition d’être compressible</w:t>
      </w:r>
      <w:r>
        <w:rPr>
          <w:rFonts w:ascii="Calibri" w:eastAsia="Calibri" w:hAnsi="Calibri" w:cs="Calibri"/>
          <w:color w:val="1A1A1A"/>
        </w:rPr>
        <w:t xml:space="preserve"> — la personne doit disposer d’une possibilité de réexamen. C’est la formulation exacte attendue.</w:t>
      </w:r>
    </w:p>
    <w:p w14:paraId="30E9E3DC" w14:textId="77777777" w:rsidR="004A4E1F" w:rsidRDefault="00000000">
      <w:pPr>
        <w:pStyle w:val="Titre3"/>
        <w:spacing w:before="200" w:after="90"/>
      </w:pPr>
      <w:r>
        <w:rPr>
          <w:rFonts w:ascii="Calibri" w:eastAsia="Calibri" w:hAnsi="Calibri" w:cs="Calibri"/>
          <w:b/>
          <w:bCs/>
          <w:i/>
          <w:iCs/>
          <w:color w:val="5A5A5A"/>
          <w:sz w:val="21"/>
          <w:szCs w:val="21"/>
        </w:rPr>
        <w:t>7.2. Sujets d’exposé rattachables</w:t>
      </w:r>
    </w:p>
    <w:p w14:paraId="17D72A45"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xml:space="preserve">« Commentaire de CEDH, 30 janvier 2020, </w:t>
      </w:r>
      <w:r>
        <w:rPr>
          <w:rFonts w:ascii="Calibri" w:eastAsia="Calibri" w:hAnsi="Calibri" w:cs="Calibri"/>
          <w:i/>
          <w:iCs/>
          <w:color w:val="1A1A1A"/>
        </w:rPr>
        <w:t>J.M.B. et a. c. France</w:t>
      </w:r>
      <w:r>
        <w:rPr>
          <w:rFonts w:ascii="Calibri" w:eastAsia="Calibri" w:hAnsi="Calibri" w:cs="Calibri"/>
          <w:color w:val="1A1A1A"/>
        </w:rPr>
        <w:t xml:space="preserve"> » (sujet de commentaire expressément proposé par le fascicule).</w:t>
      </w:r>
    </w:p>
    <w:p w14:paraId="347D4726"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L’article 3 de la Convention européenne des droits de l’homme » ; « Les conditions indignes de détention ».</w:t>
      </w:r>
    </w:p>
    <w:p w14:paraId="451F4B7B"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La dignité de la personne détenue » ; « Le Contrôleur général des lieux de privation de liberté ».</w:t>
      </w:r>
    </w:p>
    <w:p w14:paraId="5C9F7CE2"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Les obligations positives en matière de violences faites aux femmes » ; « La protection des mineurs non accompagnés ».</w:t>
      </w:r>
    </w:p>
    <w:p w14:paraId="6D86C3B7" w14:textId="77777777" w:rsidR="004A4E1F" w:rsidRDefault="00000000">
      <w:pPr>
        <w:pStyle w:val="Titre3"/>
        <w:spacing w:before="200" w:after="90"/>
      </w:pPr>
      <w:r>
        <w:rPr>
          <w:rFonts w:ascii="Calibri" w:eastAsia="Calibri" w:hAnsi="Calibri" w:cs="Calibri"/>
          <w:b/>
          <w:bCs/>
          <w:i/>
          <w:iCs/>
          <w:color w:val="5A5A5A"/>
          <w:sz w:val="21"/>
          <w:szCs w:val="21"/>
        </w:rPr>
        <w:t>7.3. Angles morts — en question / réponse</w:t>
      </w:r>
    </w:p>
    <w:p w14:paraId="660F269C"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Q. Torture, inhumain, dégradant : quel critère ?</w:t>
      </w:r>
      <w:r>
        <w:rPr>
          <w:rFonts w:ascii="Calibri" w:eastAsia="Calibri" w:hAnsi="Calibri" w:cs="Calibri"/>
          <w:color w:val="1A1A1A"/>
        </w:rPr>
        <w:t xml:space="preserve"> — L’</w:t>
      </w:r>
      <w:r>
        <w:rPr>
          <w:rFonts w:ascii="Calibri" w:eastAsia="Calibri" w:hAnsi="Calibri" w:cs="Calibri"/>
          <w:b/>
          <w:bCs/>
          <w:color w:val="1A1A1A"/>
        </w:rPr>
        <w:t>intensité des souffrances</w:t>
      </w:r>
      <w:r>
        <w:rPr>
          <w:rFonts w:ascii="Calibri" w:eastAsia="Calibri" w:hAnsi="Calibri" w:cs="Calibri"/>
          <w:color w:val="1A1A1A"/>
        </w:rPr>
        <w:t xml:space="preserve"> (</w:t>
      </w:r>
      <w:r>
        <w:rPr>
          <w:rFonts w:ascii="Calibri" w:eastAsia="Calibri" w:hAnsi="Calibri" w:cs="Calibri"/>
          <w:color w:val="E91E63"/>
        </w:rPr>
        <w:t>Irlande c. Royaume-Uni</w:t>
      </w:r>
      <w:r>
        <w:rPr>
          <w:rFonts w:ascii="Calibri" w:eastAsia="Calibri" w:hAnsi="Calibri" w:cs="Calibri"/>
          <w:color w:val="1A1A1A"/>
        </w:rPr>
        <w:t xml:space="preserve">), à laquelle la Cour ajoute l’« </w:t>
      </w:r>
      <w:r>
        <w:rPr>
          <w:rFonts w:ascii="Calibri" w:eastAsia="Calibri" w:hAnsi="Calibri" w:cs="Calibri"/>
          <w:b/>
          <w:bCs/>
          <w:color w:val="1A1A1A"/>
        </w:rPr>
        <w:t>infamie spéciale</w:t>
      </w:r>
      <w:r>
        <w:rPr>
          <w:rFonts w:ascii="Calibri" w:eastAsia="Calibri" w:hAnsi="Calibri" w:cs="Calibri"/>
          <w:color w:val="1A1A1A"/>
        </w:rPr>
        <w:t xml:space="preserve"> » de la torture (</w:t>
      </w:r>
      <w:r>
        <w:rPr>
          <w:rFonts w:ascii="Calibri" w:eastAsia="Calibri" w:hAnsi="Calibri" w:cs="Calibri"/>
          <w:color w:val="E91E63"/>
        </w:rPr>
        <w:t>Aydin c. Turquie</w:t>
      </w:r>
      <w:r>
        <w:rPr>
          <w:rFonts w:ascii="Calibri" w:eastAsia="Calibri" w:hAnsi="Calibri" w:cs="Calibri"/>
          <w:color w:val="1A1A1A"/>
        </w:rPr>
        <w:t xml:space="preserve">). La qualification peut </w:t>
      </w:r>
      <w:r>
        <w:rPr>
          <w:rFonts w:ascii="Calibri" w:eastAsia="Calibri" w:hAnsi="Calibri" w:cs="Calibri"/>
          <w:b/>
          <w:bCs/>
          <w:color w:val="1A1A1A"/>
        </w:rPr>
        <w:t>évoluer</w:t>
      </w:r>
      <w:r>
        <w:rPr>
          <w:rFonts w:ascii="Calibri" w:eastAsia="Calibri" w:hAnsi="Calibri" w:cs="Calibri"/>
          <w:color w:val="1A1A1A"/>
        </w:rPr>
        <w:t xml:space="preserve"> dans le temps, la Convention étant un instrument vivant.</w:t>
      </w:r>
    </w:p>
    <w:p w14:paraId="6E49147F"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Q. L’article 3 peut-il faire l’objet d’une dérogation en état d’urgence ?</w:t>
      </w:r>
      <w:r>
        <w:rPr>
          <w:rFonts w:ascii="Calibri" w:eastAsia="Calibri" w:hAnsi="Calibri" w:cs="Calibri"/>
          <w:color w:val="1A1A1A"/>
        </w:rPr>
        <w:t xml:space="preserve"> — Non : il est expressément exclu du champ de l’</w:t>
      </w:r>
      <w:r>
        <w:rPr>
          <w:rFonts w:ascii="Calibri" w:eastAsia="Calibri" w:hAnsi="Calibri" w:cs="Calibri"/>
          <w:color w:val="1E88E5"/>
        </w:rPr>
        <w:t>art. 15</w:t>
      </w:r>
      <w:r>
        <w:rPr>
          <w:rFonts w:ascii="Calibri" w:eastAsia="Calibri" w:hAnsi="Calibri" w:cs="Calibri"/>
          <w:color w:val="1A1A1A"/>
        </w:rPr>
        <w:t>. Avec l’</w:t>
      </w:r>
      <w:r>
        <w:rPr>
          <w:rFonts w:ascii="Calibri" w:eastAsia="Calibri" w:hAnsi="Calibri" w:cs="Calibri"/>
          <w:color w:val="1E88E5"/>
        </w:rPr>
        <w:t>art. 2</w:t>
      </w:r>
      <w:r>
        <w:rPr>
          <w:rFonts w:ascii="Calibri" w:eastAsia="Calibri" w:hAnsi="Calibri" w:cs="Calibri"/>
          <w:color w:val="1A1A1A"/>
        </w:rPr>
        <w:t xml:space="preserve"> (sous réserve des actes licites de guerre), l’</w:t>
      </w:r>
      <w:r>
        <w:rPr>
          <w:rFonts w:ascii="Calibri" w:eastAsia="Calibri" w:hAnsi="Calibri" w:cs="Calibri"/>
          <w:color w:val="1E88E5"/>
        </w:rPr>
        <w:t>art. 4 § 1</w:t>
      </w:r>
      <w:r>
        <w:rPr>
          <w:rFonts w:ascii="Calibri" w:eastAsia="Calibri" w:hAnsi="Calibri" w:cs="Calibri"/>
          <w:color w:val="1A1A1A"/>
        </w:rPr>
        <w:t xml:space="preserve"> et l’</w:t>
      </w:r>
      <w:r>
        <w:rPr>
          <w:rFonts w:ascii="Calibri" w:eastAsia="Calibri" w:hAnsi="Calibri" w:cs="Calibri"/>
          <w:color w:val="1E88E5"/>
        </w:rPr>
        <w:t>art. 7</w:t>
      </w:r>
      <w:r>
        <w:rPr>
          <w:rFonts w:ascii="Calibri" w:eastAsia="Calibri" w:hAnsi="Calibri" w:cs="Calibri"/>
          <w:color w:val="1A1A1A"/>
        </w:rPr>
        <w:t>, il forme le noyau indérogeable.</w:t>
      </w:r>
    </w:p>
    <w:p w14:paraId="04A44693"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Q. L’interdiction de l’esclavage relève-t-elle de l’article 3 ?</w:t>
      </w:r>
      <w:r>
        <w:rPr>
          <w:rFonts w:ascii="Calibri" w:eastAsia="Calibri" w:hAnsi="Calibri" w:cs="Calibri"/>
          <w:color w:val="1A1A1A"/>
        </w:rPr>
        <w:t xml:space="preserve"> — Non : de l’</w:t>
      </w:r>
      <w:r>
        <w:rPr>
          <w:rFonts w:ascii="Calibri" w:eastAsia="Calibri" w:hAnsi="Calibri" w:cs="Calibri"/>
          <w:color w:val="1E88E5"/>
        </w:rPr>
        <w:t>art. 4</w:t>
      </w:r>
      <w:r>
        <w:rPr>
          <w:rFonts w:ascii="Calibri" w:eastAsia="Calibri" w:hAnsi="Calibri" w:cs="Calibri"/>
          <w:color w:val="1A1A1A"/>
        </w:rPr>
        <w:t xml:space="preserve">, doté d’une </w:t>
      </w:r>
      <w:r>
        <w:rPr>
          <w:rFonts w:ascii="Calibri" w:eastAsia="Calibri" w:hAnsi="Calibri" w:cs="Calibri"/>
          <w:b/>
          <w:bCs/>
          <w:color w:val="1A1A1A"/>
        </w:rPr>
        <w:t>autonomie normative</w:t>
      </w:r>
      <w:r>
        <w:rPr>
          <w:rFonts w:ascii="Calibri" w:eastAsia="Calibri" w:hAnsi="Calibri" w:cs="Calibri"/>
          <w:color w:val="1A1A1A"/>
        </w:rPr>
        <w:t xml:space="preserve"> et complété par des conventions spécifiques.</w:t>
      </w:r>
    </w:p>
    <w:p w14:paraId="2D34213D"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Q. Quelle est la première condamnation de la France pour torture ?</w:t>
      </w:r>
      <w:r>
        <w:rPr>
          <w:rFonts w:ascii="Calibri" w:eastAsia="Calibri" w:hAnsi="Calibri" w:cs="Calibri"/>
          <w:color w:val="1A1A1A"/>
        </w:rPr>
        <w:t xml:space="preserve"> — </w:t>
      </w:r>
      <w:r>
        <w:rPr>
          <w:rFonts w:ascii="Calibri" w:eastAsia="Calibri" w:hAnsi="Calibri" w:cs="Calibri"/>
          <w:color w:val="E91E63"/>
        </w:rPr>
        <w:t>Selmouni c. France</w:t>
      </w:r>
      <w:r w:rsidRPr="00773F9E">
        <w:rPr>
          <w:rFonts w:ascii="Calibri" w:eastAsia="Calibri" w:hAnsi="Calibri" w:cs="Calibri"/>
          <w:color w:val="E91D62"/>
        </w:rPr>
        <w:t xml:space="preserve">, du </w:t>
      </w:r>
      <w:r w:rsidRPr="00773F9E">
        <w:rPr>
          <w:rFonts w:ascii="Calibri" w:eastAsia="Calibri" w:hAnsi="Calibri" w:cs="Calibri"/>
          <w:b/>
          <w:bCs/>
          <w:color w:val="E91D62"/>
        </w:rPr>
        <w:t>28 juillet 1999</w:t>
      </w:r>
      <w:r>
        <w:rPr>
          <w:rFonts w:ascii="Calibri" w:eastAsia="Calibri" w:hAnsi="Calibri" w:cs="Calibri"/>
          <w:color w:val="1A1A1A"/>
        </w:rPr>
        <w:t>, pour des faits commis sur une personne gardée à vue. Le fascicule évoque « en 1998 » avant de citer l’arrêt de 1999 : retenir 1999.</w:t>
      </w:r>
    </w:p>
    <w:p w14:paraId="43EBDE9A"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Q. Quelles sont les trois obligations positives de l’État au titre de l’article 3 ?</w:t>
      </w:r>
      <w:r>
        <w:rPr>
          <w:rFonts w:ascii="Calibri" w:eastAsia="Calibri" w:hAnsi="Calibri" w:cs="Calibri"/>
          <w:color w:val="1A1A1A"/>
        </w:rPr>
        <w:t xml:space="preserve"> — Établir un </w:t>
      </w:r>
      <w:r>
        <w:rPr>
          <w:rFonts w:ascii="Calibri" w:eastAsia="Calibri" w:hAnsi="Calibri" w:cs="Calibri"/>
          <w:b/>
          <w:bCs/>
          <w:color w:val="1A1A1A"/>
        </w:rPr>
        <w:t>cadre normatif</w:t>
      </w:r>
      <w:r>
        <w:rPr>
          <w:rFonts w:ascii="Calibri" w:eastAsia="Calibri" w:hAnsi="Calibri" w:cs="Calibri"/>
          <w:color w:val="1A1A1A"/>
        </w:rPr>
        <w:t xml:space="preserve">, prendre des </w:t>
      </w:r>
      <w:r>
        <w:rPr>
          <w:rFonts w:ascii="Calibri" w:eastAsia="Calibri" w:hAnsi="Calibri" w:cs="Calibri"/>
          <w:b/>
          <w:bCs/>
          <w:color w:val="1A1A1A"/>
        </w:rPr>
        <w:t>mesures opérationnelles</w:t>
      </w:r>
      <w:r>
        <w:rPr>
          <w:rFonts w:ascii="Calibri" w:eastAsia="Calibri" w:hAnsi="Calibri" w:cs="Calibri"/>
          <w:color w:val="1A1A1A"/>
        </w:rPr>
        <w:t xml:space="preserve">, mener une </w:t>
      </w:r>
      <w:r>
        <w:rPr>
          <w:rFonts w:ascii="Calibri" w:eastAsia="Calibri" w:hAnsi="Calibri" w:cs="Calibri"/>
          <w:b/>
          <w:bCs/>
          <w:color w:val="1A1A1A"/>
        </w:rPr>
        <w:t>enquête effective</w:t>
      </w:r>
      <w:r>
        <w:rPr>
          <w:rFonts w:ascii="Calibri" w:eastAsia="Calibri" w:hAnsi="Calibri" w:cs="Calibri"/>
          <w:color w:val="1A1A1A"/>
        </w:rPr>
        <w:t xml:space="preserve"> (</w:t>
      </w:r>
      <w:r>
        <w:rPr>
          <w:rFonts w:ascii="Calibri" w:eastAsia="Calibri" w:hAnsi="Calibri" w:cs="Calibri"/>
          <w:color w:val="E91E63"/>
        </w:rPr>
        <w:t xml:space="preserve">X et a. c. </w:t>
      </w:r>
      <w:r w:rsidRPr="00773F9E">
        <w:rPr>
          <w:rFonts w:ascii="Calibri" w:eastAsia="Calibri" w:hAnsi="Calibri" w:cs="Calibri"/>
          <w:color w:val="E91D62"/>
        </w:rPr>
        <w:t>Bulgarie, 2021</w:t>
      </w:r>
      <w:r>
        <w:rPr>
          <w:rFonts w:ascii="Calibri" w:eastAsia="Calibri" w:hAnsi="Calibri" w:cs="Calibri"/>
          <w:color w:val="1A1A1A"/>
        </w:rPr>
        <w:t>).</w:t>
      </w:r>
    </w:p>
    <w:p w14:paraId="4AC791B0"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Q. Qui saisit-on au titre de l’article 803-8 CPP ?</w:t>
      </w:r>
      <w:r>
        <w:rPr>
          <w:rFonts w:ascii="Calibri" w:eastAsia="Calibri" w:hAnsi="Calibri" w:cs="Calibri"/>
          <w:color w:val="1A1A1A"/>
        </w:rPr>
        <w:t xml:space="preserve"> — Le </w:t>
      </w:r>
      <w:r>
        <w:rPr>
          <w:rFonts w:ascii="Calibri" w:eastAsia="Calibri" w:hAnsi="Calibri" w:cs="Calibri"/>
          <w:b/>
          <w:bCs/>
          <w:color w:val="1A1A1A"/>
        </w:rPr>
        <w:t>juge des libertés et de la détention</w:t>
      </w:r>
      <w:r>
        <w:rPr>
          <w:rFonts w:ascii="Calibri" w:eastAsia="Calibri" w:hAnsi="Calibri" w:cs="Calibri"/>
          <w:color w:val="1A1A1A"/>
        </w:rPr>
        <w:t xml:space="preserve"> en détention provisoire, le </w:t>
      </w:r>
      <w:r>
        <w:rPr>
          <w:rFonts w:ascii="Calibri" w:eastAsia="Calibri" w:hAnsi="Calibri" w:cs="Calibri"/>
          <w:b/>
          <w:bCs/>
          <w:color w:val="1A1A1A"/>
        </w:rPr>
        <w:t>juge de l’application des peines</w:t>
      </w:r>
      <w:r>
        <w:rPr>
          <w:rFonts w:ascii="Calibri" w:eastAsia="Calibri" w:hAnsi="Calibri" w:cs="Calibri"/>
          <w:color w:val="1A1A1A"/>
        </w:rPr>
        <w:t xml:space="preserve"> pour une personne condamnée.</w:t>
      </w:r>
    </w:p>
    <w:p w14:paraId="652CDB50" w14:textId="77777777" w:rsidR="004A4E1F" w:rsidRDefault="00000000">
      <w:r>
        <w:br w:type="page"/>
      </w:r>
    </w:p>
    <w:p w14:paraId="04E665C1" w14:textId="77777777" w:rsidR="004A4E1F" w:rsidRDefault="00000000">
      <w:pPr>
        <w:pStyle w:val="Titre1"/>
        <w:pBdr>
          <w:bottom w:val="single" w:sz="12" w:space="6" w:color="8C1C2B"/>
        </w:pBdr>
        <w:spacing w:before="240" w:after="200"/>
      </w:pPr>
      <w:r>
        <w:rPr>
          <w:rFonts w:ascii="Calibri" w:eastAsia="Calibri" w:hAnsi="Calibri" w:cs="Calibri"/>
          <w:b/>
          <w:bCs/>
          <w:color w:val="8C1C2B"/>
          <w:sz w:val="30"/>
          <w:szCs w:val="30"/>
        </w:rPr>
        <w:lastRenderedPageBreak/>
        <w:t>FICHE N° 29 — L’INTERDICTION DE L’ESCLAVAGE, DE LA TRAITE, DE LA SERVITUDE ET DU TRAVAIL FORCÉ</w:t>
      </w:r>
    </w:p>
    <w:p w14:paraId="15DA60DA" w14:textId="77777777" w:rsidR="004A4E1F" w:rsidRDefault="00000000">
      <w:pPr>
        <w:pStyle w:val="Titre2"/>
        <w:spacing w:before="280" w:after="120"/>
      </w:pPr>
      <w:r>
        <w:rPr>
          <w:rFonts w:ascii="Calibri" w:eastAsia="Calibri" w:hAnsi="Calibri" w:cs="Calibri"/>
          <w:b/>
          <w:bCs/>
          <w:color w:val="1A1A1A"/>
          <w:sz w:val="24"/>
          <w:szCs w:val="24"/>
        </w:rPr>
        <w:t>◆ FICHE-MÉMOIRE — à réviser en trois minutes</w:t>
      </w:r>
    </w:p>
    <w:p w14:paraId="75C24676" w14:textId="77777777" w:rsidR="004A4E1F" w:rsidRDefault="00000000">
      <w:pPr>
        <w:pStyle w:val="Titre3"/>
        <w:spacing w:before="200" w:after="90"/>
      </w:pPr>
      <w:r>
        <w:rPr>
          <w:rFonts w:ascii="Calibri" w:eastAsia="Calibri" w:hAnsi="Calibri" w:cs="Calibri"/>
          <w:b/>
          <w:bCs/>
          <w:i/>
          <w:iCs/>
          <w:color w:val="5A5A5A"/>
          <w:sz w:val="21"/>
          <w:szCs w:val="21"/>
        </w:rPr>
        <w:t>Accroche</w:t>
      </w:r>
    </w:p>
    <w:p w14:paraId="391610B5" w14:textId="77777777" w:rsidR="004A4E1F" w:rsidRDefault="00000000">
      <w:pPr>
        <w:pStyle w:val="Paragraphedeliste"/>
        <w:numPr>
          <w:ilvl w:val="0"/>
          <w:numId w:val="2"/>
        </w:numPr>
        <w:spacing w:after="70" w:line="264" w:lineRule="auto"/>
        <w:jc w:val="both"/>
      </w:pPr>
      <w:r>
        <w:rPr>
          <w:rFonts w:ascii="Calibri" w:eastAsia="Calibri" w:hAnsi="Calibri" w:cs="Calibri"/>
          <w:color w:val="E91E63"/>
        </w:rPr>
        <w:t>CEDH, 7 janvier 2010, Rantsev c. Chypre et Russie, n° 25965/04</w:t>
      </w:r>
      <w:r>
        <w:rPr>
          <w:rFonts w:ascii="Calibri" w:eastAsia="Calibri" w:hAnsi="Calibri" w:cs="Calibri"/>
          <w:color w:val="1A1A1A"/>
        </w:rPr>
        <w:t xml:space="preserve"> : l’interdiction de l’esclavage et de la servitude a un </w:t>
      </w:r>
      <w:r>
        <w:rPr>
          <w:rFonts w:ascii="Calibri" w:eastAsia="Calibri" w:hAnsi="Calibri" w:cs="Calibri"/>
          <w:b/>
          <w:bCs/>
          <w:color w:val="1A1A1A"/>
        </w:rPr>
        <w:t>caractère absolu</w:t>
      </w:r>
      <w:r>
        <w:rPr>
          <w:rFonts w:ascii="Calibri" w:eastAsia="Calibri" w:hAnsi="Calibri" w:cs="Calibri"/>
          <w:color w:val="1A1A1A"/>
        </w:rPr>
        <w:t xml:space="preserve">, valant également en situation de guerre ou de calamité publique. Et pourtant, dans son quatrième rapport consacré à la France publié le </w:t>
      </w:r>
      <w:r>
        <w:rPr>
          <w:rFonts w:ascii="Calibri" w:eastAsia="Calibri" w:hAnsi="Calibri" w:cs="Calibri"/>
          <w:b/>
          <w:bCs/>
          <w:color w:val="1A1A1A"/>
        </w:rPr>
        <w:t>25 juin 2026</w:t>
      </w:r>
      <w:r>
        <w:rPr>
          <w:rFonts w:ascii="Calibri" w:eastAsia="Calibri" w:hAnsi="Calibri" w:cs="Calibri"/>
          <w:color w:val="1A1A1A"/>
        </w:rPr>
        <w:t xml:space="preserve">, le GRETA relève que le nombre de victimes de traite identifiées est passé de </w:t>
      </w:r>
      <w:r>
        <w:rPr>
          <w:rFonts w:ascii="Calibri" w:eastAsia="Calibri" w:hAnsi="Calibri" w:cs="Calibri"/>
          <w:b/>
          <w:bCs/>
          <w:color w:val="1A1A1A"/>
        </w:rPr>
        <w:t>331 en 2021 à 442 en 2024</w:t>
      </w:r>
      <w:r>
        <w:rPr>
          <w:rFonts w:ascii="Calibri" w:eastAsia="Calibri" w:hAnsi="Calibri" w:cs="Calibri"/>
          <w:color w:val="1A1A1A"/>
        </w:rPr>
        <w:t>.</w:t>
      </w:r>
    </w:p>
    <w:p w14:paraId="1E8BC28D"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xml:space="preserve">Accroche alternative : la France a été condamnée </w:t>
      </w:r>
      <w:r>
        <w:rPr>
          <w:rFonts w:ascii="Calibri" w:eastAsia="Calibri" w:hAnsi="Calibri" w:cs="Calibri"/>
          <w:b/>
          <w:bCs/>
          <w:color w:val="1A1A1A"/>
        </w:rPr>
        <w:t>deux fois</w:t>
      </w:r>
      <w:r>
        <w:rPr>
          <w:rFonts w:ascii="Calibri" w:eastAsia="Calibri" w:hAnsi="Calibri" w:cs="Calibri"/>
          <w:color w:val="1A1A1A"/>
        </w:rPr>
        <w:t xml:space="preserve"> — en 2005 et en 2012 — pour les lacunes de son système pénal en matière de servitude, avant de devoir modifier son droit par la loi du 5 août 2013.</w:t>
      </w:r>
    </w:p>
    <w:p w14:paraId="72B36A0B" w14:textId="77777777" w:rsidR="004A4E1F" w:rsidRDefault="00000000">
      <w:pPr>
        <w:pStyle w:val="Titre3"/>
        <w:spacing w:before="200" w:after="90"/>
      </w:pPr>
      <w:r>
        <w:rPr>
          <w:rFonts w:ascii="Calibri" w:eastAsia="Calibri" w:hAnsi="Calibri" w:cs="Calibri"/>
          <w:b/>
          <w:bCs/>
          <w:i/>
          <w:iCs/>
          <w:color w:val="5A5A5A"/>
          <w:sz w:val="21"/>
          <w:szCs w:val="21"/>
        </w:rPr>
        <w:t>Définition en trois lignes</w:t>
      </w:r>
    </w:p>
    <w:p w14:paraId="67F82B7E" w14:textId="77777777" w:rsidR="004A4E1F" w:rsidRDefault="00000000">
      <w:pPr>
        <w:pStyle w:val="Paragraphedeliste"/>
        <w:numPr>
          <w:ilvl w:val="0"/>
          <w:numId w:val="2"/>
        </w:numPr>
        <w:spacing w:after="70" w:line="264" w:lineRule="auto"/>
        <w:jc w:val="both"/>
      </w:pPr>
      <w:r>
        <w:rPr>
          <w:rFonts w:ascii="Calibri" w:eastAsia="Calibri" w:hAnsi="Calibri" w:cs="Calibri"/>
          <w:color w:val="1E88E5"/>
        </w:rPr>
        <w:t>Art. 4 de la Convention européenne</w:t>
      </w:r>
      <w:r>
        <w:rPr>
          <w:rFonts w:ascii="Calibri" w:eastAsia="Calibri" w:hAnsi="Calibri" w:cs="Calibri"/>
          <w:color w:val="1A1A1A"/>
        </w:rPr>
        <w:t xml:space="preserve"> : « </w:t>
      </w:r>
      <w:r>
        <w:rPr>
          <w:rFonts w:ascii="Calibri" w:eastAsia="Calibri" w:hAnsi="Calibri" w:cs="Calibri"/>
          <w:i/>
          <w:iCs/>
          <w:color w:val="1A1A1A"/>
        </w:rPr>
        <w:t>1. Nul ne peut être tenu en esclavage ni en servitude. 2. Nul ne peut être astreint à accomplir un travail forcé ou obligatoire</w:t>
      </w:r>
      <w:r>
        <w:rPr>
          <w:rFonts w:ascii="Calibri" w:eastAsia="Calibri" w:hAnsi="Calibri" w:cs="Calibri"/>
          <w:color w:val="1A1A1A"/>
        </w:rPr>
        <w:t xml:space="preserve"> » ; </w:t>
      </w:r>
      <w:r>
        <w:rPr>
          <w:rFonts w:ascii="Calibri" w:eastAsia="Calibri" w:hAnsi="Calibri" w:cs="Calibri"/>
          <w:color w:val="1E88E5"/>
        </w:rPr>
        <w:t>art. 5 § 3 de la Charte des droits fondamentaux</w:t>
      </w:r>
      <w:r>
        <w:rPr>
          <w:rFonts w:ascii="Calibri" w:eastAsia="Calibri" w:hAnsi="Calibri" w:cs="Calibri"/>
          <w:color w:val="1A1A1A"/>
        </w:rPr>
        <w:t xml:space="preserve"> : « </w:t>
      </w:r>
      <w:r>
        <w:rPr>
          <w:rFonts w:ascii="Calibri" w:eastAsia="Calibri" w:hAnsi="Calibri" w:cs="Calibri"/>
          <w:i/>
          <w:iCs/>
          <w:color w:val="1A1A1A"/>
        </w:rPr>
        <w:t>La traite des êtres humains est interdite</w:t>
      </w:r>
      <w:r>
        <w:rPr>
          <w:rFonts w:ascii="Calibri" w:eastAsia="Calibri" w:hAnsi="Calibri" w:cs="Calibri"/>
          <w:color w:val="1A1A1A"/>
        </w:rPr>
        <w:t xml:space="preserve"> ». </w:t>
      </w:r>
      <w:r>
        <w:rPr>
          <w:rFonts w:ascii="Calibri" w:eastAsia="Calibri" w:hAnsi="Calibri" w:cs="Calibri"/>
          <w:b/>
          <w:bCs/>
          <w:color w:val="1A1A1A"/>
        </w:rPr>
        <w:t>Quatre situations distinctes</w:t>
      </w:r>
      <w:r>
        <w:rPr>
          <w:rFonts w:ascii="Calibri" w:eastAsia="Calibri" w:hAnsi="Calibri" w:cs="Calibri"/>
          <w:color w:val="1A1A1A"/>
        </w:rPr>
        <w:t xml:space="preserve"> à ne jamais confondre.</w:t>
      </w:r>
    </w:p>
    <w:p w14:paraId="36A97896"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Les quatre définitions</w:t>
      </w:r>
      <w:r>
        <w:rPr>
          <w:rFonts w:ascii="Calibri" w:eastAsia="Calibri" w:hAnsi="Calibri" w:cs="Calibri"/>
          <w:color w:val="1A1A1A"/>
        </w:rPr>
        <w:t xml:space="preserve"> : </w:t>
      </w:r>
      <w:r>
        <w:rPr>
          <w:rFonts w:ascii="Calibri" w:eastAsia="Calibri" w:hAnsi="Calibri" w:cs="Calibri"/>
          <w:b/>
          <w:bCs/>
          <w:color w:val="1A1A1A"/>
        </w:rPr>
        <w:t>esclavage</w:t>
      </w:r>
      <w:r>
        <w:rPr>
          <w:rFonts w:ascii="Calibri" w:eastAsia="Calibri" w:hAnsi="Calibri" w:cs="Calibri"/>
          <w:color w:val="1A1A1A"/>
        </w:rPr>
        <w:t xml:space="preserve"> — état ou condition d’un individu sur lequel s’exercent les attributs du droit de propriété (réification, annihilation de l’autonomie, exercice d’attributs de propriété) ; </w:t>
      </w:r>
      <w:r>
        <w:rPr>
          <w:rFonts w:ascii="Calibri" w:eastAsia="Calibri" w:hAnsi="Calibri" w:cs="Calibri"/>
          <w:b/>
          <w:bCs/>
          <w:color w:val="1A1A1A"/>
        </w:rPr>
        <w:t>servitude</w:t>
      </w:r>
      <w:r>
        <w:rPr>
          <w:rFonts w:ascii="Calibri" w:eastAsia="Calibri" w:hAnsi="Calibri" w:cs="Calibri"/>
          <w:color w:val="1A1A1A"/>
        </w:rPr>
        <w:t xml:space="preserve"> — forme de travail forcé </w:t>
      </w:r>
      <w:r>
        <w:rPr>
          <w:rFonts w:ascii="Calibri" w:eastAsia="Calibri" w:hAnsi="Calibri" w:cs="Calibri"/>
          <w:b/>
          <w:bCs/>
          <w:color w:val="1A1A1A"/>
        </w:rPr>
        <w:t>aggravée</w:t>
      </w:r>
      <w:r>
        <w:rPr>
          <w:rFonts w:ascii="Calibri" w:eastAsia="Calibri" w:hAnsi="Calibri" w:cs="Calibri"/>
          <w:color w:val="1A1A1A"/>
        </w:rPr>
        <w:t xml:space="preserve">, « négation de la liberté individuelle », marquée par l’impossibilité de changer de condition ; </w:t>
      </w:r>
      <w:r>
        <w:rPr>
          <w:rFonts w:ascii="Calibri" w:eastAsia="Calibri" w:hAnsi="Calibri" w:cs="Calibri"/>
          <w:b/>
          <w:bCs/>
          <w:color w:val="1A1A1A"/>
        </w:rPr>
        <w:t>travail forcé</w:t>
      </w:r>
      <w:r>
        <w:rPr>
          <w:rFonts w:ascii="Calibri" w:eastAsia="Calibri" w:hAnsi="Calibri" w:cs="Calibri"/>
          <w:color w:val="1A1A1A"/>
        </w:rPr>
        <w:t xml:space="preserve"> — travail exigé sous la menace d’une peine et pour lequel l’individu ne s’est pas offert de plein gré ; </w:t>
      </w:r>
      <w:r>
        <w:rPr>
          <w:rFonts w:ascii="Calibri" w:eastAsia="Calibri" w:hAnsi="Calibri" w:cs="Calibri"/>
          <w:b/>
          <w:bCs/>
          <w:color w:val="1A1A1A"/>
        </w:rPr>
        <w:t>traite</w:t>
      </w:r>
      <w:r>
        <w:rPr>
          <w:rFonts w:ascii="Calibri" w:eastAsia="Calibri" w:hAnsi="Calibri" w:cs="Calibri"/>
          <w:color w:val="1A1A1A"/>
        </w:rPr>
        <w:t xml:space="preserve"> — un </w:t>
      </w:r>
      <w:r>
        <w:rPr>
          <w:rFonts w:ascii="Calibri" w:eastAsia="Calibri" w:hAnsi="Calibri" w:cs="Calibri"/>
          <w:b/>
          <w:bCs/>
          <w:color w:val="1A1A1A"/>
        </w:rPr>
        <w:t>acte</w:t>
      </w:r>
      <w:r>
        <w:rPr>
          <w:rFonts w:ascii="Calibri" w:eastAsia="Calibri" w:hAnsi="Calibri" w:cs="Calibri"/>
          <w:color w:val="1A1A1A"/>
        </w:rPr>
        <w:t xml:space="preserve">, un </w:t>
      </w:r>
      <w:r>
        <w:rPr>
          <w:rFonts w:ascii="Calibri" w:eastAsia="Calibri" w:hAnsi="Calibri" w:cs="Calibri"/>
          <w:b/>
          <w:bCs/>
          <w:color w:val="1A1A1A"/>
        </w:rPr>
        <w:t>moyen</w:t>
      </w:r>
      <w:r>
        <w:rPr>
          <w:rFonts w:ascii="Calibri" w:eastAsia="Calibri" w:hAnsi="Calibri" w:cs="Calibri"/>
          <w:color w:val="1A1A1A"/>
        </w:rPr>
        <w:t xml:space="preserve">, un </w:t>
      </w:r>
      <w:r>
        <w:rPr>
          <w:rFonts w:ascii="Calibri" w:eastAsia="Calibri" w:hAnsi="Calibri" w:cs="Calibri"/>
          <w:b/>
          <w:bCs/>
          <w:color w:val="1A1A1A"/>
        </w:rPr>
        <w:t>but d’exploitation</w:t>
      </w:r>
      <w:r>
        <w:rPr>
          <w:rFonts w:ascii="Calibri" w:eastAsia="Calibri" w:hAnsi="Calibri" w:cs="Calibri"/>
          <w:color w:val="1A1A1A"/>
        </w:rPr>
        <w:t xml:space="preserve">. </w:t>
      </w:r>
      <w:r>
        <w:rPr>
          <w:rFonts w:ascii="Calibri" w:eastAsia="Calibri" w:hAnsi="Calibri" w:cs="Calibri"/>
          <w:b/>
          <w:bCs/>
          <w:color w:val="1A1A1A"/>
        </w:rPr>
        <w:t>Seul le travail forcé ne revêt pas un caractère absolu.</w:t>
      </w:r>
    </w:p>
    <w:p w14:paraId="1E83D6FB" w14:textId="77777777" w:rsidR="004A4E1F" w:rsidRDefault="00000000">
      <w:pPr>
        <w:pStyle w:val="Titre3"/>
        <w:spacing w:before="200" w:after="90"/>
      </w:pPr>
      <w:r>
        <w:rPr>
          <w:rFonts w:ascii="Calibri" w:eastAsia="Calibri" w:hAnsi="Calibri" w:cs="Calibri"/>
          <w:b/>
          <w:bCs/>
          <w:i/>
          <w:iCs/>
          <w:color w:val="5A5A5A"/>
          <w:sz w:val="21"/>
          <w:szCs w:val="21"/>
        </w:rPr>
        <w:t>Les cinq références incontournables</w:t>
      </w:r>
    </w:p>
    <w:p w14:paraId="42DB0F69"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26 octobre 2005, Siliadin c. France, n° 73316/01</w:t>
      </w:r>
      <w:r>
        <w:rPr>
          <w:rFonts w:ascii="Calibri" w:eastAsia="Calibri" w:hAnsi="Calibri" w:cs="Calibri"/>
          <w:color w:val="1A1A1A"/>
        </w:rPr>
        <w:t xml:space="preserve"> : condamnation de la France pour les lacunes de son système pénal en matière de </w:t>
      </w:r>
      <w:r>
        <w:rPr>
          <w:rFonts w:ascii="Calibri" w:eastAsia="Calibri" w:hAnsi="Calibri" w:cs="Calibri"/>
          <w:b/>
          <w:bCs/>
          <w:color w:val="1A1A1A"/>
        </w:rPr>
        <w:t>servitude</w:t>
      </w:r>
      <w:r>
        <w:rPr>
          <w:rFonts w:ascii="Calibri" w:eastAsia="Calibri" w:hAnsi="Calibri" w:cs="Calibri"/>
          <w:color w:val="1A1A1A"/>
        </w:rPr>
        <w:t xml:space="preserve"> — défaut de criminalisation et de répression effective.</w:t>
      </w:r>
    </w:p>
    <w:p w14:paraId="68EAF9C5"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11 octobre 2012, C.N. et V. c. France, n° 67724/09</w:t>
      </w:r>
      <w:r>
        <w:rPr>
          <w:rFonts w:ascii="Calibri" w:eastAsia="Calibri" w:hAnsi="Calibri" w:cs="Calibri"/>
          <w:color w:val="1A1A1A"/>
        </w:rPr>
        <w:t xml:space="preserve"> : seconde condamnation, ayant conduit l’État à modifier son droit pénal par la </w:t>
      </w:r>
      <w:r>
        <w:rPr>
          <w:rFonts w:ascii="Calibri" w:eastAsia="Calibri" w:hAnsi="Calibri" w:cs="Calibri"/>
          <w:color w:val="1E88E5"/>
        </w:rPr>
        <w:t>loi du 5 août 2013</w:t>
      </w:r>
      <w:r>
        <w:rPr>
          <w:rFonts w:ascii="Calibri" w:eastAsia="Calibri" w:hAnsi="Calibri" w:cs="Calibri"/>
          <w:color w:val="1A1A1A"/>
        </w:rPr>
        <w:t>.</w:t>
      </w:r>
    </w:p>
    <w:p w14:paraId="197CF779"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7 janvier 2010, Rantsev c. Chypre et Russie, n° 25965/04</w:t>
      </w:r>
      <w:r>
        <w:rPr>
          <w:rFonts w:ascii="Calibri" w:eastAsia="Calibri" w:hAnsi="Calibri" w:cs="Calibri"/>
          <w:color w:val="1A1A1A"/>
        </w:rPr>
        <w:t xml:space="preserve"> : la </w:t>
      </w:r>
      <w:r>
        <w:rPr>
          <w:rFonts w:ascii="Calibri" w:eastAsia="Calibri" w:hAnsi="Calibri" w:cs="Calibri"/>
          <w:b/>
          <w:bCs/>
          <w:color w:val="1A1A1A"/>
        </w:rPr>
        <w:t>traite</w:t>
      </w:r>
      <w:r>
        <w:rPr>
          <w:rFonts w:ascii="Calibri" w:eastAsia="Calibri" w:hAnsi="Calibri" w:cs="Calibri"/>
          <w:color w:val="1A1A1A"/>
        </w:rPr>
        <w:t xml:space="preserve"> entre dans le champ de l’</w:t>
      </w:r>
      <w:r>
        <w:rPr>
          <w:rFonts w:ascii="Calibri" w:eastAsia="Calibri" w:hAnsi="Calibri" w:cs="Calibri"/>
          <w:color w:val="1E88E5"/>
        </w:rPr>
        <w:t>art. 4</w:t>
      </w:r>
      <w:r>
        <w:rPr>
          <w:rFonts w:ascii="Calibri" w:eastAsia="Calibri" w:hAnsi="Calibri" w:cs="Calibri"/>
          <w:color w:val="1A1A1A"/>
        </w:rPr>
        <w:t xml:space="preserve"> par interprétation du but et de l’objet de l’article ; obligations de </w:t>
      </w:r>
      <w:r>
        <w:rPr>
          <w:rFonts w:ascii="Calibri" w:eastAsia="Calibri" w:hAnsi="Calibri" w:cs="Calibri"/>
          <w:b/>
          <w:bCs/>
          <w:color w:val="1A1A1A"/>
        </w:rPr>
        <w:t>mesures opérationnelles</w:t>
      </w:r>
      <w:r>
        <w:rPr>
          <w:rFonts w:ascii="Calibri" w:eastAsia="Calibri" w:hAnsi="Calibri" w:cs="Calibri"/>
          <w:color w:val="1A1A1A"/>
        </w:rPr>
        <w:t xml:space="preserve"> ; le consentement de la victime est indifférent dès lors qu’un des moyens listés a été employé.</w:t>
      </w:r>
    </w:p>
    <w:p w14:paraId="6A2EAEED"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 xml:space="preserve">CEDH, 23 novembre 1983, Van der </w:t>
      </w:r>
      <w:proofErr w:type="spellStart"/>
      <w:r>
        <w:rPr>
          <w:rFonts w:ascii="Calibri" w:eastAsia="Calibri" w:hAnsi="Calibri" w:cs="Calibri"/>
          <w:color w:val="E91E63"/>
        </w:rPr>
        <w:t>Mussele</w:t>
      </w:r>
      <w:proofErr w:type="spellEnd"/>
      <w:r>
        <w:rPr>
          <w:rFonts w:ascii="Calibri" w:eastAsia="Calibri" w:hAnsi="Calibri" w:cs="Calibri"/>
          <w:color w:val="E91E63"/>
        </w:rPr>
        <w:t xml:space="preserve"> c. Belgique, n° 8919/80</w:t>
      </w:r>
      <w:r>
        <w:rPr>
          <w:rFonts w:ascii="Calibri" w:eastAsia="Calibri" w:hAnsi="Calibri" w:cs="Calibri"/>
          <w:color w:val="1A1A1A"/>
        </w:rPr>
        <w:t xml:space="preserve"> : critère du « </w:t>
      </w:r>
      <w:r>
        <w:rPr>
          <w:rFonts w:ascii="Calibri" w:eastAsia="Calibri" w:hAnsi="Calibri" w:cs="Calibri"/>
          <w:b/>
          <w:bCs/>
          <w:color w:val="1A1A1A"/>
        </w:rPr>
        <w:t>fardeau disproportionné</w:t>
      </w:r>
      <w:r>
        <w:rPr>
          <w:rFonts w:ascii="Calibri" w:eastAsia="Calibri" w:hAnsi="Calibri" w:cs="Calibri"/>
          <w:color w:val="1A1A1A"/>
        </w:rPr>
        <w:t xml:space="preserve"> » — tout travail exigé sous la contrainte d’une menace ne constitue pas nécessairement une violation.</w:t>
      </w:r>
    </w:p>
    <w:p w14:paraId="1BF9AF5D"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V.C.L. et A.N. c. Royaume-Uni</w:t>
      </w:r>
      <w:r>
        <w:rPr>
          <w:rFonts w:ascii="Calibri" w:eastAsia="Calibri" w:hAnsi="Calibri" w:cs="Calibri"/>
          <w:color w:val="1A1A1A"/>
        </w:rPr>
        <w:t xml:space="preserve"> (2021) : un mineur étranger arrêté dans une fabrique de cannabis, non identifié comme victime de traite ; violation de l’</w:t>
      </w:r>
      <w:r>
        <w:rPr>
          <w:rFonts w:ascii="Calibri" w:eastAsia="Calibri" w:hAnsi="Calibri" w:cs="Calibri"/>
          <w:color w:val="1E88E5"/>
        </w:rPr>
        <w:t>art. 4</w:t>
      </w:r>
      <w:r>
        <w:rPr>
          <w:rFonts w:ascii="Calibri" w:eastAsia="Calibri" w:hAnsi="Calibri" w:cs="Calibri"/>
          <w:color w:val="1A1A1A"/>
        </w:rPr>
        <w:t xml:space="preserve"> pour manquement aux </w:t>
      </w:r>
      <w:r>
        <w:rPr>
          <w:rFonts w:ascii="Calibri" w:eastAsia="Calibri" w:hAnsi="Calibri" w:cs="Calibri"/>
          <w:b/>
          <w:bCs/>
          <w:color w:val="1A1A1A"/>
        </w:rPr>
        <w:t>obligations opérationnelles</w:t>
      </w:r>
      <w:r>
        <w:rPr>
          <w:rFonts w:ascii="Calibri" w:eastAsia="Calibri" w:hAnsi="Calibri" w:cs="Calibri"/>
          <w:color w:val="1A1A1A"/>
        </w:rPr>
        <w:t xml:space="preserve"> de protection.</w:t>
      </w:r>
    </w:p>
    <w:p w14:paraId="54C94086" w14:textId="77777777" w:rsidR="004A4E1F" w:rsidRDefault="00000000">
      <w:pPr>
        <w:pStyle w:val="Titre3"/>
        <w:spacing w:before="200" w:after="90"/>
      </w:pPr>
      <w:r>
        <w:rPr>
          <w:rFonts w:ascii="Calibri" w:eastAsia="Calibri" w:hAnsi="Calibri" w:cs="Calibri"/>
          <w:b/>
          <w:bCs/>
          <w:i/>
          <w:iCs/>
          <w:color w:val="5A5A5A"/>
          <w:sz w:val="21"/>
          <w:szCs w:val="21"/>
        </w:rPr>
        <w:t>Deux matrices de plan</w:t>
      </w:r>
    </w:p>
    <w:p w14:paraId="47BD484B"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Sujet « Commentaire de CEDH, V.C.L. et A.N. c. Royaume-Uni »</w:t>
      </w:r>
      <w:r>
        <w:rPr>
          <w:rFonts w:ascii="Calibri" w:eastAsia="Calibri" w:hAnsi="Calibri" w:cs="Calibri"/>
          <w:color w:val="1A1A1A"/>
        </w:rPr>
        <w:t xml:space="preserve"> — </w:t>
      </w:r>
      <w:r>
        <w:rPr>
          <w:rFonts w:ascii="Calibri" w:eastAsia="Calibri" w:hAnsi="Calibri" w:cs="Calibri"/>
          <w:b/>
          <w:bCs/>
          <w:color w:val="1A1A1A"/>
        </w:rPr>
        <w:t>I. La réaffirmation du cadre protecteur relatif à la traite</w:t>
      </w:r>
      <w:r>
        <w:rPr>
          <w:rFonts w:ascii="Calibri" w:eastAsia="Calibri" w:hAnsi="Calibri" w:cs="Calibri"/>
          <w:color w:val="1A1A1A"/>
        </w:rPr>
        <w:t xml:space="preserve"> (A. Un cadre protecteur étendu : interprétation du but et de l’objet de l’</w:t>
      </w:r>
      <w:r>
        <w:rPr>
          <w:rFonts w:ascii="Calibri" w:eastAsia="Calibri" w:hAnsi="Calibri" w:cs="Calibri"/>
          <w:color w:val="1E88E5"/>
        </w:rPr>
        <w:t>art. 4</w:t>
      </w:r>
      <w:r>
        <w:rPr>
          <w:rFonts w:ascii="Calibri" w:eastAsia="Calibri" w:hAnsi="Calibri" w:cs="Calibri"/>
          <w:color w:val="1A1A1A"/>
        </w:rPr>
        <w:t xml:space="preserve">, critères acte / moyen / but, le « moyen » n’étant pas requis pour les mineurs ; B. L’existence d’obligations de protection de la victime : motifs raisonnables, connaissance des autorités, minorité comme élément d’adaptation) / </w:t>
      </w:r>
      <w:r>
        <w:rPr>
          <w:rFonts w:ascii="Calibri" w:eastAsia="Calibri" w:hAnsi="Calibri" w:cs="Calibri"/>
          <w:b/>
          <w:bCs/>
          <w:color w:val="1A1A1A"/>
        </w:rPr>
        <w:t>II. La recherche d’un équilibre entre l’action de l’État et la protection de l’individu</w:t>
      </w:r>
      <w:r>
        <w:rPr>
          <w:rFonts w:ascii="Calibri" w:eastAsia="Calibri" w:hAnsi="Calibri" w:cs="Calibri"/>
          <w:color w:val="1A1A1A"/>
        </w:rPr>
        <w:t xml:space="preserve"> (A. La criminalisation de la victime de traite : non-condamnation sur ce fondement mais sur le non-respect du devoir d’assistance ; B. La critique du refus de coopération entre organes compétents : défaillance du système judiciaire).</w:t>
      </w:r>
    </w:p>
    <w:p w14:paraId="438B4980"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Sujet « Les obligations positives en matière d’exploitation »</w:t>
      </w:r>
      <w:r>
        <w:rPr>
          <w:rFonts w:ascii="Calibri" w:eastAsia="Calibri" w:hAnsi="Calibri" w:cs="Calibri"/>
          <w:color w:val="1A1A1A"/>
        </w:rPr>
        <w:t xml:space="preserve"> — </w:t>
      </w:r>
      <w:r>
        <w:rPr>
          <w:rFonts w:ascii="Calibri" w:eastAsia="Calibri" w:hAnsi="Calibri" w:cs="Calibri"/>
          <w:b/>
          <w:bCs/>
          <w:color w:val="1A1A1A"/>
        </w:rPr>
        <w:t>I. Prévenir et réprimer</w:t>
      </w:r>
      <w:r>
        <w:rPr>
          <w:rFonts w:ascii="Calibri" w:eastAsia="Calibri" w:hAnsi="Calibri" w:cs="Calibri"/>
          <w:color w:val="1A1A1A"/>
        </w:rPr>
        <w:t xml:space="preserve"> (A. L’obligation de prévention : cadres législatifs et administratifs appropriés, approche globale en triptyque du Protocole de Palerme ; B. La criminalisation effective : </w:t>
      </w:r>
      <w:r>
        <w:rPr>
          <w:rFonts w:ascii="Calibri" w:eastAsia="Calibri" w:hAnsi="Calibri" w:cs="Calibri"/>
          <w:color w:val="E91E63"/>
        </w:rPr>
        <w:t>Siliadin</w:t>
      </w:r>
      <w:r>
        <w:rPr>
          <w:rFonts w:ascii="Calibri" w:eastAsia="Calibri" w:hAnsi="Calibri" w:cs="Calibri"/>
          <w:color w:val="1A1A1A"/>
        </w:rPr>
        <w:t xml:space="preserve">, </w:t>
      </w:r>
      <w:r>
        <w:rPr>
          <w:rFonts w:ascii="Calibri" w:eastAsia="Calibri" w:hAnsi="Calibri" w:cs="Calibri"/>
          <w:color w:val="E91E63"/>
        </w:rPr>
        <w:t>C.N. et V. c. France</w:t>
      </w:r>
      <w:r>
        <w:rPr>
          <w:rFonts w:ascii="Calibri" w:eastAsia="Calibri" w:hAnsi="Calibri" w:cs="Calibri"/>
          <w:color w:val="1A1A1A"/>
        </w:rPr>
        <w:t xml:space="preserve">) / </w:t>
      </w:r>
      <w:r>
        <w:rPr>
          <w:rFonts w:ascii="Calibri" w:eastAsia="Calibri" w:hAnsi="Calibri" w:cs="Calibri"/>
          <w:b/>
          <w:bCs/>
          <w:color w:val="1A1A1A"/>
        </w:rPr>
        <w:t>II. Protéger et réparer</w:t>
      </w:r>
      <w:r>
        <w:rPr>
          <w:rFonts w:ascii="Calibri" w:eastAsia="Calibri" w:hAnsi="Calibri" w:cs="Calibri"/>
          <w:color w:val="1A1A1A"/>
        </w:rPr>
        <w:t xml:space="preserve"> (A. Les mesures opérationnelles et l’enquête </w:t>
      </w:r>
      <w:r>
        <w:rPr>
          <w:rFonts w:ascii="Calibri" w:eastAsia="Calibri" w:hAnsi="Calibri" w:cs="Calibri"/>
          <w:i/>
          <w:iCs/>
          <w:color w:val="1A1A1A"/>
        </w:rPr>
        <w:t>propio motu</w:t>
      </w:r>
      <w:r>
        <w:rPr>
          <w:rFonts w:ascii="Calibri" w:eastAsia="Calibri" w:hAnsi="Calibri" w:cs="Calibri"/>
          <w:color w:val="1A1A1A"/>
        </w:rPr>
        <w:t xml:space="preserve"> ; B. Le droit à réparation et à la réinsertion sociale).</w:t>
      </w:r>
    </w:p>
    <w:p w14:paraId="518F8EB0" w14:textId="77777777" w:rsidR="004A4E1F" w:rsidRDefault="00000000">
      <w:pPr>
        <w:pStyle w:val="Titre3"/>
        <w:spacing w:before="200" w:after="90"/>
      </w:pPr>
      <w:r>
        <w:rPr>
          <w:rFonts w:ascii="Calibri" w:eastAsia="Calibri" w:hAnsi="Calibri" w:cs="Calibri"/>
          <w:b/>
          <w:bCs/>
          <w:i/>
          <w:iCs/>
          <w:color w:val="5A5A5A"/>
          <w:sz w:val="21"/>
          <w:szCs w:val="21"/>
        </w:rPr>
        <w:t>Trois pièges</w:t>
      </w:r>
    </w:p>
    <w:p w14:paraId="0B61D1F4"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lastRenderedPageBreak/>
        <w:t>Le travail forcé est le seul des quatre qui ne soit pas absolu</w:t>
      </w:r>
      <w:r>
        <w:rPr>
          <w:rFonts w:ascii="Calibri" w:eastAsia="Calibri" w:hAnsi="Calibri" w:cs="Calibri"/>
          <w:color w:val="1A1A1A"/>
        </w:rPr>
        <w:t xml:space="preserve"> : il connaît des exceptions — travaux réalisés dans le cadre des </w:t>
      </w:r>
      <w:r>
        <w:rPr>
          <w:rFonts w:ascii="Calibri" w:eastAsia="Calibri" w:hAnsi="Calibri" w:cs="Calibri"/>
          <w:b/>
          <w:bCs/>
          <w:color w:val="1A1A1A"/>
        </w:rPr>
        <w:t>obligations civiques</w:t>
      </w:r>
      <w:r>
        <w:rPr>
          <w:rFonts w:ascii="Calibri" w:eastAsia="Calibri" w:hAnsi="Calibri" w:cs="Calibri"/>
          <w:color w:val="1A1A1A"/>
        </w:rPr>
        <w:t xml:space="preserve">, pendant les </w:t>
      </w:r>
      <w:r>
        <w:rPr>
          <w:rFonts w:ascii="Calibri" w:eastAsia="Calibri" w:hAnsi="Calibri" w:cs="Calibri"/>
          <w:b/>
          <w:bCs/>
          <w:color w:val="1A1A1A"/>
        </w:rPr>
        <w:t>détentions</w:t>
      </w:r>
      <w:r>
        <w:rPr>
          <w:rFonts w:ascii="Calibri" w:eastAsia="Calibri" w:hAnsi="Calibri" w:cs="Calibri"/>
          <w:color w:val="1A1A1A"/>
        </w:rPr>
        <w:t xml:space="preserve">, dans le cadre de </w:t>
      </w:r>
      <w:r>
        <w:rPr>
          <w:rFonts w:ascii="Calibri" w:eastAsia="Calibri" w:hAnsi="Calibri" w:cs="Calibri"/>
          <w:b/>
          <w:bCs/>
          <w:color w:val="1A1A1A"/>
        </w:rPr>
        <w:t>travaux d’intérêt général</w:t>
      </w:r>
      <w:r>
        <w:rPr>
          <w:rFonts w:ascii="Calibri" w:eastAsia="Calibri" w:hAnsi="Calibri" w:cs="Calibri"/>
          <w:color w:val="1A1A1A"/>
        </w:rPr>
        <w:t xml:space="preserve">, ou en cas de </w:t>
      </w:r>
      <w:r>
        <w:rPr>
          <w:rFonts w:ascii="Calibri" w:eastAsia="Calibri" w:hAnsi="Calibri" w:cs="Calibri"/>
          <w:b/>
          <w:bCs/>
          <w:color w:val="1A1A1A"/>
        </w:rPr>
        <w:t>force majeure</w:t>
      </w:r>
      <w:r>
        <w:rPr>
          <w:rFonts w:ascii="Calibri" w:eastAsia="Calibri" w:hAnsi="Calibri" w:cs="Calibri"/>
          <w:color w:val="1A1A1A"/>
        </w:rPr>
        <w:t xml:space="preserve"> (catastrophe naturelle, guerre, calamités ou crises nationales), dans la limite du raisonnable.</w:t>
      </w:r>
    </w:p>
    <w:p w14:paraId="42C03337"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Le consentement de la victime est indifférent</w:t>
      </w:r>
      <w:r>
        <w:rPr>
          <w:rFonts w:ascii="Calibri" w:eastAsia="Calibri" w:hAnsi="Calibri" w:cs="Calibri"/>
          <w:color w:val="1A1A1A"/>
        </w:rPr>
        <w:t xml:space="preserve"> dès lors que l’un des moyens listés a été employé (</w:t>
      </w:r>
      <w:r>
        <w:rPr>
          <w:rFonts w:ascii="Calibri" w:eastAsia="Calibri" w:hAnsi="Calibri" w:cs="Calibri"/>
          <w:color w:val="1E88E5"/>
        </w:rPr>
        <w:t>art. 4 de la Convention anti-traite</w:t>
      </w:r>
      <w:r>
        <w:rPr>
          <w:rFonts w:ascii="Calibri" w:eastAsia="Calibri" w:hAnsi="Calibri" w:cs="Calibri"/>
          <w:color w:val="1A1A1A"/>
        </w:rPr>
        <w:t xml:space="preserve">) ; et pour les </w:t>
      </w:r>
      <w:r>
        <w:rPr>
          <w:rFonts w:ascii="Calibri" w:eastAsia="Calibri" w:hAnsi="Calibri" w:cs="Calibri"/>
          <w:b/>
          <w:bCs/>
          <w:color w:val="1A1A1A"/>
        </w:rPr>
        <w:t>mineurs</w:t>
      </w:r>
      <w:r>
        <w:rPr>
          <w:rFonts w:ascii="Calibri" w:eastAsia="Calibri" w:hAnsi="Calibri" w:cs="Calibri"/>
          <w:color w:val="1A1A1A"/>
        </w:rPr>
        <w:t xml:space="preserve">, le critère du « moyen » n’est </w:t>
      </w:r>
      <w:r>
        <w:rPr>
          <w:rFonts w:ascii="Calibri" w:eastAsia="Calibri" w:hAnsi="Calibri" w:cs="Calibri"/>
          <w:b/>
          <w:bCs/>
          <w:color w:val="1A1A1A"/>
        </w:rPr>
        <w:t>pas requis</w:t>
      </w:r>
      <w:r>
        <w:rPr>
          <w:rFonts w:ascii="Calibri" w:eastAsia="Calibri" w:hAnsi="Calibri" w:cs="Calibri"/>
          <w:color w:val="1A1A1A"/>
        </w:rPr>
        <w:t xml:space="preserve"> — il est remplacé par la situation de dépendance et de vulnérabilité inhérente au mineur.</w:t>
      </w:r>
    </w:p>
    <w:p w14:paraId="627999F3"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L’obligation d’enquêter n’est pas subordonnée au dépôt d’une plainte</w:t>
      </w:r>
      <w:r>
        <w:rPr>
          <w:rFonts w:ascii="Calibri" w:eastAsia="Calibri" w:hAnsi="Calibri" w:cs="Calibri"/>
          <w:color w:val="1A1A1A"/>
        </w:rPr>
        <w:t xml:space="preserve"> : les autorités doivent agir </w:t>
      </w:r>
      <w:r>
        <w:rPr>
          <w:rFonts w:ascii="Calibri" w:eastAsia="Calibri" w:hAnsi="Calibri" w:cs="Calibri"/>
          <w:i/>
          <w:iCs/>
          <w:color w:val="1A1A1A"/>
        </w:rPr>
        <w:t>propio motu</w:t>
      </w:r>
      <w:r>
        <w:rPr>
          <w:rFonts w:ascii="Calibri" w:eastAsia="Calibri" w:hAnsi="Calibri" w:cs="Calibri"/>
          <w:color w:val="1A1A1A"/>
        </w:rPr>
        <w:t xml:space="preserve"> dès que des éléments pouvant indiquer l’existence d’une exploitation leur ont été transmis. C’est une obligation de </w:t>
      </w:r>
      <w:r>
        <w:rPr>
          <w:rFonts w:ascii="Calibri" w:eastAsia="Calibri" w:hAnsi="Calibri" w:cs="Calibri"/>
          <w:b/>
          <w:bCs/>
          <w:color w:val="1A1A1A"/>
        </w:rPr>
        <w:t>moyen</w:t>
      </w:r>
      <w:r>
        <w:rPr>
          <w:rFonts w:ascii="Calibri" w:eastAsia="Calibri" w:hAnsi="Calibri" w:cs="Calibri"/>
          <w:color w:val="1A1A1A"/>
        </w:rPr>
        <w:t>, valable tant pour les agents de l’État que pour les particuliers.</w:t>
      </w:r>
    </w:p>
    <w:p w14:paraId="6E13D85D" w14:textId="77777777" w:rsidR="004A4E1F" w:rsidRDefault="00000000">
      <w:r>
        <w:br w:type="page"/>
      </w:r>
    </w:p>
    <w:p w14:paraId="0A6066DE" w14:textId="77777777" w:rsidR="004A4E1F" w:rsidRDefault="00000000">
      <w:pPr>
        <w:pStyle w:val="Titre2"/>
        <w:spacing w:before="280" w:after="120"/>
      </w:pPr>
      <w:r>
        <w:rPr>
          <w:rFonts w:ascii="Calibri" w:eastAsia="Calibri" w:hAnsi="Calibri" w:cs="Calibri"/>
          <w:b/>
          <w:bCs/>
          <w:color w:val="1A1A1A"/>
          <w:sz w:val="24"/>
          <w:szCs w:val="24"/>
        </w:rPr>
        <w:lastRenderedPageBreak/>
        <w:t>1. Architecture textuelle</w:t>
      </w:r>
    </w:p>
    <w:p w14:paraId="2F570886" w14:textId="77777777" w:rsidR="004A4E1F" w:rsidRDefault="00000000">
      <w:pPr>
        <w:pStyle w:val="Paragraphedeliste"/>
        <w:numPr>
          <w:ilvl w:val="0"/>
          <w:numId w:val="2"/>
        </w:numPr>
        <w:spacing w:after="70" w:line="264" w:lineRule="auto"/>
        <w:jc w:val="both"/>
      </w:pPr>
      <w:r>
        <w:rPr>
          <w:rFonts w:ascii="Calibri" w:eastAsia="Calibri" w:hAnsi="Calibri" w:cs="Calibri"/>
          <w:color w:val="1E88E5"/>
        </w:rPr>
        <w:t>Art. 4 de la DUDH</w:t>
      </w:r>
      <w:r>
        <w:rPr>
          <w:rFonts w:ascii="Calibri" w:eastAsia="Calibri" w:hAnsi="Calibri" w:cs="Calibri"/>
          <w:color w:val="1A1A1A"/>
        </w:rPr>
        <w:t xml:space="preserve"> ; </w:t>
      </w:r>
      <w:r>
        <w:rPr>
          <w:rFonts w:ascii="Calibri" w:eastAsia="Calibri" w:hAnsi="Calibri" w:cs="Calibri"/>
          <w:color w:val="1E88E5"/>
        </w:rPr>
        <w:t>art. 8 du PIDCP</w:t>
      </w:r>
      <w:r>
        <w:rPr>
          <w:rFonts w:ascii="Calibri" w:eastAsia="Calibri" w:hAnsi="Calibri" w:cs="Calibri"/>
          <w:color w:val="1A1A1A"/>
        </w:rPr>
        <w:t xml:space="preserve"> ; </w:t>
      </w:r>
      <w:r>
        <w:rPr>
          <w:rFonts w:ascii="Calibri" w:eastAsia="Calibri" w:hAnsi="Calibri" w:cs="Calibri"/>
          <w:color w:val="1E88E5"/>
        </w:rPr>
        <w:t>art. 4 de la Convention européenne</w:t>
      </w:r>
      <w:r>
        <w:rPr>
          <w:rFonts w:ascii="Calibri" w:eastAsia="Calibri" w:hAnsi="Calibri" w:cs="Calibri"/>
          <w:color w:val="1A1A1A"/>
        </w:rPr>
        <w:t xml:space="preserve"> ; </w:t>
      </w:r>
      <w:r>
        <w:rPr>
          <w:rFonts w:ascii="Calibri" w:eastAsia="Calibri" w:hAnsi="Calibri" w:cs="Calibri"/>
          <w:color w:val="1E88E5"/>
        </w:rPr>
        <w:t>art. 5 § 3 de la Charte des droits fondamentaux</w:t>
      </w:r>
      <w:r>
        <w:rPr>
          <w:rFonts w:ascii="Calibri" w:eastAsia="Calibri" w:hAnsi="Calibri" w:cs="Calibri"/>
          <w:color w:val="1A1A1A"/>
        </w:rPr>
        <w:t xml:space="preserve"> ; </w:t>
      </w:r>
      <w:r>
        <w:rPr>
          <w:rFonts w:ascii="Calibri" w:eastAsia="Calibri" w:hAnsi="Calibri" w:cs="Calibri"/>
          <w:color w:val="1E88E5"/>
        </w:rPr>
        <w:t>Convention pour la répression de la traite des êtres humains et de l’exploitation de la prostitution d’autrui (1949)</w:t>
      </w:r>
      <w:r>
        <w:rPr>
          <w:rFonts w:ascii="Calibri" w:eastAsia="Calibri" w:hAnsi="Calibri" w:cs="Calibri"/>
          <w:color w:val="1A1A1A"/>
        </w:rPr>
        <w:t xml:space="preserve"> ; </w:t>
      </w:r>
      <w:r>
        <w:rPr>
          <w:rFonts w:ascii="Calibri" w:eastAsia="Calibri" w:hAnsi="Calibri" w:cs="Calibri"/>
          <w:color w:val="1E88E5"/>
        </w:rPr>
        <w:t>Convention relative aux droits de l’enfant (1989)</w:t>
      </w:r>
      <w:r>
        <w:rPr>
          <w:rFonts w:ascii="Calibri" w:eastAsia="Calibri" w:hAnsi="Calibri" w:cs="Calibri"/>
          <w:color w:val="1A1A1A"/>
        </w:rPr>
        <w:t xml:space="preserve"> et son </w:t>
      </w:r>
      <w:r>
        <w:rPr>
          <w:rFonts w:ascii="Calibri" w:eastAsia="Calibri" w:hAnsi="Calibri" w:cs="Calibri"/>
          <w:color w:val="1E88E5"/>
        </w:rPr>
        <w:t>Protocole facultatif concernant la vente d’enfants, la prostitution des enfants et la pornographie mettant en scène des enfants (2000)</w:t>
      </w:r>
      <w:r>
        <w:rPr>
          <w:rFonts w:ascii="Calibri" w:eastAsia="Calibri" w:hAnsi="Calibri" w:cs="Calibri"/>
          <w:color w:val="1A1A1A"/>
        </w:rPr>
        <w:t xml:space="preserve"> ; </w:t>
      </w:r>
      <w:r>
        <w:rPr>
          <w:rFonts w:ascii="Calibri" w:eastAsia="Calibri" w:hAnsi="Calibri" w:cs="Calibri"/>
          <w:color w:val="1E88E5"/>
        </w:rPr>
        <w:t>Protocole additionnel à la Convention des Nations unies contre la criminalité transnationale organisée visant à prévenir, réprimer et punir la traite des personnes, en particulier des femmes et des enfants (Protocole de Palerme, 2000)</w:t>
      </w:r>
      <w:r>
        <w:rPr>
          <w:rFonts w:ascii="Calibri" w:eastAsia="Calibri" w:hAnsi="Calibri" w:cs="Calibri"/>
          <w:color w:val="1A1A1A"/>
        </w:rPr>
        <w:t xml:space="preserve"> ; </w:t>
      </w:r>
      <w:r>
        <w:rPr>
          <w:rFonts w:ascii="Calibri" w:eastAsia="Calibri" w:hAnsi="Calibri" w:cs="Calibri"/>
          <w:color w:val="1E88E5"/>
        </w:rPr>
        <w:t>Convention du Conseil de l’Europe sur la lutte contre la traite des êtres humains (2005)</w:t>
      </w:r>
      <w:r>
        <w:rPr>
          <w:rFonts w:ascii="Calibri" w:eastAsia="Calibri" w:hAnsi="Calibri" w:cs="Calibri"/>
          <w:color w:val="1A1A1A"/>
        </w:rPr>
        <w:t xml:space="preserve">, ouverte à la signature le 16 mai 2005 et ratifiée par la France le 1er février 2008 ; </w:t>
      </w:r>
      <w:r>
        <w:rPr>
          <w:rFonts w:ascii="Calibri" w:eastAsia="Calibri" w:hAnsi="Calibri" w:cs="Calibri"/>
          <w:color w:val="1E88E5"/>
        </w:rPr>
        <w:t>directive 2011/36/UE</w:t>
      </w:r>
      <w:r>
        <w:rPr>
          <w:rFonts w:ascii="Calibri" w:eastAsia="Calibri" w:hAnsi="Calibri" w:cs="Calibri"/>
          <w:color w:val="1A1A1A"/>
        </w:rPr>
        <w:t xml:space="preserve"> et </w:t>
      </w:r>
      <w:r>
        <w:rPr>
          <w:rFonts w:ascii="Calibri" w:eastAsia="Calibri" w:hAnsi="Calibri" w:cs="Calibri"/>
          <w:color w:val="1E88E5"/>
        </w:rPr>
        <w:t>directive 2024/1712 du 13 juin 2024</w:t>
      </w:r>
      <w:r>
        <w:rPr>
          <w:rFonts w:ascii="Calibri" w:eastAsia="Calibri" w:hAnsi="Calibri" w:cs="Calibri"/>
          <w:color w:val="1A1A1A"/>
        </w:rPr>
        <w:t>.</w:t>
      </w:r>
    </w:p>
    <w:p w14:paraId="38EEC729"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Droit français</w:t>
      </w:r>
      <w:r>
        <w:rPr>
          <w:rFonts w:ascii="Calibri" w:eastAsia="Calibri" w:hAnsi="Calibri" w:cs="Calibri"/>
          <w:color w:val="1A1A1A"/>
        </w:rPr>
        <w:t xml:space="preserve"> : </w:t>
      </w:r>
      <w:r>
        <w:rPr>
          <w:rFonts w:ascii="Calibri" w:eastAsia="Calibri" w:hAnsi="Calibri" w:cs="Calibri"/>
          <w:color w:val="1E88E5"/>
        </w:rPr>
        <w:t>loi du 13 avril 2016 visant à renforcer la lutte contre le système prostitutionnel</w:t>
      </w:r>
      <w:r>
        <w:rPr>
          <w:rFonts w:ascii="Calibri" w:eastAsia="Calibri" w:hAnsi="Calibri" w:cs="Calibri"/>
          <w:color w:val="1A1A1A"/>
        </w:rPr>
        <w:t xml:space="preserve"> ; </w:t>
      </w:r>
      <w:r>
        <w:rPr>
          <w:rFonts w:ascii="Calibri" w:eastAsia="Calibri" w:hAnsi="Calibri" w:cs="Calibri"/>
          <w:color w:val="1E88E5"/>
        </w:rPr>
        <w:t>loi du 27 mars 2017 relative au devoir de vigilance</w:t>
      </w:r>
      <w:r>
        <w:rPr>
          <w:rFonts w:ascii="Calibri" w:eastAsia="Calibri" w:hAnsi="Calibri" w:cs="Calibri"/>
          <w:color w:val="1A1A1A"/>
        </w:rPr>
        <w:t xml:space="preserve"> ; </w:t>
      </w:r>
      <w:r>
        <w:rPr>
          <w:rFonts w:ascii="Calibri" w:eastAsia="Calibri" w:hAnsi="Calibri" w:cs="Calibri"/>
          <w:color w:val="1E88E5"/>
        </w:rPr>
        <w:t>loi du 21 avril 2021 visant à protéger les mineurs des crimes et délits sexuels et de l’inceste</w:t>
      </w:r>
      <w:r>
        <w:rPr>
          <w:rFonts w:ascii="Calibri" w:eastAsia="Calibri" w:hAnsi="Calibri" w:cs="Calibri"/>
          <w:color w:val="1A1A1A"/>
        </w:rPr>
        <w:t xml:space="preserve"> ; </w:t>
      </w:r>
      <w:r>
        <w:rPr>
          <w:rFonts w:ascii="Calibri" w:eastAsia="Calibri" w:hAnsi="Calibri" w:cs="Calibri"/>
          <w:color w:val="1E88E5"/>
        </w:rPr>
        <w:t>art. 224-1 A, B et C du Code pénal</w:t>
      </w:r>
      <w:r>
        <w:rPr>
          <w:rFonts w:ascii="Calibri" w:eastAsia="Calibri" w:hAnsi="Calibri" w:cs="Calibri"/>
          <w:color w:val="1A1A1A"/>
        </w:rPr>
        <w:t xml:space="preserve"> (esclavage et exploitation) ; </w:t>
      </w:r>
      <w:r>
        <w:rPr>
          <w:rFonts w:ascii="Calibri" w:eastAsia="Calibri" w:hAnsi="Calibri" w:cs="Calibri"/>
          <w:color w:val="1E88E5"/>
        </w:rPr>
        <w:t>art. 225-14-1</w:t>
      </w:r>
      <w:r>
        <w:rPr>
          <w:rFonts w:ascii="Calibri" w:eastAsia="Calibri" w:hAnsi="Calibri" w:cs="Calibri"/>
          <w:color w:val="1A1A1A"/>
        </w:rPr>
        <w:t xml:space="preserve"> (travail forcé) ; </w:t>
      </w:r>
      <w:r>
        <w:rPr>
          <w:rFonts w:ascii="Calibri" w:eastAsia="Calibri" w:hAnsi="Calibri" w:cs="Calibri"/>
          <w:color w:val="1E88E5"/>
        </w:rPr>
        <w:t>art. 225-14-2</w:t>
      </w:r>
      <w:r>
        <w:rPr>
          <w:rFonts w:ascii="Calibri" w:eastAsia="Calibri" w:hAnsi="Calibri" w:cs="Calibri"/>
          <w:color w:val="1A1A1A"/>
        </w:rPr>
        <w:t xml:space="preserve"> (exploitation aggravée) ; </w:t>
      </w:r>
      <w:r>
        <w:rPr>
          <w:rFonts w:ascii="Calibri" w:eastAsia="Calibri" w:hAnsi="Calibri" w:cs="Calibri"/>
          <w:color w:val="1E88E5"/>
        </w:rPr>
        <w:t>art. 225-4-1</w:t>
      </w:r>
      <w:r>
        <w:rPr>
          <w:rFonts w:ascii="Calibri" w:eastAsia="Calibri" w:hAnsi="Calibri" w:cs="Calibri"/>
          <w:color w:val="1A1A1A"/>
        </w:rPr>
        <w:t xml:space="preserve"> (traite) ; incriminations spécifiques — prostitution (</w:t>
      </w:r>
      <w:r>
        <w:rPr>
          <w:rFonts w:ascii="Calibri" w:eastAsia="Calibri" w:hAnsi="Calibri" w:cs="Calibri"/>
          <w:color w:val="1E88E5"/>
        </w:rPr>
        <w:t>art. 225-12-1 à 225-12-4</w:t>
      </w:r>
      <w:r>
        <w:rPr>
          <w:rFonts w:ascii="Calibri" w:eastAsia="Calibri" w:hAnsi="Calibri" w:cs="Calibri"/>
          <w:color w:val="1A1A1A"/>
        </w:rPr>
        <w:t>), mendicité (</w:t>
      </w:r>
      <w:r>
        <w:rPr>
          <w:rFonts w:ascii="Calibri" w:eastAsia="Calibri" w:hAnsi="Calibri" w:cs="Calibri"/>
          <w:color w:val="1E88E5"/>
        </w:rPr>
        <w:t>art. 225-12-6 à 225-12-7</w:t>
      </w:r>
      <w:r>
        <w:rPr>
          <w:rFonts w:ascii="Calibri" w:eastAsia="Calibri" w:hAnsi="Calibri" w:cs="Calibri"/>
          <w:color w:val="1A1A1A"/>
        </w:rPr>
        <w:t>), vente à la sauvette (</w:t>
      </w:r>
      <w:r>
        <w:rPr>
          <w:rFonts w:ascii="Calibri" w:eastAsia="Calibri" w:hAnsi="Calibri" w:cs="Calibri"/>
          <w:color w:val="1E88E5"/>
        </w:rPr>
        <w:t>art. 225-12-8 à 225-12-10</w:t>
      </w:r>
      <w:r>
        <w:rPr>
          <w:rFonts w:ascii="Calibri" w:eastAsia="Calibri" w:hAnsi="Calibri" w:cs="Calibri"/>
          <w:color w:val="1A1A1A"/>
        </w:rPr>
        <w:t>) ; aggravation en cas de minorité (</w:t>
      </w:r>
      <w:r>
        <w:rPr>
          <w:rFonts w:ascii="Calibri" w:eastAsia="Calibri" w:hAnsi="Calibri" w:cs="Calibri"/>
          <w:color w:val="1E88E5"/>
        </w:rPr>
        <w:t>art. 225-15</w:t>
      </w:r>
      <w:r>
        <w:rPr>
          <w:rFonts w:ascii="Calibri" w:eastAsia="Calibri" w:hAnsi="Calibri" w:cs="Calibri"/>
          <w:color w:val="1A1A1A"/>
        </w:rPr>
        <w:t xml:space="preserve">, </w:t>
      </w:r>
      <w:r>
        <w:rPr>
          <w:rFonts w:ascii="Calibri" w:eastAsia="Calibri" w:hAnsi="Calibri" w:cs="Calibri"/>
          <w:color w:val="1E88E5"/>
        </w:rPr>
        <w:t>225-12-1 et s.</w:t>
      </w:r>
      <w:r>
        <w:rPr>
          <w:rFonts w:ascii="Calibri" w:eastAsia="Calibri" w:hAnsi="Calibri" w:cs="Calibri"/>
          <w:color w:val="1A1A1A"/>
        </w:rPr>
        <w:t xml:space="preserve">, </w:t>
      </w:r>
      <w:r>
        <w:rPr>
          <w:rFonts w:ascii="Calibri" w:eastAsia="Calibri" w:hAnsi="Calibri" w:cs="Calibri"/>
          <w:color w:val="1E88E5"/>
        </w:rPr>
        <w:t>225-12-6</w:t>
      </w:r>
      <w:r>
        <w:rPr>
          <w:rFonts w:ascii="Calibri" w:eastAsia="Calibri" w:hAnsi="Calibri" w:cs="Calibri"/>
          <w:color w:val="1A1A1A"/>
        </w:rPr>
        <w:t xml:space="preserve">, </w:t>
      </w:r>
      <w:r>
        <w:rPr>
          <w:rFonts w:ascii="Calibri" w:eastAsia="Calibri" w:hAnsi="Calibri" w:cs="Calibri"/>
          <w:color w:val="1E88E5"/>
        </w:rPr>
        <w:t>225-12-9</w:t>
      </w:r>
      <w:r>
        <w:rPr>
          <w:rFonts w:ascii="Calibri" w:eastAsia="Calibri" w:hAnsi="Calibri" w:cs="Calibri"/>
          <w:color w:val="1A1A1A"/>
        </w:rPr>
        <w:t xml:space="preserve">, </w:t>
      </w:r>
      <w:r>
        <w:rPr>
          <w:rFonts w:ascii="Calibri" w:eastAsia="Calibri" w:hAnsi="Calibri" w:cs="Calibri"/>
          <w:color w:val="1E88E5"/>
        </w:rPr>
        <w:t>225-4-1 II</w:t>
      </w:r>
      <w:r>
        <w:rPr>
          <w:rFonts w:ascii="Calibri" w:eastAsia="Calibri" w:hAnsi="Calibri" w:cs="Calibri"/>
          <w:color w:val="1A1A1A"/>
        </w:rPr>
        <w:t>).</w:t>
      </w:r>
    </w:p>
    <w:p w14:paraId="3B5B3880"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Le mécanisme de suivi</w:t>
      </w:r>
      <w:r>
        <w:rPr>
          <w:rFonts w:ascii="Calibri" w:eastAsia="Calibri" w:hAnsi="Calibri" w:cs="Calibri"/>
          <w:color w:val="1A1A1A"/>
        </w:rPr>
        <w:t xml:space="preserve"> : le </w:t>
      </w:r>
      <w:r>
        <w:rPr>
          <w:rFonts w:ascii="Calibri" w:eastAsia="Calibri" w:hAnsi="Calibri" w:cs="Calibri"/>
          <w:b/>
          <w:bCs/>
          <w:color w:val="1A1A1A"/>
        </w:rPr>
        <w:t>GRETA</w:t>
      </w:r>
      <w:r>
        <w:rPr>
          <w:rFonts w:ascii="Calibri" w:eastAsia="Calibri" w:hAnsi="Calibri" w:cs="Calibri"/>
          <w:color w:val="1A1A1A"/>
        </w:rPr>
        <w:t xml:space="preserve"> (Groupe d’experts sur la lutte contre la traite des êtres humains) contrôle le respect de l’application de la Convention du Conseil de l’Europe en présentant des rapports de mise en œuvre par cycles d’évaluation. ★ </w:t>
      </w:r>
      <w:r w:rsidRPr="00057F55">
        <w:rPr>
          <w:rFonts w:ascii="Calibri" w:eastAsia="Calibri" w:hAnsi="Calibri" w:cs="Calibri"/>
          <w:b/>
          <w:bCs/>
          <w:color w:val="1A1A1A"/>
          <w:highlight w:val="yellow"/>
        </w:rPr>
        <w:t>Actualité</w:t>
      </w:r>
      <w:r>
        <w:rPr>
          <w:rFonts w:ascii="Calibri" w:eastAsia="Calibri" w:hAnsi="Calibri" w:cs="Calibri"/>
          <w:color w:val="1A1A1A"/>
        </w:rPr>
        <w:t xml:space="preserve"> : dans son quatrième rapport consacré à la France, publié le </w:t>
      </w:r>
      <w:r w:rsidRPr="00057F55">
        <w:rPr>
          <w:rFonts w:ascii="Calibri" w:eastAsia="Calibri" w:hAnsi="Calibri" w:cs="Calibri"/>
          <w:b/>
          <w:bCs/>
          <w:color w:val="1A1A1A"/>
          <w:highlight w:val="yellow"/>
        </w:rPr>
        <w:t>25 juin 2026</w:t>
      </w:r>
      <w:r>
        <w:rPr>
          <w:rFonts w:ascii="Calibri" w:eastAsia="Calibri" w:hAnsi="Calibri" w:cs="Calibri"/>
          <w:color w:val="1A1A1A"/>
        </w:rPr>
        <w:t xml:space="preserve">, le GRETA relève une progression du nombre de victimes identifiées — de </w:t>
      </w:r>
      <w:r>
        <w:rPr>
          <w:rFonts w:ascii="Calibri" w:eastAsia="Calibri" w:hAnsi="Calibri" w:cs="Calibri"/>
          <w:b/>
          <w:bCs/>
          <w:color w:val="1A1A1A"/>
        </w:rPr>
        <w:t>331 en 2021 à 442 en 2024</w:t>
      </w:r>
      <w:r>
        <w:rPr>
          <w:rFonts w:ascii="Calibri" w:eastAsia="Calibri" w:hAnsi="Calibri" w:cs="Calibri"/>
          <w:color w:val="1A1A1A"/>
        </w:rPr>
        <w:t xml:space="preserve"> — et appelle la France à renforcer l’identification et la prise en charge des victimes, particulièrement des mineurs, des migrants et des personnes en situation de vulnérabilité, ainsi qu’à intensifier les contrôles dans les secteurs exposés au travail forcé (agriculture, construction, restauration) ; il souligne le rôle croissant des technologies numériques dans le recrutement et l’exploitation des victimes.</w:t>
      </w:r>
    </w:p>
    <w:p w14:paraId="359360B7" w14:textId="77777777" w:rsidR="004A4E1F" w:rsidRDefault="00000000">
      <w:pPr>
        <w:pStyle w:val="Titre2"/>
        <w:spacing w:before="280" w:after="120"/>
      </w:pPr>
      <w:r>
        <w:rPr>
          <w:rFonts w:ascii="Calibri" w:eastAsia="Calibri" w:hAnsi="Calibri" w:cs="Calibri"/>
          <w:b/>
          <w:bCs/>
          <w:color w:val="1A1A1A"/>
          <w:sz w:val="24"/>
          <w:szCs w:val="24"/>
        </w:rPr>
        <w:t>2. Les quatre qualifications</w:t>
      </w:r>
    </w:p>
    <w:p w14:paraId="71F21AA1" w14:textId="77777777" w:rsidR="004A4E1F" w:rsidRDefault="00000000">
      <w:pPr>
        <w:pStyle w:val="Titre3"/>
        <w:spacing w:before="200" w:after="90"/>
      </w:pPr>
      <w:r>
        <w:rPr>
          <w:rFonts w:ascii="Calibri" w:eastAsia="Calibri" w:hAnsi="Calibri" w:cs="Calibri"/>
          <w:b/>
          <w:bCs/>
          <w:i/>
          <w:iCs/>
          <w:color w:val="5A5A5A"/>
          <w:sz w:val="21"/>
          <w:szCs w:val="21"/>
        </w:rPr>
        <w:t>2.1. L’esclavage</w:t>
      </w:r>
    </w:p>
    <w:p w14:paraId="6FF47DA2"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Définition</w:t>
      </w:r>
      <w:r>
        <w:rPr>
          <w:rFonts w:ascii="Calibri" w:eastAsia="Calibri" w:hAnsi="Calibri" w:cs="Calibri"/>
          <w:color w:val="1A1A1A"/>
        </w:rPr>
        <w:t xml:space="preserve"> : </w:t>
      </w:r>
      <w:r>
        <w:rPr>
          <w:rFonts w:ascii="Calibri" w:eastAsia="Calibri" w:hAnsi="Calibri" w:cs="Calibri"/>
          <w:color w:val="1E88E5"/>
        </w:rPr>
        <w:t>art. 1er de la Convention relative à l’interdiction de l’esclavage de 1926</w:t>
      </w:r>
      <w:r>
        <w:rPr>
          <w:rFonts w:ascii="Calibri" w:eastAsia="Calibri" w:hAnsi="Calibri" w:cs="Calibri"/>
          <w:color w:val="1A1A1A"/>
        </w:rPr>
        <w:t xml:space="preserve"> — « </w:t>
      </w:r>
      <w:r>
        <w:rPr>
          <w:rFonts w:ascii="Calibri" w:eastAsia="Calibri" w:hAnsi="Calibri" w:cs="Calibri"/>
          <w:i/>
          <w:iCs/>
          <w:color w:val="1A1A1A"/>
        </w:rPr>
        <w:t>L’esclavage est l’état ou condition d’un individu sur lequel s’exercent les attributs du droit de propriété ou certains d’entre eux</w:t>
      </w:r>
      <w:r>
        <w:rPr>
          <w:rFonts w:ascii="Calibri" w:eastAsia="Calibri" w:hAnsi="Calibri" w:cs="Calibri"/>
          <w:color w:val="1A1A1A"/>
        </w:rPr>
        <w:t xml:space="preserve"> », définition reprise en termes similaires à l’</w:t>
      </w:r>
      <w:r>
        <w:rPr>
          <w:rFonts w:ascii="Calibri" w:eastAsia="Calibri" w:hAnsi="Calibri" w:cs="Calibri"/>
          <w:color w:val="1E88E5"/>
        </w:rPr>
        <w:t>art. 224-1 A du Code pénal</w:t>
      </w:r>
      <w:r>
        <w:rPr>
          <w:rFonts w:ascii="Calibri" w:eastAsia="Calibri" w:hAnsi="Calibri" w:cs="Calibri"/>
          <w:color w:val="1A1A1A"/>
        </w:rPr>
        <w:t xml:space="preserve">. </w:t>
      </w:r>
      <w:r>
        <w:rPr>
          <w:rFonts w:ascii="Calibri" w:eastAsia="Calibri" w:hAnsi="Calibri" w:cs="Calibri"/>
          <w:b/>
          <w:bCs/>
          <w:color w:val="1A1A1A"/>
        </w:rPr>
        <w:t>Trois critères</w:t>
      </w:r>
      <w:r>
        <w:rPr>
          <w:rFonts w:ascii="Calibri" w:eastAsia="Calibri" w:hAnsi="Calibri" w:cs="Calibri"/>
          <w:color w:val="1A1A1A"/>
        </w:rPr>
        <w:t xml:space="preserve"> : une </w:t>
      </w:r>
      <w:r>
        <w:rPr>
          <w:rFonts w:ascii="Calibri" w:eastAsia="Calibri" w:hAnsi="Calibri" w:cs="Calibri"/>
          <w:b/>
          <w:bCs/>
          <w:color w:val="1A1A1A"/>
        </w:rPr>
        <w:t>réification</w:t>
      </w:r>
      <w:r>
        <w:rPr>
          <w:rFonts w:ascii="Calibri" w:eastAsia="Calibri" w:hAnsi="Calibri" w:cs="Calibri"/>
          <w:color w:val="1A1A1A"/>
        </w:rPr>
        <w:t xml:space="preserve"> de la personne ; l’</w:t>
      </w:r>
      <w:r>
        <w:rPr>
          <w:rFonts w:ascii="Calibri" w:eastAsia="Calibri" w:hAnsi="Calibri" w:cs="Calibri"/>
          <w:b/>
          <w:bCs/>
          <w:color w:val="1A1A1A"/>
        </w:rPr>
        <w:t>annihilation de l’autonomie personnelle</w:t>
      </w:r>
      <w:r>
        <w:rPr>
          <w:rFonts w:ascii="Calibri" w:eastAsia="Calibri" w:hAnsi="Calibri" w:cs="Calibri"/>
          <w:color w:val="1A1A1A"/>
        </w:rPr>
        <w:t xml:space="preserve"> ; l’exercice d’</w:t>
      </w:r>
      <w:r>
        <w:rPr>
          <w:rFonts w:ascii="Calibri" w:eastAsia="Calibri" w:hAnsi="Calibri" w:cs="Calibri"/>
          <w:b/>
          <w:bCs/>
          <w:color w:val="1A1A1A"/>
        </w:rPr>
        <w:t>attributs de propriété</w:t>
      </w:r>
      <w:r>
        <w:rPr>
          <w:rFonts w:ascii="Calibri" w:eastAsia="Calibri" w:hAnsi="Calibri" w:cs="Calibri"/>
          <w:color w:val="1A1A1A"/>
        </w:rPr>
        <w:t xml:space="preserve"> sur cette personne.</w:t>
      </w:r>
    </w:p>
    <w:p w14:paraId="1184A651"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Qualification internationale</w:t>
      </w:r>
      <w:r>
        <w:rPr>
          <w:rFonts w:ascii="Calibri" w:eastAsia="Calibri" w:hAnsi="Calibri" w:cs="Calibri"/>
          <w:color w:val="1A1A1A"/>
        </w:rPr>
        <w:t xml:space="preserve"> : la négation de la qualité d’être humain constitue un </w:t>
      </w:r>
      <w:r>
        <w:rPr>
          <w:rFonts w:ascii="Calibri" w:eastAsia="Calibri" w:hAnsi="Calibri" w:cs="Calibri"/>
          <w:b/>
          <w:bCs/>
          <w:color w:val="1A1A1A"/>
        </w:rPr>
        <w:t>crime contre l’humanité</w:t>
      </w:r>
      <w:r>
        <w:rPr>
          <w:rFonts w:ascii="Calibri" w:eastAsia="Calibri" w:hAnsi="Calibri" w:cs="Calibri"/>
          <w:color w:val="1A1A1A"/>
        </w:rPr>
        <w:t xml:space="preserve"> dans le cadre d’une attaque généralisée ou systématique dirigée contre la population civile ; l’interdiction est une règle de </w:t>
      </w:r>
      <w:r>
        <w:rPr>
          <w:rFonts w:ascii="Calibri" w:eastAsia="Calibri" w:hAnsi="Calibri" w:cs="Calibri"/>
          <w:b/>
          <w:bCs/>
          <w:i/>
          <w:iCs/>
          <w:color w:val="1A1A1A"/>
        </w:rPr>
        <w:t>jus cogens</w:t>
      </w:r>
      <w:r>
        <w:rPr>
          <w:rFonts w:ascii="Calibri" w:eastAsia="Calibri" w:hAnsi="Calibri" w:cs="Calibri"/>
          <w:color w:val="1A1A1A"/>
        </w:rPr>
        <w:t>, reconnue par le TPIY et inscrite au Statut de Rome (</w:t>
      </w:r>
      <w:r>
        <w:rPr>
          <w:rFonts w:ascii="Calibri" w:eastAsia="Calibri" w:hAnsi="Calibri" w:cs="Calibri"/>
          <w:color w:val="1E88E5"/>
        </w:rPr>
        <w:t>art. 7-1-c</w:t>
      </w:r>
      <w:r>
        <w:rPr>
          <w:rFonts w:ascii="Calibri" w:eastAsia="Calibri" w:hAnsi="Calibri" w:cs="Calibri"/>
          <w:color w:val="1A1A1A"/>
        </w:rPr>
        <w:t xml:space="preserve">) — </w:t>
      </w:r>
      <w:r>
        <w:rPr>
          <w:rFonts w:ascii="Calibri" w:eastAsia="Calibri" w:hAnsi="Calibri" w:cs="Calibri"/>
          <w:color w:val="E91E63"/>
        </w:rPr>
        <w:t xml:space="preserve">TPIY, 22 février 2001, Le Procureur c. </w:t>
      </w:r>
      <w:proofErr w:type="spellStart"/>
      <w:r>
        <w:rPr>
          <w:rFonts w:ascii="Calibri" w:eastAsia="Calibri" w:hAnsi="Calibri" w:cs="Calibri"/>
          <w:color w:val="E91E63"/>
        </w:rPr>
        <w:t>Kunarac</w:t>
      </w:r>
      <w:proofErr w:type="spellEnd"/>
      <w:r>
        <w:rPr>
          <w:rFonts w:ascii="Calibri" w:eastAsia="Calibri" w:hAnsi="Calibri" w:cs="Calibri"/>
          <w:color w:val="E91E63"/>
        </w:rPr>
        <w:t xml:space="preserve"> et a., 1re instance, IT-96-23-T et IT-96-23/1-T</w:t>
      </w:r>
      <w:r>
        <w:rPr>
          <w:rFonts w:ascii="Calibri" w:eastAsia="Calibri" w:hAnsi="Calibri" w:cs="Calibri"/>
          <w:color w:val="1A1A1A"/>
        </w:rPr>
        <w:t>.</w:t>
      </w:r>
    </w:p>
    <w:p w14:paraId="28ED2BA6"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Une connotation historique forte</w:t>
      </w:r>
      <w:r>
        <w:rPr>
          <w:rFonts w:ascii="Calibri" w:eastAsia="Calibri" w:hAnsi="Calibri" w:cs="Calibri"/>
          <w:color w:val="1A1A1A"/>
        </w:rPr>
        <w:t xml:space="preserve"> : la Cour européenne qualifie difficilement une situation d’esclavage, bien que d’autres expressions telles qu’« esclavage moderne » ou « situations analogues à l’esclavage » aient pu se développer (</w:t>
      </w:r>
      <w:r>
        <w:rPr>
          <w:rFonts w:ascii="Calibri" w:eastAsia="Calibri" w:hAnsi="Calibri" w:cs="Calibri"/>
          <w:color w:val="E91E63"/>
        </w:rPr>
        <w:t>CEDH, 26 octobre 2005, Siliadin c. France, n° 73316/01</w:t>
      </w:r>
      <w:r>
        <w:rPr>
          <w:rFonts w:ascii="Calibri" w:eastAsia="Calibri" w:hAnsi="Calibri" w:cs="Calibri"/>
          <w:color w:val="1A1A1A"/>
        </w:rPr>
        <w:t xml:space="preserve">). Elle a ainsi considéré que le transfert d’argent du fiancé vers le père de la future mariée </w:t>
      </w:r>
      <w:r>
        <w:rPr>
          <w:rFonts w:ascii="Calibri" w:eastAsia="Calibri" w:hAnsi="Calibri" w:cs="Calibri"/>
          <w:b/>
          <w:bCs/>
          <w:color w:val="1A1A1A"/>
        </w:rPr>
        <w:t>n’équivalait pas</w:t>
      </w:r>
      <w:r>
        <w:rPr>
          <w:rFonts w:ascii="Calibri" w:eastAsia="Calibri" w:hAnsi="Calibri" w:cs="Calibri"/>
          <w:color w:val="1A1A1A"/>
        </w:rPr>
        <w:t xml:space="preserve"> à un transfert des droits de propriété, correspondant plutôt à une pratique consistant à réaliser des « cadeaux » dans le cadre du mariage (</w:t>
      </w:r>
      <w:r>
        <w:rPr>
          <w:rFonts w:ascii="Calibri" w:eastAsia="Calibri" w:hAnsi="Calibri" w:cs="Calibri"/>
          <w:color w:val="E91E63"/>
        </w:rPr>
        <w:t>CEDH, 31 juillet 2012, M. et a. c. Italie et Bulgarie, n° 40020/03</w:t>
      </w:r>
      <w:r>
        <w:rPr>
          <w:rFonts w:ascii="Calibri" w:eastAsia="Calibri" w:hAnsi="Calibri" w:cs="Calibri"/>
          <w:color w:val="1A1A1A"/>
        </w:rPr>
        <w:t>).</w:t>
      </w:r>
    </w:p>
    <w:p w14:paraId="2DB037F4" w14:textId="77777777" w:rsidR="004A4E1F" w:rsidRDefault="00000000">
      <w:pPr>
        <w:pStyle w:val="Titre3"/>
        <w:spacing w:before="200" w:after="90"/>
      </w:pPr>
      <w:r>
        <w:rPr>
          <w:rFonts w:ascii="Calibri" w:eastAsia="Calibri" w:hAnsi="Calibri" w:cs="Calibri"/>
          <w:b/>
          <w:bCs/>
          <w:i/>
          <w:iCs/>
          <w:color w:val="5A5A5A"/>
          <w:sz w:val="21"/>
          <w:szCs w:val="21"/>
        </w:rPr>
        <w:t>2.2. La servitude</w:t>
      </w:r>
    </w:p>
    <w:p w14:paraId="5C5F4B67"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Définition</w:t>
      </w:r>
      <w:r>
        <w:rPr>
          <w:rFonts w:ascii="Calibri" w:eastAsia="Calibri" w:hAnsi="Calibri" w:cs="Calibri"/>
          <w:color w:val="1A1A1A"/>
        </w:rPr>
        <w:t xml:space="preserve"> : la servitude, ou « servage » (</w:t>
      </w:r>
      <w:r>
        <w:rPr>
          <w:rFonts w:ascii="Calibri" w:eastAsia="Calibri" w:hAnsi="Calibri" w:cs="Calibri"/>
          <w:color w:val="1E88E5"/>
        </w:rPr>
        <w:t>art. 1. b. de la Convention supplémentaire du 30 avril 1956</w:t>
      </w:r>
      <w:r>
        <w:rPr>
          <w:rFonts w:ascii="Calibri" w:eastAsia="Calibri" w:hAnsi="Calibri" w:cs="Calibri"/>
          <w:color w:val="1A1A1A"/>
        </w:rPr>
        <w:t xml:space="preserve">), est une </w:t>
      </w:r>
      <w:r>
        <w:rPr>
          <w:rFonts w:ascii="Calibri" w:eastAsia="Calibri" w:hAnsi="Calibri" w:cs="Calibri"/>
          <w:b/>
          <w:bCs/>
          <w:color w:val="1A1A1A"/>
        </w:rPr>
        <w:t>forme de travail forcé aggravée</w:t>
      </w:r>
      <w:r>
        <w:rPr>
          <w:rFonts w:ascii="Calibri" w:eastAsia="Calibri" w:hAnsi="Calibri" w:cs="Calibri"/>
          <w:color w:val="1A1A1A"/>
        </w:rPr>
        <w:t xml:space="preserve">, parfois appelée « esclavage domestique ». Elle implique que la personne ait été forcée de fournir un service sous l’emprise de la contrainte et constitue une « </w:t>
      </w:r>
      <w:r>
        <w:rPr>
          <w:rFonts w:ascii="Calibri" w:eastAsia="Calibri" w:hAnsi="Calibri" w:cs="Calibri"/>
          <w:b/>
          <w:bCs/>
          <w:color w:val="1A1A1A"/>
        </w:rPr>
        <w:t>négation de la liberté individuelle</w:t>
      </w:r>
      <w:r>
        <w:rPr>
          <w:rFonts w:ascii="Calibri" w:eastAsia="Calibri" w:hAnsi="Calibri" w:cs="Calibri"/>
          <w:color w:val="1A1A1A"/>
        </w:rPr>
        <w:t xml:space="preserve"> » particulièrement grave.</w:t>
      </w:r>
    </w:p>
    <w:p w14:paraId="4B7F5B9C" w14:textId="77777777" w:rsidR="00E603BF" w:rsidRPr="00E603BF" w:rsidRDefault="00000000">
      <w:pPr>
        <w:pStyle w:val="Paragraphedeliste"/>
        <w:numPr>
          <w:ilvl w:val="0"/>
          <w:numId w:val="2"/>
        </w:numPr>
        <w:spacing w:after="70" w:line="264" w:lineRule="auto"/>
        <w:jc w:val="both"/>
      </w:pPr>
      <w:r>
        <w:rPr>
          <w:rFonts w:ascii="Calibri" w:eastAsia="Calibri" w:hAnsi="Calibri" w:cs="Calibri"/>
          <w:b/>
          <w:bCs/>
          <w:color w:val="1A1A1A"/>
        </w:rPr>
        <w:t>Les éléments pertinents</w:t>
      </w:r>
      <w:r>
        <w:rPr>
          <w:rFonts w:ascii="Calibri" w:eastAsia="Calibri" w:hAnsi="Calibri" w:cs="Calibri"/>
          <w:color w:val="1A1A1A"/>
        </w:rPr>
        <w:t xml:space="preserve"> : l’obligation de fournir un service ou un travail ; l’existence d’une </w:t>
      </w:r>
      <w:r>
        <w:rPr>
          <w:rFonts w:ascii="Calibri" w:eastAsia="Calibri" w:hAnsi="Calibri" w:cs="Calibri"/>
          <w:b/>
          <w:bCs/>
          <w:color w:val="1A1A1A"/>
        </w:rPr>
        <w:t>contrainte</w:t>
      </w:r>
      <w:r>
        <w:rPr>
          <w:rFonts w:ascii="Calibri" w:eastAsia="Calibri" w:hAnsi="Calibri" w:cs="Calibri"/>
          <w:color w:val="1A1A1A"/>
        </w:rPr>
        <w:t xml:space="preserve"> (physique, menaces de violence ou de dénonciation aux autorités) ayant pour but de rendre la victime docile ; l’obligation de vivre comme « serf » sur la propriété de l’exploiteur ; le sentiment profond de l’</w:t>
      </w:r>
      <w:r>
        <w:rPr>
          <w:rFonts w:ascii="Calibri" w:eastAsia="Calibri" w:hAnsi="Calibri" w:cs="Calibri"/>
          <w:b/>
          <w:bCs/>
          <w:color w:val="1A1A1A"/>
        </w:rPr>
        <w:t>impossibilité de changer sa condition</w:t>
      </w:r>
      <w:r>
        <w:rPr>
          <w:rFonts w:ascii="Calibri" w:eastAsia="Calibri" w:hAnsi="Calibri" w:cs="Calibri"/>
          <w:color w:val="1A1A1A"/>
        </w:rPr>
        <w:t xml:space="preserve"> et de la permanence de la situation. </w:t>
      </w:r>
    </w:p>
    <w:p w14:paraId="4EDC9E5C" w14:textId="4C2BE865" w:rsidR="004A4E1F" w:rsidRDefault="00000000">
      <w:pPr>
        <w:pStyle w:val="Paragraphedeliste"/>
        <w:numPr>
          <w:ilvl w:val="0"/>
          <w:numId w:val="2"/>
        </w:numPr>
        <w:spacing w:after="70" w:line="264" w:lineRule="auto"/>
        <w:jc w:val="both"/>
      </w:pPr>
      <w:r w:rsidRPr="00E603BF">
        <w:rPr>
          <w:rFonts w:ascii="Calibri" w:eastAsia="Calibri" w:hAnsi="Calibri" w:cs="Calibri"/>
          <w:b/>
          <w:bCs/>
          <w:color w:val="1A1A1A"/>
        </w:rPr>
        <w:lastRenderedPageBreak/>
        <w:t>Éléments contextuels complémentaires</w:t>
      </w:r>
      <w:r>
        <w:rPr>
          <w:rFonts w:ascii="Calibri" w:eastAsia="Calibri" w:hAnsi="Calibri" w:cs="Calibri"/>
          <w:color w:val="1A1A1A"/>
        </w:rPr>
        <w:t xml:space="preserve"> : rémunération sans rapport avec le travail fourni, conditions de vie et de travail indignes, traitements dégradants, liberté de circulation réduite. L’</w:t>
      </w:r>
      <w:r>
        <w:rPr>
          <w:rFonts w:ascii="Calibri" w:eastAsia="Calibri" w:hAnsi="Calibri" w:cs="Calibri"/>
          <w:b/>
          <w:bCs/>
          <w:color w:val="1A1A1A"/>
        </w:rPr>
        <w:t>abus de la vulnérabilité</w:t>
      </w:r>
      <w:r>
        <w:rPr>
          <w:rFonts w:ascii="Calibri" w:eastAsia="Calibri" w:hAnsi="Calibri" w:cs="Calibri"/>
          <w:color w:val="1A1A1A"/>
        </w:rPr>
        <w:t xml:space="preserve"> de la victime ou de sa situation de dépendance est mis en avant pour qualifier le caractère aggravé de l’exploitation en droit français (</w:t>
      </w:r>
      <w:r>
        <w:rPr>
          <w:rFonts w:ascii="Calibri" w:eastAsia="Calibri" w:hAnsi="Calibri" w:cs="Calibri"/>
          <w:color w:val="1E88E5"/>
        </w:rPr>
        <w:t>art. 225-14-2 du Code pénal</w:t>
      </w:r>
      <w:r>
        <w:rPr>
          <w:rFonts w:ascii="Calibri" w:eastAsia="Calibri" w:hAnsi="Calibri" w:cs="Calibri"/>
          <w:color w:val="1A1A1A"/>
        </w:rPr>
        <w:t>).</w:t>
      </w:r>
    </w:p>
    <w:p w14:paraId="00B41780"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xml:space="preserve">Jurisprudence : </w:t>
      </w:r>
      <w:r>
        <w:rPr>
          <w:rFonts w:ascii="Calibri" w:eastAsia="Calibri" w:hAnsi="Calibri" w:cs="Calibri"/>
          <w:color w:val="E91E63"/>
        </w:rPr>
        <w:t>CEDH, 7 mars 2000, Seguin c. France, déc., n° 42400/98</w:t>
      </w:r>
      <w:r>
        <w:rPr>
          <w:rFonts w:ascii="Calibri" w:eastAsia="Calibri" w:hAnsi="Calibri" w:cs="Calibri"/>
          <w:color w:val="1A1A1A"/>
        </w:rPr>
        <w:t xml:space="preserve"> ; ★ </w:t>
      </w:r>
      <w:r>
        <w:rPr>
          <w:rFonts w:ascii="Calibri" w:eastAsia="Calibri" w:hAnsi="Calibri" w:cs="Calibri"/>
          <w:color w:val="E91E63"/>
        </w:rPr>
        <w:t>CEDH, 26 octobre 2005, Siliadin c. France, n° 73316/01</w:t>
      </w:r>
      <w:r>
        <w:rPr>
          <w:rFonts w:ascii="Calibri" w:eastAsia="Calibri" w:hAnsi="Calibri" w:cs="Calibri"/>
          <w:color w:val="1A1A1A"/>
        </w:rPr>
        <w:t xml:space="preserve"> ; ★ </w:t>
      </w:r>
      <w:r>
        <w:rPr>
          <w:rFonts w:ascii="Calibri" w:eastAsia="Calibri" w:hAnsi="Calibri" w:cs="Calibri"/>
          <w:color w:val="E91E63"/>
        </w:rPr>
        <w:t>CEDH, 11 octobre 2012, C.N. et V. c. France, n° 67724/09</w:t>
      </w:r>
      <w:r>
        <w:rPr>
          <w:rFonts w:ascii="Calibri" w:eastAsia="Calibri" w:hAnsi="Calibri" w:cs="Calibri"/>
          <w:color w:val="1A1A1A"/>
        </w:rPr>
        <w:t xml:space="preserve">. Ces arrêts ont conduit l’État français à </w:t>
      </w:r>
      <w:r>
        <w:rPr>
          <w:rFonts w:ascii="Calibri" w:eastAsia="Calibri" w:hAnsi="Calibri" w:cs="Calibri"/>
          <w:b/>
          <w:bCs/>
          <w:color w:val="1A1A1A"/>
        </w:rPr>
        <w:t>modifier et adapter son droit pénal</w:t>
      </w:r>
      <w:r>
        <w:rPr>
          <w:rFonts w:ascii="Calibri" w:eastAsia="Calibri" w:hAnsi="Calibri" w:cs="Calibri"/>
          <w:color w:val="1A1A1A"/>
        </w:rPr>
        <w:t xml:space="preserve"> pour le mettre en conformité avec le droit du Conseil de l’Europe par la </w:t>
      </w:r>
      <w:r>
        <w:rPr>
          <w:rFonts w:ascii="Calibri" w:eastAsia="Calibri" w:hAnsi="Calibri" w:cs="Calibri"/>
          <w:color w:val="1E88E5"/>
        </w:rPr>
        <w:t>loi du 5 août 2013</w:t>
      </w:r>
      <w:r>
        <w:rPr>
          <w:rFonts w:ascii="Calibri" w:eastAsia="Calibri" w:hAnsi="Calibri" w:cs="Calibri"/>
          <w:color w:val="1A1A1A"/>
        </w:rPr>
        <w:t>.</w:t>
      </w:r>
    </w:p>
    <w:p w14:paraId="17F64871" w14:textId="77777777" w:rsidR="004A4E1F" w:rsidRDefault="00000000">
      <w:pPr>
        <w:pStyle w:val="Titre3"/>
        <w:spacing w:before="200" w:after="90"/>
      </w:pPr>
      <w:r>
        <w:rPr>
          <w:rFonts w:ascii="Calibri" w:eastAsia="Calibri" w:hAnsi="Calibri" w:cs="Calibri"/>
          <w:b/>
          <w:bCs/>
          <w:i/>
          <w:iCs/>
          <w:color w:val="5A5A5A"/>
          <w:sz w:val="21"/>
          <w:szCs w:val="21"/>
        </w:rPr>
        <w:t>2.3. Le travail forcé ou obligatoire</w:t>
      </w:r>
    </w:p>
    <w:p w14:paraId="5E45E0B4"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Définition</w:t>
      </w:r>
      <w:r>
        <w:rPr>
          <w:rFonts w:ascii="Calibri" w:eastAsia="Calibri" w:hAnsi="Calibri" w:cs="Calibri"/>
          <w:color w:val="1A1A1A"/>
        </w:rPr>
        <w:t xml:space="preserve"> : </w:t>
      </w:r>
      <w:r>
        <w:rPr>
          <w:rFonts w:ascii="Calibri" w:eastAsia="Calibri" w:hAnsi="Calibri" w:cs="Calibri"/>
          <w:color w:val="1E88E5"/>
        </w:rPr>
        <w:t>art. 2-1 de la Convention n° 29 de l’Organisation internationale du travail du 28 juin 1930</w:t>
      </w:r>
      <w:r>
        <w:rPr>
          <w:rFonts w:ascii="Calibri" w:eastAsia="Calibri" w:hAnsi="Calibri" w:cs="Calibri"/>
          <w:color w:val="1A1A1A"/>
        </w:rPr>
        <w:t xml:space="preserve"> — « </w:t>
      </w:r>
      <w:r>
        <w:rPr>
          <w:rFonts w:ascii="Calibri" w:eastAsia="Calibri" w:hAnsi="Calibri" w:cs="Calibri"/>
          <w:i/>
          <w:iCs/>
          <w:color w:val="1A1A1A"/>
        </w:rPr>
        <w:t>[…] tout travail ou service exigé d’un individu sous la menace d’une peine quelconque et pour lequel ledit individu ne s’est pas offert de plein gré</w:t>
      </w:r>
      <w:r>
        <w:rPr>
          <w:rFonts w:ascii="Calibri" w:eastAsia="Calibri" w:hAnsi="Calibri" w:cs="Calibri"/>
          <w:color w:val="1A1A1A"/>
        </w:rPr>
        <w:t xml:space="preserve"> ». </w:t>
      </w:r>
      <w:r>
        <w:rPr>
          <w:rFonts w:ascii="Calibri" w:eastAsia="Calibri" w:hAnsi="Calibri" w:cs="Calibri"/>
          <w:b/>
          <w:bCs/>
          <w:color w:val="1A1A1A"/>
        </w:rPr>
        <w:t>Quatre éléments</w:t>
      </w:r>
      <w:r>
        <w:rPr>
          <w:rFonts w:ascii="Calibri" w:eastAsia="Calibri" w:hAnsi="Calibri" w:cs="Calibri"/>
          <w:color w:val="1A1A1A"/>
        </w:rPr>
        <w:t xml:space="preserve"> : l’obligation de fournir un travail ; de manière contraire à la volonté de l’individu ; sous la menace d’une peine ; sans rétribution ou dans le cas où la rétribution est sans mesure avec le travail accompli.</w:t>
      </w:r>
    </w:p>
    <w:p w14:paraId="39CA53F0"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Appréciation</w:t>
      </w:r>
      <w:r>
        <w:rPr>
          <w:rFonts w:ascii="Calibri" w:eastAsia="Calibri" w:hAnsi="Calibri" w:cs="Calibri"/>
          <w:color w:val="1A1A1A"/>
        </w:rPr>
        <w:t xml:space="preserve"> : le travail exigé s’entend largement, incluant les services. Mais tout travail « exigé » « sous la contrainte d’une menace » ne constitue pas nécessairement une violation : une appréciation concrète doit être réalisée afin de déduire s’il constitue ou non un « </w:t>
      </w:r>
      <w:r>
        <w:rPr>
          <w:rFonts w:ascii="Calibri" w:eastAsia="Calibri" w:hAnsi="Calibri" w:cs="Calibri"/>
          <w:b/>
          <w:bCs/>
          <w:color w:val="1A1A1A"/>
        </w:rPr>
        <w:t>fardeau disproportionné</w:t>
      </w:r>
      <w:r>
        <w:rPr>
          <w:rFonts w:ascii="Calibri" w:eastAsia="Calibri" w:hAnsi="Calibri" w:cs="Calibri"/>
          <w:color w:val="1A1A1A"/>
        </w:rPr>
        <w:t xml:space="preserve"> », en raison de sa nature et de son volume (</w:t>
      </w:r>
      <w:r>
        <w:rPr>
          <w:rFonts w:ascii="Calibri" w:eastAsia="Calibri" w:hAnsi="Calibri" w:cs="Calibri"/>
          <w:color w:val="E91E63"/>
        </w:rPr>
        <w:t xml:space="preserve">CEDH, 23 novembre 1983, Van der </w:t>
      </w:r>
      <w:proofErr w:type="spellStart"/>
      <w:r>
        <w:rPr>
          <w:rFonts w:ascii="Calibri" w:eastAsia="Calibri" w:hAnsi="Calibri" w:cs="Calibri"/>
          <w:color w:val="E91E63"/>
        </w:rPr>
        <w:t>Mussele</w:t>
      </w:r>
      <w:proofErr w:type="spellEnd"/>
      <w:r>
        <w:rPr>
          <w:rFonts w:ascii="Calibri" w:eastAsia="Calibri" w:hAnsi="Calibri" w:cs="Calibri"/>
          <w:color w:val="E91E63"/>
        </w:rPr>
        <w:t xml:space="preserve"> c. Belgique, n° 8919/80</w:t>
      </w:r>
      <w:r>
        <w:rPr>
          <w:rFonts w:ascii="Calibri" w:eastAsia="Calibri" w:hAnsi="Calibri" w:cs="Calibri"/>
          <w:color w:val="1A1A1A"/>
        </w:rPr>
        <w:t xml:space="preserve">). La </w:t>
      </w:r>
      <w:r>
        <w:rPr>
          <w:rFonts w:ascii="Calibri" w:eastAsia="Calibri" w:hAnsi="Calibri" w:cs="Calibri"/>
          <w:b/>
          <w:bCs/>
          <w:color w:val="1A1A1A"/>
        </w:rPr>
        <w:t>contrainte</w:t>
      </w:r>
      <w:r>
        <w:rPr>
          <w:rFonts w:ascii="Calibri" w:eastAsia="Calibri" w:hAnsi="Calibri" w:cs="Calibri"/>
          <w:color w:val="1A1A1A"/>
        </w:rPr>
        <w:t xml:space="preserve"> ne s’entend pas uniquement de l’emploi de la force : elle doit être entendue largement, comme pouvant impliquer tout autre type de </w:t>
      </w:r>
      <w:r>
        <w:rPr>
          <w:rFonts w:ascii="Calibri" w:eastAsia="Calibri" w:hAnsi="Calibri" w:cs="Calibri"/>
          <w:b/>
          <w:bCs/>
          <w:color w:val="1A1A1A"/>
        </w:rPr>
        <w:t>coercition</w:t>
      </w:r>
      <w:r>
        <w:rPr>
          <w:rFonts w:ascii="Calibri" w:eastAsia="Calibri" w:hAnsi="Calibri" w:cs="Calibri"/>
          <w:color w:val="1A1A1A"/>
        </w:rPr>
        <w:t>, y compris des pressions psychologiques. Un contrat de travail pour lequel l’individu s’est engagé volontairement, et le risque d’être licencié en cas de non-accomplissement, ne sauraient être considérés comme une forme de peine. Sont pris en compte : la rémunération, l’existence d’une indemnité, la nature de l’obligation, les conditions matérielles d’exécution, l’existence d’une surveillance.</w:t>
      </w:r>
    </w:p>
    <w:p w14:paraId="2202E7B2" w14:textId="77777777" w:rsidR="004A4E1F" w:rsidRDefault="00000000">
      <w:pPr>
        <w:pStyle w:val="Paragraphedeliste"/>
        <w:numPr>
          <w:ilvl w:val="0"/>
          <w:numId w:val="2"/>
        </w:numPr>
        <w:spacing w:after="70" w:line="264" w:lineRule="auto"/>
        <w:jc w:val="both"/>
      </w:pPr>
      <w:r w:rsidRPr="00D402D6">
        <w:rPr>
          <w:rFonts w:ascii="Calibri" w:eastAsia="Calibri" w:hAnsi="Calibri" w:cs="Calibri"/>
          <w:b/>
          <w:bCs/>
          <w:color w:val="1A1A1A"/>
          <w:highlight w:val="yellow"/>
        </w:rPr>
        <w:t>Les exceptions — à mémoriser</w:t>
      </w:r>
      <w:r>
        <w:rPr>
          <w:rFonts w:ascii="Calibri" w:eastAsia="Calibri" w:hAnsi="Calibri" w:cs="Calibri"/>
          <w:color w:val="1A1A1A"/>
        </w:rPr>
        <w:t xml:space="preserve"> : ne sont pas considérés comme travail forcé les travaux réalisés dans le cadre des </w:t>
      </w:r>
      <w:r>
        <w:rPr>
          <w:rFonts w:ascii="Calibri" w:eastAsia="Calibri" w:hAnsi="Calibri" w:cs="Calibri"/>
          <w:b/>
          <w:bCs/>
          <w:color w:val="1A1A1A"/>
        </w:rPr>
        <w:t>obligations civiques</w:t>
      </w:r>
      <w:r>
        <w:rPr>
          <w:rFonts w:ascii="Calibri" w:eastAsia="Calibri" w:hAnsi="Calibri" w:cs="Calibri"/>
          <w:color w:val="1A1A1A"/>
        </w:rPr>
        <w:t xml:space="preserve">, pendant les </w:t>
      </w:r>
      <w:r>
        <w:rPr>
          <w:rFonts w:ascii="Calibri" w:eastAsia="Calibri" w:hAnsi="Calibri" w:cs="Calibri"/>
          <w:b/>
          <w:bCs/>
          <w:color w:val="1A1A1A"/>
        </w:rPr>
        <w:t>détentions</w:t>
      </w:r>
      <w:r>
        <w:rPr>
          <w:rFonts w:ascii="Calibri" w:eastAsia="Calibri" w:hAnsi="Calibri" w:cs="Calibri"/>
          <w:color w:val="1A1A1A"/>
        </w:rPr>
        <w:t xml:space="preserve"> (</w:t>
      </w:r>
      <w:r>
        <w:rPr>
          <w:rFonts w:ascii="Calibri" w:eastAsia="Calibri" w:hAnsi="Calibri" w:cs="Calibri"/>
          <w:color w:val="E91E63"/>
        </w:rPr>
        <w:t>CEDH, 24 juin 1982, Van Droogenbroeck c. Belgique, n° 7906/77</w:t>
      </w:r>
      <w:r>
        <w:rPr>
          <w:rFonts w:ascii="Calibri" w:eastAsia="Calibri" w:hAnsi="Calibri" w:cs="Calibri"/>
          <w:color w:val="1A1A1A"/>
        </w:rPr>
        <w:t xml:space="preserve"> ; Règles pénitentiaires européennes de 1987 et 2006 appelant à rémunérer les détenus) ou dans le cadre de </w:t>
      </w:r>
      <w:r>
        <w:rPr>
          <w:rFonts w:ascii="Calibri" w:eastAsia="Calibri" w:hAnsi="Calibri" w:cs="Calibri"/>
          <w:b/>
          <w:bCs/>
          <w:color w:val="1A1A1A"/>
        </w:rPr>
        <w:t>travaux d’intérêt général</w:t>
      </w:r>
      <w:r>
        <w:rPr>
          <w:rFonts w:ascii="Calibri" w:eastAsia="Calibri" w:hAnsi="Calibri" w:cs="Calibri"/>
          <w:color w:val="1A1A1A"/>
        </w:rPr>
        <w:t xml:space="preserve"> ; et, en cas de </w:t>
      </w:r>
      <w:r>
        <w:rPr>
          <w:rFonts w:ascii="Calibri" w:eastAsia="Calibri" w:hAnsi="Calibri" w:cs="Calibri"/>
          <w:b/>
          <w:bCs/>
          <w:color w:val="1A1A1A"/>
        </w:rPr>
        <w:t>force majeure</w:t>
      </w:r>
      <w:r>
        <w:rPr>
          <w:rFonts w:ascii="Calibri" w:eastAsia="Calibri" w:hAnsi="Calibri" w:cs="Calibri"/>
          <w:color w:val="1A1A1A"/>
        </w:rPr>
        <w:t xml:space="preserve"> (catastrophe naturelle, guerre, calamités ou crises nationales), le travail obligatoire peut être justifié dans la limite du raisonnable. </w:t>
      </w:r>
      <w:r>
        <w:rPr>
          <w:rFonts w:ascii="Calibri" w:eastAsia="Calibri" w:hAnsi="Calibri" w:cs="Calibri"/>
          <w:b/>
          <w:bCs/>
          <w:color w:val="1A1A1A"/>
        </w:rPr>
        <w:t>C’est le seul type d’exploitation de l’individu qui ne connaît pas de caractère absolu.</w:t>
      </w:r>
    </w:p>
    <w:p w14:paraId="647F5268" w14:textId="77777777" w:rsidR="004A4E1F" w:rsidRDefault="00000000">
      <w:pPr>
        <w:pStyle w:val="Titre3"/>
        <w:spacing w:before="200" w:after="90"/>
      </w:pPr>
      <w:r>
        <w:rPr>
          <w:rFonts w:ascii="Calibri" w:eastAsia="Calibri" w:hAnsi="Calibri" w:cs="Calibri"/>
          <w:b/>
          <w:bCs/>
          <w:i/>
          <w:iCs/>
          <w:color w:val="5A5A5A"/>
          <w:sz w:val="21"/>
          <w:szCs w:val="21"/>
        </w:rPr>
        <w:t>2.4. La traite des êtres humains</w:t>
      </w:r>
    </w:p>
    <w:p w14:paraId="03894936"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Le rattachement</w:t>
      </w:r>
      <w:r>
        <w:rPr>
          <w:rFonts w:ascii="Calibri" w:eastAsia="Calibri" w:hAnsi="Calibri" w:cs="Calibri"/>
          <w:color w:val="1A1A1A"/>
        </w:rPr>
        <w:t xml:space="preserve"> : l’</w:t>
      </w:r>
      <w:r>
        <w:rPr>
          <w:rFonts w:ascii="Calibri" w:eastAsia="Calibri" w:hAnsi="Calibri" w:cs="Calibri"/>
          <w:color w:val="1E88E5"/>
        </w:rPr>
        <w:t>art. 4 de la Convention européenne</w:t>
      </w:r>
      <w:r>
        <w:rPr>
          <w:rFonts w:ascii="Calibri" w:eastAsia="Calibri" w:hAnsi="Calibri" w:cs="Calibri"/>
          <w:color w:val="1A1A1A"/>
        </w:rPr>
        <w:t xml:space="preserve"> ne mentionne pas directement l’interdiction de la traite ; elle y est rattachée grâce à une </w:t>
      </w:r>
      <w:r>
        <w:rPr>
          <w:rFonts w:ascii="Calibri" w:eastAsia="Calibri" w:hAnsi="Calibri" w:cs="Calibri"/>
          <w:b/>
          <w:bCs/>
          <w:color w:val="1A1A1A"/>
        </w:rPr>
        <w:t>interprétation du but et de l’objet de l’article</w:t>
      </w:r>
      <w:r>
        <w:rPr>
          <w:rFonts w:ascii="Calibri" w:eastAsia="Calibri" w:hAnsi="Calibri" w:cs="Calibri"/>
          <w:color w:val="1A1A1A"/>
        </w:rPr>
        <w:t xml:space="preserve"> — la protection de l’individu contre toutes les formes d’exploitation (</w:t>
      </w:r>
      <w:r>
        <w:rPr>
          <w:rFonts w:ascii="Calibri" w:eastAsia="Calibri" w:hAnsi="Calibri" w:cs="Calibri"/>
          <w:color w:val="E91E63"/>
        </w:rPr>
        <w:t>CEDH, 7 janvier 2010, Rantsev c. Chypre et Russie, n° 25965/04</w:t>
      </w:r>
      <w:r>
        <w:rPr>
          <w:rFonts w:ascii="Calibri" w:eastAsia="Calibri" w:hAnsi="Calibri" w:cs="Calibri"/>
          <w:color w:val="1A1A1A"/>
        </w:rPr>
        <w:t xml:space="preserve"> ; </w:t>
      </w:r>
      <w:r>
        <w:rPr>
          <w:rFonts w:ascii="Calibri" w:eastAsia="Calibri" w:hAnsi="Calibri" w:cs="Calibri"/>
          <w:color w:val="E91E63"/>
        </w:rPr>
        <w:t>CEDH, GC, 25 juin 2020, S.M. c. Croatie, n° 60561/14</w:t>
      </w:r>
      <w:r>
        <w:rPr>
          <w:rFonts w:ascii="Calibri" w:eastAsia="Calibri" w:hAnsi="Calibri" w:cs="Calibri"/>
          <w:color w:val="1A1A1A"/>
        </w:rPr>
        <w:t>).</w:t>
      </w:r>
    </w:p>
    <w:p w14:paraId="44CA3F89"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La dynamique complexe — trois éléments cumulatifs</w:t>
      </w:r>
      <w:r>
        <w:rPr>
          <w:rFonts w:ascii="Calibri" w:eastAsia="Calibri" w:hAnsi="Calibri" w:cs="Calibri"/>
          <w:color w:val="1A1A1A"/>
        </w:rPr>
        <w:t xml:space="preserve"> (</w:t>
      </w:r>
      <w:r>
        <w:rPr>
          <w:rFonts w:ascii="Calibri" w:eastAsia="Calibri" w:hAnsi="Calibri" w:cs="Calibri"/>
          <w:color w:val="1E88E5"/>
        </w:rPr>
        <w:t>Convention anti-traite du Conseil de l’Europe</w:t>
      </w:r>
      <w:r>
        <w:rPr>
          <w:rFonts w:ascii="Calibri" w:eastAsia="Calibri" w:hAnsi="Calibri" w:cs="Calibri"/>
          <w:color w:val="1A1A1A"/>
        </w:rPr>
        <w:t xml:space="preserve">) : un </w:t>
      </w:r>
      <w:r>
        <w:rPr>
          <w:rFonts w:ascii="Calibri" w:eastAsia="Calibri" w:hAnsi="Calibri" w:cs="Calibri"/>
          <w:b/>
          <w:bCs/>
          <w:color w:val="1A1A1A"/>
        </w:rPr>
        <w:t>acte</w:t>
      </w:r>
      <w:r>
        <w:rPr>
          <w:rFonts w:ascii="Calibri" w:eastAsia="Calibri" w:hAnsi="Calibri" w:cs="Calibri"/>
          <w:color w:val="1A1A1A"/>
        </w:rPr>
        <w:t xml:space="preserve"> (recrutement, transport, hébergement, transfert…) ; un </w:t>
      </w:r>
      <w:r>
        <w:rPr>
          <w:rFonts w:ascii="Calibri" w:eastAsia="Calibri" w:hAnsi="Calibri" w:cs="Calibri"/>
          <w:b/>
          <w:bCs/>
          <w:color w:val="1A1A1A"/>
        </w:rPr>
        <w:t>moyen</w:t>
      </w:r>
      <w:r>
        <w:rPr>
          <w:rFonts w:ascii="Calibri" w:eastAsia="Calibri" w:hAnsi="Calibri" w:cs="Calibri"/>
          <w:color w:val="1A1A1A"/>
        </w:rPr>
        <w:t xml:space="preserve"> (menace, menace d’utilisation de la force, force, fausses promesses, coercition, enlèvement, fraude, abus de la vulnérabilité d’une personne, paiement fait à un tiers pour obtenir l’autorisation de l’exploitation de la victime sur laquelle ils ont autorité…) ; un </w:t>
      </w:r>
      <w:r>
        <w:rPr>
          <w:rFonts w:ascii="Calibri" w:eastAsia="Calibri" w:hAnsi="Calibri" w:cs="Calibri"/>
          <w:b/>
          <w:bCs/>
          <w:color w:val="1A1A1A"/>
        </w:rPr>
        <w:t>but d’exploitation</w:t>
      </w:r>
      <w:r>
        <w:rPr>
          <w:rFonts w:ascii="Calibri" w:eastAsia="Calibri" w:hAnsi="Calibri" w:cs="Calibri"/>
          <w:color w:val="1A1A1A"/>
        </w:rPr>
        <w:t xml:space="preserve"> (prostitution ou exploitation sexuelle, travail ou service forcé, esclavage ou pratiques analogues, trafic d’organes…). Le </w:t>
      </w:r>
      <w:r>
        <w:rPr>
          <w:rFonts w:ascii="Calibri" w:eastAsia="Calibri" w:hAnsi="Calibri" w:cs="Calibri"/>
          <w:b/>
          <w:bCs/>
          <w:color w:val="1A1A1A"/>
        </w:rPr>
        <w:t>consentement</w:t>
      </w:r>
      <w:r>
        <w:rPr>
          <w:rFonts w:ascii="Calibri" w:eastAsia="Calibri" w:hAnsi="Calibri" w:cs="Calibri"/>
          <w:color w:val="1A1A1A"/>
        </w:rPr>
        <w:t xml:space="preserve"> de la victime n’est pas pertinent dès lors que celui-ci a été obtenu par les moyens listés (</w:t>
      </w:r>
      <w:r>
        <w:rPr>
          <w:rFonts w:ascii="Calibri" w:eastAsia="Calibri" w:hAnsi="Calibri" w:cs="Calibri"/>
          <w:color w:val="1E88E5"/>
        </w:rPr>
        <w:t>art. 4 de la Convention anti-traite</w:t>
      </w:r>
      <w:r>
        <w:rPr>
          <w:rFonts w:ascii="Calibri" w:eastAsia="Calibri" w:hAnsi="Calibri" w:cs="Calibri"/>
          <w:color w:val="1A1A1A"/>
        </w:rPr>
        <w:t>). Conditions de qualification similaires à l’</w:t>
      </w:r>
      <w:r>
        <w:rPr>
          <w:rFonts w:ascii="Calibri" w:eastAsia="Calibri" w:hAnsi="Calibri" w:cs="Calibri"/>
          <w:color w:val="1E88E5"/>
        </w:rPr>
        <w:t>art. 225-4-1 du Code pénal</w:t>
      </w:r>
      <w:r>
        <w:rPr>
          <w:rFonts w:ascii="Calibri" w:eastAsia="Calibri" w:hAnsi="Calibri" w:cs="Calibri"/>
          <w:color w:val="1A1A1A"/>
        </w:rPr>
        <w:t>.</w:t>
      </w:r>
    </w:p>
    <w:p w14:paraId="1DF436F9"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Le recrutement numérique</w:t>
      </w:r>
      <w:r>
        <w:rPr>
          <w:rFonts w:ascii="Calibri" w:eastAsia="Calibri" w:hAnsi="Calibri" w:cs="Calibri"/>
          <w:color w:val="1A1A1A"/>
        </w:rPr>
        <w:t xml:space="preserve"> : l’utilisation des technologies de la communication ou des réseaux sociaux est reconnue comme méthode de recrutement ou de prise de contact par la </w:t>
      </w:r>
      <w:r>
        <w:rPr>
          <w:rFonts w:ascii="Calibri" w:eastAsia="Calibri" w:hAnsi="Calibri" w:cs="Calibri"/>
          <w:color w:val="1E88E5"/>
        </w:rPr>
        <w:t>directive 2011/36/UE</w:t>
      </w:r>
      <w:r>
        <w:rPr>
          <w:rFonts w:ascii="Calibri" w:eastAsia="Calibri" w:hAnsi="Calibri" w:cs="Calibri"/>
          <w:color w:val="1A1A1A"/>
        </w:rPr>
        <w:t xml:space="preserve">, rappelée par la </w:t>
      </w:r>
      <w:r>
        <w:rPr>
          <w:rFonts w:ascii="Calibri" w:eastAsia="Calibri" w:hAnsi="Calibri" w:cs="Calibri"/>
          <w:color w:val="1E88E5"/>
        </w:rPr>
        <w:t>directive 2024/1712 du 13 juin 2024</w:t>
      </w:r>
      <w:r>
        <w:rPr>
          <w:rFonts w:ascii="Calibri" w:eastAsia="Calibri" w:hAnsi="Calibri" w:cs="Calibri"/>
          <w:color w:val="1A1A1A"/>
        </w:rPr>
        <w:t>. Ces directives prévoient l’</w:t>
      </w:r>
      <w:r>
        <w:rPr>
          <w:rFonts w:ascii="Calibri" w:eastAsia="Calibri" w:hAnsi="Calibri" w:cs="Calibri"/>
          <w:b/>
          <w:bCs/>
          <w:color w:val="1A1A1A"/>
        </w:rPr>
        <w:t>absence de poursuites</w:t>
      </w:r>
      <w:r>
        <w:rPr>
          <w:rFonts w:ascii="Calibri" w:eastAsia="Calibri" w:hAnsi="Calibri" w:cs="Calibri"/>
          <w:color w:val="1A1A1A"/>
        </w:rPr>
        <w:t xml:space="preserve"> pour les victimes de traite ayant été contraintes de réaliser des activités illégales. Le </w:t>
      </w:r>
      <w:r>
        <w:rPr>
          <w:rFonts w:ascii="Calibri" w:eastAsia="Calibri" w:hAnsi="Calibri" w:cs="Calibri"/>
          <w:b/>
          <w:bCs/>
          <w:color w:val="1A1A1A"/>
        </w:rPr>
        <w:t>6e considérant</w:t>
      </w:r>
      <w:r>
        <w:rPr>
          <w:rFonts w:ascii="Calibri" w:eastAsia="Calibri" w:hAnsi="Calibri" w:cs="Calibri"/>
          <w:color w:val="1A1A1A"/>
        </w:rPr>
        <w:t xml:space="preserve"> de la directive 2024/1712 indique que, face à l’augmentation des infractions liées à la traite commises à des fins autres que l’exploitation sexuelle ou l’exploitation de main-d’œuvre, il convient d’inclure l’</w:t>
      </w:r>
      <w:r>
        <w:rPr>
          <w:rFonts w:ascii="Calibri" w:eastAsia="Calibri" w:hAnsi="Calibri" w:cs="Calibri"/>
          <w:b/>
          <w:bCs/>
          <w:color w:val="1A1A1A"/>
        </w:rPr>
        <w:t>exploitation de la gestation pour autrui, du mariage forcé ou de l’adoption illégale</w:t>
      </w:r>
      <w:r>
        <w:rPr>
          <w:rFonts w:ascii="Calibri" w:eastAsia="Calibri" w:hAnsi="Calibri" w:cs="Calibri"/>
          <w:color w:val="1A1A1A"/>
        </w:rPr>
        <w:t xml:space="preserve"> dans les formes d’exploitation visées, dès lors que les éléments constitutifs sont réunis, y compris le critère des moyens.</w:t>
      </w:r>
    </w:p>
    <w:p w14:paraId="3CEDBDE2"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La protection renforcée des mineurs</w:t>
      </w:r>
      <w:r>
        <w:rPr>
          <w:rFonts w:ascii="Calibri" w:eastAsia="Calibri" w:hAnsi="Calibri" w:cs="Calibri"/>
          <w:color w:val="1A1A1A"/>
        </w:rPr>
        <w:t xml:space="preserve"> : les mineurs sont l’un des groupes les plus vulnérables ciblés par les réseaux, leur recrutement se faisant désormais en grande partie via les réseaux sociaux ou dans le cadre de l’exploitation de </w:t>
      </w:r>
      <w:r>
        <w:rPr>
          <w:rFonts w:ascii="Calibri" w:eastAsia="Calibri" w:hAnsi="Calibri" w:cs="Calibri"/>
          <w:color w:val="1A1A1A"/>
        </w:rPr>
        <w:lastRenderedPageBreak/>
        <w:t xml:space="preserve">la vulnérabilité aggravée des migrants mineurs. Cadre : </w:t>
      </w:r>
      <w:r>
        <w:rPr>
          <w:rFonts w:ascii="Calibri" w:eastAsia="Calibri" w:hAnsi="Calibri" w:cs="Calibri"/>
          <w:color w:val="1E88E5"/>
        </w:rPr>
        <w:t>Convention internationale des droits de l’enfant</w:t>
      </w:r>
      <w:r>
        <w:rPr>
          <w:rFonts w:ascii="Calibri" w:eastAsia="Calibri" w:hAnsi="Calibri" w:cs="Calibri"/>
          <w:color w:val="1A1A1A"/>
        </w:rPr>
        <w:t xml:space="preserve">, en particulier ses </w:t>
      </w:r>
      <w:r>
        <w:rPr>
          <w:rFonts w:ascii="Calibri" w:eastAsia="Calibri" w:hAnsi="Calibri" w:cs="Calibri"/>
          <w:color w:val="1E88E5"/>
        </w:rPr>
        <w:t>art. 19, 32 et 36</w:t>
      </w:r>
      <w:r>
        <w:rPr>
          <w:rFonts w:ascii="Calibri" w:eastAsia="Calibri" w:hAnsi="Calibri" w:cs="Calibri"/>
          <w:color w:val="1A1A1A"/>
        </w:rPr>
        <w:t xml:space="preserve"> (mauvais traitements, exploitation par le travail, tout autre type d’exploitation) ; </w:t>
      </w:r>
      <w:r>
        <w:rPr>
          <w:rFonts w:ascii="Calibri" w:eastAsia="Calibri" w:hAnsi="Calibri" w:cs="Calibri"/>
          <w:color w:val="1E88E5"/>
        </w:rPr>
        <w:t>Protocole de Palerme</w:t>
      </w:r>
      <w:r>
        <w:rPr>
          <w:rFonts w:ascii="Calibri" w:eastAsia="Calibri" w:hAnsi="Calibri" w:cs="Calibri"/>
          <w:color w:val="1A1A1A"/>
        </w:rPr>
        <w:t xml:space="preserve"> ; </w:t>
      </w:r>
      <w:r>
        <w:rPr>
          <w:rFonts w:ascii="Calibri" w:eastAsia="Calibri" w:hAnsi="Calibri" w:cs="Calibri"/>
          <w:color w:val="1E88E5"/>
        </w:rPr>
        <w:t xml:space="preserve">Convention de </w:t>
      </w:r>
      <w:r w:rsidRPr="00787744">
        <w:rPr>
          <w:rFonts w:ascii="Calibri" w:eastAsia="Calibri" w:hAnsi="Calibri" w:cs="Calibri"/>
          <w:color w:val="0070C0"/>
        </w:rPr>
        <w:t>Lanzarote du Conseil de l’Europe sur la protection des enfants contre l’exploitation et les abus sexuels</w:t>
      </w:r>
      <w:r>
        <w:rPr>
          <w:rFonts w:ascii="Calibri" w:eastAsia="Calibri" w:hAnsi="Calibri" w:cs="Calibri"/>
          <w:color w:val="1A1A1A"/>
        </w:rPr>
        <w:t>. En droit français, le Code du travail encadre très strictement le travail de l’enfant, et la qualité de mineur aggrave les situations d’exploitation.</w:t>
      </w:r>
    </w:p>
    <w:p w14:paraId="079A4F43" w14:textId="77777777" w:rsidR="004A4E1F" w:rsidRDefault="00000000">
      <w:pPr>
        <w:pStyle w:val="Titre2"/>
        <w:spacing w:before="280" w:after="120"/>
      </w:pPr>
      <w:r>
        <w:rPr>
          <w:rFonts w:ascii="Calibri" w:eastAsia="Calibri" w:hAnsi="Calibri" w:cs="Calibri"/>
          <w:b/>
          <w:bCs/>
          <w:color w:val="1A1A1A"/>
          <w:sz w:val="24"/>
          <w:szCs w:val="24"/>
        </w:rPr>
        <w:t>3. Un terrain privilégié des obligations positives</w:t>
      </w:r>
    </w:p>
    <w:p w14:paraId="45DF6DBE"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L’obligation de prévention</w:t>
      </w:r>
      <w:r>
        <w:rPr>
          <w:rFonts w:ascii="Calibri" w:eastAsia="Calibri" w:hAnsi="Calibri" w:cs="Calibri"/>
          <w:color w:val="1A1A1A"/>
        </w:rPr>
        <w:t xml:space="preserve"> : la </w:t>
      </w:r>
      <w:r>
        <w:rPr>
          <w:rFonts w:ascii="Calibri" w:eastAsia="Calibri" w:hAnsi="Calibri" w:cs="Calibri"/>
          <w:color w:val="1E88E5"/>
        </w:rPr>
        <w:t>Convention supplémentaire de 1956</w:t>
      </w:r>
      <w:r>
        <w:rPr>
          <w:rFonts w:ascii="Calibri" w:eastAsia="Calibri" w:hAnsi="Calibri" w:cs="Calibri"/>
          <w:color w:val="1A1A1A"/>
        </w:rPr>
        <w:t xml:space="preserve">, entrée en vigueur en France le 26 mai 1964, impose « </w:t>
      </w:r>
      <w:r>
        <w:rPr>
          <w:rFonts w:ascii="Calibri" w:eastAsia="Calibri" w:hAnsi="Calibri" w:cs="Calibri"/>
          <w:i/>
          <w:iCs/>
          <w:color w:val="1A1A1A"/>
        </w:rPr>
        <w:t>toutes les mesures législatives et autres, qui seront réalisables et nécessaires […] pour empêcher et prévenir</w:t>
      </w:r>
      <w:r>
        <w:rPr>
          <w:rFonts w:ascii="Calibri" w:eastAsia="Calibri" w:hAnsi="Calibri" w:cs="Calibri"/>
          <w:color w:val="1A1A1A"/>
        </w:rPr>
        <w:t xml:space="preserve"> » l’exploitation de l’être humain. La Cour a également poussé les États à instituer des </w:t>
      </w:r>
      <w:r>
        <w:rPr>
          <w:rFonts w:ascii="Calibri" w:eastAsia="Calibri" w:hAnsi="Calibri" w:cs="Calibri"/>
          <w:b/>
          <w:bCs/>
          <w:color w:val="1A1A1A"/>
        </w:rPr>
        <w:t>cadres législatifs et administratifs appropriés</w:t>
      </w:r>
      <w:r>
        <w:rPr>
          <w:rFonts w:ascii="Calibri" w:eastAsia="Calibri" w:hAnsi="Calibri" w:cs="Calibri"/>
          <w:color w:val="1A1A1A"/>
        </w:rPr>
        <w:t xml:space="preserve"> (</w:t>
      </w:r>
      <w:r>
        <w:rPr>
          <w:rFonts w:ascii="Calibri" w:eastAsia="Calibri" w:hAnsi="Calibri" w:cs="Calibri"/>
          <w:color w:val="E91E63"/>
        </w:rPr>
        <w:t>CEDH, 13 novembre 2012, C.N. c. Royaume-Uni, n° 4239/08</w:t>
      </w:r>
      <w:r>
        <w:rPr>
          <w:rFonts w:ascii="Calibri" w:eastAsia="Calibri" w:hAnsi="Calibri" w:cs="Calibri"/>
          <w:color w:val="1A1A1A"/>
        </w:rPr>
        <w:t xml:space="preserve">). C’est à ce titre que la France a été condamnée en 2005 et en 2012, du fait des </w:t>
      </w:r>
      <w:r>
        <w:rPr>
          <w:rFonts w:ascii="Calibri" w:eastAsia="Calibri" w:hAnsi="Calibri" w:cs="Calibri"/>
          <w:b/>
          <w:bCs/>
          <w:color w:val="1A1A1A"/>
        </w:rPr>
        <w:t>lacunes de son système pénal</w:t>
      </w:r>
      <w:r>
        <w:rPr>
          <w:rFonts w:ascii="Calibri" w:eastAsia="Calibri" w:hAnsi="Calibri" w:cs="Calibri"/>
          <w:color w:val="1A1A1A"/>
        </w:rPr>
        <w:t xml:space="preserve"> sur l’inadéquation des critères de qualification de la servitude, dont le défaut de criminalisation et la répression effective ont été pointés (</w:t>
      </w:r>
      <w:r>
        <w:rPr>
          <w:rFonts w:ascii="Calibri" w:eastAsia="Calibri" w:hAnsi="Calibri" w:cs="Calibri"/>
          <w:color w:val="E91E63"/>
        </w:rPr>
        <w:t>Siliadin</w:t>
      </w:r>
      <w:r>
        <w:rPr>
          <w:rFonts w:ascii="Calibri" w:eastAsia="Calibri" w:hAnsi="Calibri" w:cs="Calibri"/>
          <w:color w:val="1A1A1A"/>
        </w:rPr>
        <w:t xml:space="preserve"> ; </w:t>
      </w:r>
      <w:r>
        <w:rPr>
          <w:rFonts w:ascii="Calibri" w:eastAsia="Calibri" w:hAnsi="Calibri" w:cs="Calibri"/>
          <w:color w:val="E91E63"/>
        </w:rPr>
        <w:t>C.N. et V. c. France</w:t>
      </w:r>
      <w:r>
        <w:rPr>
          <w:rFonts w:ascii="Calibri" w:eastAsia="Calibri" w:hAnsi="Calibri" w:cs="Calibri"/>
          <w:color w:val="1A1A1A"/>
        </w:rPr>
        <w:t xml:space="preserve">). Pour la traite, le </w:t>
      </w:r>
      <w:r>
        <w:rPr>
          <w:rFonts w:ascii="Calibri" w:eastAsia="Calibri" w:hAnsi="Calibri" w:cs="Calibri"/>
          <w:color w:val="1E88E5"/>
        </w:rPr>
        <w:t>Protocole de Palerme</w:t>
      </w:r>
      <w:r>
        <w:rPr>
          <w:rFonts w:ascii="Calibri" w:eastAsia="Calibri" w:hAnsi="Calibri" w:cs="Calibri"/>
          <w:color w:val="1A1A1A"/>
        </w:rPr>
        <w:t xml:space="preserve"> et la </w:t>
      </w:r>
      <w:r>
        <w:rPr>
          <w:rFonts w:ascii="Calibri" w:eastAsia="Calibri" w:hAnsi="Calibri" w:cs="Calibri"/>
          <w:color w:val="1E88E5"/>
        </w:rPr>
        <w:t>Convention anti-traite</w:t>
      </w:r>
      <w:r>
        <w:rPr>
          <w:rFonts w:ascii="Calibri" w:eastAsia="Calibri" w:hAnsi="Calibri" w:cs="Calibri"/>
          <w:color w:val="1A1A1A"/>
        </w:rPr>
        <w:t xml:space="preserve"> imposent une « </w:t>
      </w:r>
      <w:r>
        <w:rPr>
          <w:rFonts w:ascii="Calibri" w:eastAsia="Calibri" w:hAnsi="Calibri" w:cs="Calibri"/>
          <w:b/>
          <w:bCs/>
          <w:color w:val="1A1A1A"/>
        </w:rPr>
        <w:t>approche globale</w:t>
      </w:r>
      <w:r>
        <w:rPr>
          <w:rFonts w:ascii="Calibri" w:eastAsia="Calibri" w:hAnsi="Calibri" w:cs="Calibri"/>
          <w:color w:val="1A1A1A"/>
        </w:rPr>
        <w:t xml:space="preserve"> » en </w:t>
      </w:r>
      <w:r>
        <w:rPr>
          <w:rFonts w:ascii="Calibri" w:eastAsia="Calibri" w:hAnsi="Calibri" w:cs="Calibri"/>
          <w:b/>
          <w:bCs/>
          <w:color w:val="1A1A1A"/>
        </w:rPr>
        <w:t>triptyque</w:t>
      </w:r>
      <w:r>
        <w:rPr>
          <w:rFonts w:ascii="Calibri" w:eastAsia="Calibri" w:hAnsi="Calibri" w:cs="Calibri"/>
          <w:color w:val="1A1A1A"/>
        </w:rPr>
        <w:t xml:space="preserve"> : réprimer les trafiquants, prévenir la mise en place du trafic, protéger la victime. La prévention s’appuie aussi sur des systèmes plus égalitaires, la majorité des victimes étant des femmes et des enfants (</w:t>
      </w:r>
      <w:r>
        <w:rPr>
          <w:rFonts w:ascii="Calibri" w:eastAsia="Calibri" w:hAnsi="Calibri" w:cs="Calibri"/>
          <w:color w:val="1E88E5"/>
        </w:rPr>
        <w:t>CEDAW de 1979</w:t>
      </w:r>
      <w:r>
        <w:rPr>
          <w:rFonts w:ascii="Calibri" w:eastAsia="Calibri" w:hAnsi="Calibri" w:cs="Calibri"/>
          <w:color w:val="1A1A1A"/>
        </w:rPr>
        <w:t xml:space="preserve"> ; </w:t>
      </w:r>
      <w:r>
        <w:rPr>
          <w:rFonts w:ascii="Calibri" w:eastAsia="Calibri" w:hAnsi="Calibri" w:cs="Calibri"/>
          <w:color w:val="1E88E5"/>
        </w:rPr>
        <w:t>Convention d’Istanbul de 2011</w:t>
      </w:r>
      <w:r>
        <w:rPr>
          <w:rFonts w:ascii="Calibri" w:eastAsia="Calibri" w:hAnsi="Calibri" w:cs="Calibri"/>
          <w:color w:val="1A1A1A"/>
        </w:rPr>
        <w:t>).</w:t>
      </w:r>
    </w:p>
    <w:p w14:paraId="2781F8E7"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Les mesures opérationnelles</w:t>
      </w:r>
      <w:r>
        <w:rPr>
          <w:rFonts w:ascii="Calibri" w:eastAsia="Calibri" w:hAnsi="Calibri" w:cs="Calibri"/>
          <w:color w:val="1A1A1A"/>
        </w:rPr>
        <w:t xml:space="preserve"> : lorsqu’il existe des </w:t>
      </w:r>
      <w:r>
        <w:rPr>
          <w:rFonts w:ascii="Calibri" w:eastAsia="Calibri" w:hAnsi="Calibri" w:cs="Calibri"/>
          <w:b/>
          <w:bCs/>
          <w:color w:val="1A1A1A"/>
        </w:rPr>
        <w:t>motifs raisonnables</w:t>
      </w:r>
      <w:r>
        <w:rPr>
          <w:rFonts w:ascii="Calibri" w:eastAsia="Calibri" w:hAnsi="Calibri" w:cs="Calibri"/>
          <w:color w:val="1A1A1A"/>
        </w:rPr>
        <w:t xml:space="preserve"> permettant de conclure à une situation d’exploitation, les autorités nationales doivent mettre en place toutes les mesures nécessaires et concrètes pour protéger la victime potentielle ou avérée, en la retirant d’une situation dans laquelle elle subissait ou risquait de subir une exploitation. L’obligation d’agir naît dès lors qu’elles </w:t>
      </w:r>
      <w:r>
        <w:rPr>
          <w:rFonts w:ascii="Calibri" w:eastAsia="Calibri" w:hAnsi="Calibri" w:cs="Calibri"/>
          <w:b/>
          <w:bCs/>
          <w:color w:val="1A1A1A"/>
        </w:rPr>
        <w:t>savaient ou auraient dû savoir</w:t>
      </w:r>
      <w:r>
        <w:rPr>
          <w:rFonts w:ascii="Calibri" w:eastAsia="Calibri" w:hAnsi="Calibri" w:cs="Calibri"/>
          <w:color w:val="1A1A1A"/>
        </w:rPr>
        <w:t xml:space="preserve"> qu’il existait un </w:t>
      </w:r>
      <w:r>
        <w:rPr>
          <w:rFonts w:ascii="Calibri" w:eastAsia="Calibri" w:hAnsi="Calibri" w:cs="Calibri"/>
          <w:b/>
          <w:bCs/>
          <w:color w:val="1A1A1A"/>
        </w:rPr>
        <w:t>danger réel et immédiat</w:t>
      </w:r>
      <w:r>
        <w:rPr>
          <w:rFonts w:ascii="Calibri" w:eastAsia="Calibri" w:hAnsi="Calibri" w:cs="Calibri"/>
          <w:color w:val="1A1A1A"/>
        </w:rPr>
        <w:t xml:space="preserve"> ; elle mobilise forces de l’ordre, magistrats et services sociaux, appelés à se coordonner (</w:t>
      </w:r>
      <w:r>
        <w:rPr>
          <w:rFonts w:ascii="Calibri" w:eastAsia="Calibri" w:hAnsi="Calibri" w:cs="Calibri"/>
          <w:color w:val="1E88E5"/>
        </w:rPr>
        <w:t>art. 12 de la Convention anti-traite</w:t>
      </w:r>
      <w:r>
        <w:rPr>
          <w:rFonts w:ascii="Calibri" w:eastAsia="Calibri" w:hAnsi="Calibri" w:cs="Calibri"/>
          <w:color w:val="1A1A1A"/>
        </w:rPr>
        <w:t xml:space="preserve">). </w:t>
      </w:r>
      <w:r w:rsidRPr="00787744">
        <w:rPr>
          <w:rFonts w:ascii="Calibri" w:eastAsia="Calibri" w:hAnsi="Calibri" w:cs="Calibri"/>
          <w:b/>
          <w:bCs/>
          <w:color w:val="EE0000"/>
        </w:rPr>
        <w:t>Limite</w:t>
      </w:r>
      <w:r w:rsidRPr="00787744">
        <w:rPr>
          <w:rFonts w:ascii="Calibri" w:eastAsia="Calibri" w:hAnsi="Calibri" w:cs="Calibri"/>
          <w:color w:val="EE0000"/>
        </w:rPr>
        <w:t xml:space="preserve"> : cette obligation ne doit pas imposer aux autorités un </w:t>
      </w:r>
      <w:r w:rsidRPr="00787744">
        <w:rPr>
          <w:rFonts w:ascii="Calibri" w:eastAsia="Calibri" w:hAnsi="Calibri" w:cs="Calibri"/>
          <w:b/>
          <w:bCs/>
          <w:color w:val="EE0000"/>
        </w:rPr>
        <w:t>fardeau insupportable ou excessif</w:t>
      </w:r>
      <w:r>
        <w:rPr>
          <w:rFonts w:ascii="Calibri" w:eastAsia="Calibri" w:hAnsi="Calibri" w:cs="Calibri"/>
          <w:color w:val="1A1A1A"/>
        </w:rPr>
        <w:t xml:space="preserve"> (</w:t>
      </w:r>
      <w:r>
        <w:rPr>
          <w:rFonts w:ascii="Calibri" w:eastAsia="Calibri" w:hAnsi="Calibri" w:cs="Calibri"/>
          <w:color w:val="E91E63"/>
        </w:rPr>
        <w:t>Rantsev</w:t>
      </w:r>
      <w:r>
        <w:rPr>
          <w:rFonts w:ascii="Calibri" w:eastAsia="Calibri" w:hAnsi="Calibri" w:cs="Calibri"/>
          <w:color w:val="1A1A1A"/>
        </w:rPr>
        <w:t xml:space="preserve"> ; </w:t>
      </w:r>
      <w:r>
        <w:rPr>
          <w:rFonts w:ascii="Calibri" w:eastAsia="Calibri" w:hAnsi="Calibri" w:cs="Calibri"/>
          <w:color w:val="E91E63"/>
        </w:rPr>
        <w:t>CEDH, 30 mars 2017, Chowdury et a. c. Grèce, n° 21884/15</w:t>
      </w:r>
      <w:r>
        <w:rPr>
          <w:rFonts w:ascii="Calibri" w:eastAsia="Calibri" w:hAnsi="Calibri" w:cs="Calibri"/>
          <w:color w:val="1A1A1A"/>
        </w:rPr>
        <w:t xml:space="preserve">). La Convention anti-traite mobilise en outre des obligations pratiques tournées vers la protection de la victime : période de réflexion de </w:t>
      </w:r>
      <w:r>
        <w:rPr>
          <w:rFonts w:ascii="Calibri" w:eastAsia="Calibri" w:hAnsi="Calibri" w:cs="Calibri"/>
          <w:b/>
          <w:bCs/>
          <w:color w:val="1A1A1A"/>
        </w:rPr>
        <w:t>30 jours</w:t>
      </w:r>
      <w:r>
        <w:rPr>
          <w:rFonts w:ascii="Calibri" w:eastAsia="Calibri" w:hAnsi="Calibri" w:cs="Calibri"/>
          <w:color w:val="1A1A1A"/>
        </w:rPr>
        <w:t xml:space="preserve"> lui permettant de décider de son implication dans les poursuites, délivrance d’un visa, assistance d’un traducteur.</w:t>
      </w:r>
    </w:p>
    <w:p w14:paraId="40367874"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L’obligation d’enquêter</w:t>
      </w:r>
      <w:r>
        <w:rPr>
          <w:rFonts w:ascii="Calibri" w:eastAsia="Calibri" w:hAnsi="Calibri" w:cs="Calibri"/>
          <w:color w:val="1A1A1A"/>
        </w:rPr>
        <w:t xml:space="preserve"> : la découverte d’une situation d’exploitation implique de diligenter une </w:t>
      </w:r>
      <w:r>
        <w:rPr>
          <w:rFonts w:ascii="Calibri" w:eastAsia="Calibri" w:hAnsi="Calibri" w:cs="Calibri"/>
          <w:b/>
          <w:bCs/>
          <w:color w:val="1A1A1A"/>
        </w:rPr>
        <w:t>enquête impartiale et indépendante</w:t>
      </w:r>
      <w:r>
        <w:rPr>
          <w:rFonts w:ascii="Calibri" w:eastAsia="Calibri" w:hAnsi="Calibri" w:cs="Calibri"/>
          <w:color w:val="1A1A1A"/>
        </w:rPr>
        <w:t xml:space="preserve"> devant mener à l’identification de l’auteur ou du réseau et à sa traduction en justice. Obligation de </w:t>
      </w:r>
      <w:r>
        <w:rPr>
          <w:rFonts w:ascii="Calibri" w:eastAsia="Calibri" w:hAnsi="Calibri" w:cs="Calibri"/>
          <w:b/>
          <w:bCs/>
          <w:color w:val="1A1A1A"/>
        </w:rPr>
        <w:t>moyen</w:t>
      </w:r>
      <w:r>
        <w:rPr>
          <w:rFonts w:ascii="Calibri" w:eastAsia="Calibri" w:hAnsi="Calibri" w:cs="Calibri"/>
          <w:color w:val="1A1A1A"/>
        </w:rPr>
        <w:t xml:space="preserve"> et non de résultat, valable aussi bien pour les agents de l’État que pour les particuliers ; elle </w:t>
      </w:r>
      <w:r>
        <w:rPr>
          <w:rFonts w:ascii="Calibri" w:eastAsia="Calibri" w:hAnsi="Calibri" w:cs="Calibri"/>
          <w:b/>
          <w:bCs/>
          <w:color w:val="1A1A1A"/>
        </w:rPr>
        <w:t>n’est pas subordonnée à l’existence d’une plainte</w:t>
      </w:r>
      <w:r>
        <w:rPr>
          <w:rFonts w:ascii="Calibri" w:eastAsia="Calibri" w:hAnsi="Calibri" w:cs="Calibri"/>
          <w:color w:val="1A1A1A"/>
        </w:rPr>
        <w:t xml:space="preserve">, les autorités devant agir </w:t>
      </w:r>
      <w:r>
        <w:rPr>
          <w:rFonts w:ascii="Calibri" w:eastAsia="Calibri" w:hAnsi="Calibri" w:cs="Calibri"/>
          <w:i/>
          <w:iCs/>
          <w:color w:val="1A1A1A"/>
        </w:rPr>
        <w:t>propio motu</w:t>
      </w:r>
      <w:r>
        <w:rPr>
          <w:rFonts w:ascii="Calibri" w:eastAsia="Calibri" w:hAnsi="Calibri" w:cs="Calibri"/>
          <w:color w:val="1A1A1A"/>
        </w:rPr>
        <w:t xml:space="preserve"> dès que des éléments leur ont été transmis. Exigences de </w:t>
      </w:r>
      <w:r>
        <w:rPr>
          <w:rFonts w:ascii="Calibri" w:eastAsia="Calibri" w:hAnsi="Calibri" w:cs="Calibri"/>
          <w:b/>
          <w:bCs/>
          <w:color w:val="1A1A1A"/>
        </w:rPr>
        <w:t>célérité</w:t>
      </w:r>
      <w:r>
        <w:rPr>
          <w:rFonts w:ascii="Calibri" w:eastAsia="Calibri" w:hAnsi="Calibri" w:cs="Calibri"/>
          <w:color w:val="1A1A1A"/>
        </w:rPr>
        <w:t xml:space="preserve"> et de </w:t>
      </w:r>
      <w:r>
        <w:rPr>
          <w:rFonts w:ascii="Calibri" w:eastAsia="Calibri" w:hAnsi="Calibri" w:cs="Calibri"/>
          <w:b/>
          <w:bCs/>
          <w:color w:val="1A1A1A"/>
        </w:rPr>
        <w:t>diligence raisonnable</w:t>
      </w:r>
      <w:r>
        <w:rPr>
          <w:rFonts w:ascii="Calibri" w:eastAsia="Calibri" w:hAnsi="Calibri" w:cs="Calibri"/>
          <w:color w:val="1A1A1A"/>
        </w:rPr>
        <w:t xml:space="preserve"> ; coopération interne des autorités et, pour les réseaux transnationaux, </w:t>
      </w:r>
      <w:r>
        <w:rPr>
          <w:rFonts w:ascii="Calibri" w:eastAsia="Calibri" w:hAnsi="Calibri" w:cs="Calibri"/>
          <w:b/>
          <w:bCs/>
          <w:color w:val="1A1A1A"/>
        </w:rPr>
        <w:t>coopération internationale</w:t>
      </w:r>
      <w:r>
        <w:rPr>
          <w:rFonts w:ascii="Calibri" w:eastAsia="Calibri" w:hAnsi="Calibri" w:cs="Calibri"/>
          <w:color w:val="1A1A1A"/>
        </w:rPr>
        <w:t xml:space="preserve"> (</w:t>
      </w:r>
      <w:r>
        <w:rPr>
          <w:rFonts w:ascii="Calibri" w:eastAsia="Calibri" w:hAnsi="Calibri" w:cs="Calibri"/>
          <w:color w:val="1E88E5"/>
        </w:rPr>
        <w:t>art. 32 de la Convention anti-traite</w:t>
      </w:r>
      <w:r>
        <w:rPr>
          <w:rFonts w:ascii="Calibri" w:eastAsia="Calibri" w:hAnsi="Calibri" w:cs="Calibri"/>
          <w:color w:val="1A1A1A"/>
        </w:rPr>
        <w:t xml:space="preserve"> ; </w:t>
      </w:r>
      <w:r>
        <w:rPr>
          <w:rFonts w:ascii="Calibri" w:eastAsia="Calibri" w:hAnsi="Calibri" w:cs="Calibri"/>
          <w:color w:val="1E88E5"/>
        </w:rPr>
        <w:t>art. 5 du Protocole de 2014</w:t>
      </w:r>
      <w:r>
        <w:rPr>
          <w:rFonts w:ascii="Calibri" w:eastAsia="Calibri" w:hAnsi="Calibri" w:cs="Calibri"/>
          <w:color w:val="1A1A1A"/>
        </w:rPr>
        <w:t xml:space="preserve"> relatif à la Convention sur le travail forcé de 1930).</w:t>
      </w:r>
    </w:p>
    <w:p w14:paraId="04B7DF5F"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L’obligation de réparer</w:t>
      </w:r>
      <w:r>
        <w:rPr>
          <w:rFonts w:ascii="Calibri" w:eastAsia="Calibri" w:hAnsi="Calibri" w:cs="Calibri"/>
          <w:color w:val="1A1A1A"/>
        </w:rPr>
        <w:t xml:space="preserve"> : les victimes ont un </w:t>
      </w:r>
      <w:r>
        <w:rPr>
          <w:rFonts w:ascii="Calibri" w:eastAsia="Calibri" w:hAnsi="Calibri" w:cs="Calibri"/>
          <w:b/>
          <w:bCs/>
          <w:color w:val="1A1A1A"/>
        </w:rPr>
        <w:t>droit à réparation</w:t>
      </w:r>
      <w:r>
        <w:rPr>
          <w:rFonts w:ascii="Calibri" w:eastAsia="Calibri" w:hAnsi="Calibri" w:cs="Calibri"/>
          <w:color w:val="1A1A1A"/>
        </w:rPr>
        <w:t xml:space="preserve"> pour le préjudice moral et économique subi, reconnu tant au niveau national qu’européen (</w:t>
      </w:r>
      <w:r>
        <w:rPr>
          <w:rFonts w:ascii="Calibri" w:eastAsia="Calibri" w:hAnsi="Calibri" w:cs="Calibri"/>
          <w:color w:val="1E88E5"/>
        </w:rPr>
        <w:t>art. 15 de la Convention anti-traite</w:t>
      </w:r>
      <w:r>
        <w:rPr>
          <w:rFonts w:ascii="Calibri" w:eastAsia="Calibri" w:hAnsi="Calibri" w:cs="Calibri"/>
          <w:color w:val="1A1A1A"/>
        </w:rPr>
        <w:t xml:space="preserve"> ; </w:t>
      </w:r>
      <w:r>
        <w:rPr>
          <w:rFonts w:ascii="Calibri" w:eastAsia="Calibri" w:hAnsi="Calibri" w:cs="Calibri"/>
          <w:color w:val="1E88E5"/>
        </w:rPr>
        <w:t>art. 4 du Protocole de 2014</w:t>
      </w:r>
      <w:r>
        <w:rPr>
          <w:rFonts w:ascii="Calibri" w:eastAsia="Calibri" w:hAnsi="Calibri" w:cs="Calibri"/>
          <w:color w:val="1A1A1A"/>
        </w:rPr>
        <w:t xml:space="preserve">, ratifié par la France le 7 juin 2016), ainsi qu’un droit à la </w:t>
      </w:r>
      <w:r>
        <w:rPr>
          <w:rFonts w:ascii="Calibri" w:eastAsia="Calibri" w:hAnsi="Calibri" w:cs="Calibri"/>
          <w:b/>
          <w:bCs/>
          <w:color w:val="1A1A1A"/>
        </w:rPr>
        <w:t>réinsertion et à la réadaptation sociale</w:t>
      </w:r>
      <w:r>
        <w:rPr>
          <w:rFonts w:ascii="Calibri" w:eastAsia="Calibri" w:hAnsi="Calibri" w:cs="Calibri"/>
          <w:color w:val="1A1A1A"/>
        </w:rPr>
        <w:t xml:space="preserve"> avec le soutien des services compétents (</w:t>
      </w:r>
      <w:r>
        <w:rPr>
          <w:rFonts w:ascii="Calibri" w:eastAsia="Calibri" w:hAnsi="Calibri" w:cs="Calibri"/>
          <w:color w:val="1E88E5"/>
        </w:rPr>
        <w:t>art. 1er du Protocole de 2014</w:t>
      </w:r>
      <w:r>
        <w:rPr>
          <w:rFonts w:ascii="Calibri" w:eastAsia="Calibri" w:hAnsi="Calibri" w:cs="Calibri"/>
          <w:color w:val="1A1A1A"/>
        </w:rPr>
        <w:t>).</w:t>
      </w:r>
    </w:p>
    <w:p w14:paraId="1D010233" w14:textId="77777777" w:rsidR="004A4E1F" w:rsidRDefault="00000000">
      <w:pPr>
        <w:pStyle w:val="Titre2"/>
        <w:spacing w:before="280" w:after="120"/>
      </w:pPr>
      <w:r>
        <w:rPr>
          <w:rFonts w:ascii="Calibri" w:eastAsia="Calibri" w:hAnsi="Calibri" w:cs="Calibri"/>
          <w:b/>
          <w:bCs/>
          <w:color w:val="1A1A1A"/>
          <w:sz w:val="24"/>
          <w:szCs w:val="24"/>
        </w:rPr>
        <w:t>4. Dispositif « Grand Oral »</w:t>
      </w:r>
    </w:p>
    <w:p w14:paraId="4ABE2B54" w14:textId="77777777" w:rsidR="004A4E1F" w:rsidRDefault="00000000">
      <w:pPr>
        <w:pStyle w:val="Titre3"/>
        <w:spacing w:before="200" w:after="90"/>
      </w:pPr>
      <w:r>
        <w:rPr>
          <w:rFonts w:ascii="Calibri" w:eastAsia="Calibri" w:hAnsi="Calibri" w:cs="Calibri"/>
          <w:b/>
          <w:bCs/>
          <w:i/>
          <w:iCs/>
          <w:color w:val="5A5A5A"/>
          <w:sz w:val="21"/>
          <w:szCs w:val="21"/>
        </w:rPr>
        <w:t>4.1. Trois relances / questions pièges</w:t>
      </w:r>
    </w:p>
    <w:p w14:paraId="7C911652"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 Esclavage, servitude, travail forcé : comment les distinguer ? »</w:t>
      </w:r>
      <w:r>
        <w:rPr>
          <w:rFonts w:ascii="Calibri" w:eastAsia="Calibri" w:hAnsi="Calibri" w:cs="Calibri"/>
          <w:color w:val="1A1A1A"/>
        </w:rPr>
        <w:t xml:space="preserve"> — Par une </w:t>
      </w:r>
      <w:r>
        <w:rPr>
          <w:rFonts w:ascii="Calibri" w:eastAsia="Calibri" w:hAnsi="Calibri" w:cs="Calibri"/>
          <w:b/>
          <w:bCs/>
          <w:color w:val="1A1A1A"/>
        </w:rPr>
        <w:t>gradation</w:t>
      </w:r>
      <w:r>
        <w:rPr>
          <w:rFonts w:ascii="Calibri" w:eastAsia="Calibri" w:hAnsi="Calibri" w:cs="Calibri"/>
          <w:color w:val="1A1A1A"/>
        </w:rPr>
        <w:t xml:space="preserve">. L’esclavage suppose l’exercice d’attributs du droit de propriété ; la servitude est un travail forcé </w:t>
      </w:r>
      <w:r>
        <w:rPr>
          <w:rFonts w:ascii="Calibri" w:eastAsia="Calibri" w:hAnsi="Calibri" w:cs="Calibri"/>
          <w:b/>
          <w:bCs/>
          <w:color w:val="1A1A1A"/>
        </w:rPr>
        <w:t>aggravé</w:t>
      </w:r>
      <w:r>
        <w:rPr>
          <w:rFonts w:ascii="Calibri" w:eastAsia="Calibri" w:hAnsi="Calibri" w:cs="Calibri"/>
          <w:color w:val="1A1A1A"/>
        </w:rPr>
        <w:t xml:space="preserve">, marqué par l’impossibilité de changer de condition ; le travail forcé suppose la menace d’une peine et l’absence d’offre de plein gré. La traite est d’une autre nature : c’est un </w:t>
      </w:r>
      <w:r>
        <w:rPr>
          <w:rFonts w:ascii="Calibri" w:eastAsia="Calibri" w:hAnsi="Calibri" w:cs="Calibri"/>
          <w:b/>
          <w:bCs/>
          <w:color w:val="1A1A1A"/>
        </w:rPr>
        <w:t>processus</w:t>
      </w:r>
      <w:r>
        <w:rPr>
          <w:rFonts w:ascii="Calibri" w:eastAsia="Calibri" w:hAnsi="Calibri" w:cs="Calibri"/>
          <w:color w:val="1A1A1A"/>
        </w:rPr>
        <w:t xml:space="preserve"> (acte, moyen, but), non un état.</w:t>
      </w:r>
    </w:p>
    <w:p w14:paraId="65123BB4"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 Le consentement de la victime de traite est-il pertinent ? »</w:t>
      </w:r>
      <w:r>
        <w:rPr>
          <w:rFonts w:ascii="Calibri" w:eastAsia="Calibri" w:hAnsi="Calibri" w:cs="Calibri"/>
          <w:color w:val="1A1A1A"/>
        </w:rPr>
        <w:t xml:space="preserve"> — Non, dès lors que l’un des moyens listés a été employé ; et pour les </w:t>
      </w:r>
      <w:r>
        <w:rPr>
          <w:rFonts w:ascii="Calibri" w:eastAsia="Calibri" w:hAnsi="Calibri" w:cs="Calibri"/>
          <w:b/>
          <w:bCs/>
          <w:color w:val="1A1A1A"/>
        </w:rPr>
        <w:t>mineurs</w:t>
      </w:r>
      <w:r>
        <w:rPr>
          <w:rFonts w:ascii="Calibri" w:eastAsia="Calibri" w:hAnsi="Calibri" w:cs="Calibri"/>
          <w:color w:val="1A1A1A"/>
        </w:rPr>
        <w:t>, le critère du moyen n’est même pas requis, la situation de dépendance et de vulnérabilité s’y substituant.</w:t>
      </w:r>
    </w:p>
    <w:p w14:paraId="0789423C"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 Une victime de traite peut-elle être poursuivie pour les infractions commises sous la contrainte ? »</w:t>
      </w:r>
      <w:r>
        <w:rPr>
          <w:rFonts w:ascii="Calibri" w:eastAsia="Calibri" w:hAnsi="Calibri" w:cs="Calibri"/>
          <w:color w:val="1A1A1A"/>
        </w:rPr>
        <w:t xml:space="preserve"> — C’est tout l’enjeu de </w:t>
      </w:r>
      <w:r>
        <w:rPr>
          <w:rFonts w:ascii="Calibri" w:eastAsia="Calibri" w:hAnsi="Calibri" w:cs="Calibri"/>
          <w:color w:val="E91E63"/>
        </w:rPr>
        <w:t>V.C.L. et A.N.</w:t>
      </w:r>
      <w:r>
        <w:rPr>
          <w:rFonts w:ascii="Calibri" w:eastAsia="Calibri" w:hAnsi="Calibri" w:cs="Calibri"/>
          <w:color w:val="1A1A1A"/>
        </w:rPr>
        <w:t xml:space="preserve"> : la Cour ne condamne pas l’État sur la base de la criminalisation de la victime, mais sur le </w:t>
      </w:r>
      <w:r>
        <w:rPr>
          <w:rFonts w:ascii="Calibri" w:eastAsia="Calibri" w:hAnsi="Calibri" w:cs="Calibri"/>
          <w:b/>
          <w:bCs/>
          <w:color w:val="1A1A1A"/>
        </w:rPr>
        <w:t>non-respect du devoir d’assistance</w:t>
      </w:r>
      <w:r>
        <w:rPr>
          <w:rFonts w:ascii="Calibri" w:eastAsia="Calibri" w:hAnsi="Calibri" w:cs="Calibri"/>
          <w:color w:val="1A1A1A"/>
        </w:rPr>
        <w:t xml:space="preserve">. Les directives </w:t>
      </w:r>
      <w:r>
        <w:rPr>
          <w:rFonts w:ascii="Calibri" w:eastAsia="Calibri" w:hAnsi="Calibri" w:cs="Calibri"/>
          <w:color w:val="1E88E5"/>
        </w:rPr>
        <w:t>2011/36/UE</w:t>
      </w:r>
      <w:r>
        <w:rPr>
          <w:rFonts w:ascii="Calibri" w:eastAsia="Calibri" w:hAnsi="Calibri" w:cs="Calibri"/>
          <w:color w:val="1A1A1A"/>
        </w:rPr>
        <w:t xml:space="preserve"> et </w:t>
      </w:r>
      <w:r>
        <w:rPr>
          <w:rFonts w:ascii="Calibri" w:eastAsia="Calibri" w:hAnsi="Calibri" w:cs="Calibri"/>
          <w:color w:val="1E88E5"/>
        </w:rPr>
        <w:t>2024/1712</w:t>
      </w:r>
      <w:r>
        <w:rPr>
          <w:rFonts w:ascii="Calibri" w:eastAsia="Calibri" w:hAnsi="Calibri" w:cs="Calibri"/>
          <w:color w:val="1A1A1A"/>
        </w:rPr>
        <w:t xml:space="preserve"> prévoient expressément l’absence de poursuites.</w:t>
      </w:r>
    </w:p>
    <w:p w14:paraId="37BEA31B" w14:textId="77777777" w:rsidR="004A4E1F" w:rsidRDefault="00000000">
      <w:pPr>
        <w:pStyle w:val="Titre3"/>
        <w:spacing w:before="200" w:after="90"/>
      </w:pPr>
      <w:r>
        <w:rPr>
          <w:rFonts w:ascii="Calibri" w:eastAsia="Calibri" w:hAnsi="Calibri" w:cs="Calibri"/>
          <w:b/>
          <w:bCs/>
          <w:i/>
          <w:iCs/>
          <w:color w:val="5A5A5A"/>
          <w:sz w:val="21"/>
          <w:szCs w:val="21"/>
        </w:rPr>
        <w:lastRenderedPageBreak/>
        <w:t>4.2. Sujets d’exposé rattachables</w:t>
      </w:r>
    </w:p>
    <w:p w14:paraId="27841C33"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xml:space="preserve">« Commentaire de CEDH, </w:t>
      </w:r>
      <w:r>
        <w:rPr>
          <w:rFonts w:ascii="Calibri" w:eastAsia="Calibri" w:hAnsi="Calibri" w:cs="Calibri"/>
          <w:i/>
          <w:iCs/>
          <w:color w:val="1A1A1A"/>
        </w:rPr>
        <w:t>V.C.L. et A.N. c. Royaume-Uni</w:t>
      </w:r>
      <w:r>
        <w:rPr>
          <w:rFonts w:ascii="Calibri" w:eastAsia="Calibri" w:hAnsi="Calibri" w:cs="Calibri"/>
          <w:color w:val="1A1A1A"/>
        </w:rPr>
        <w:t xml:space="preserve"> » (sujet de commentaire expressément proposé par le fascicule).</w:t>
      </w:r>
    </w:p>
    <w:p w14:paraId="123A9EC1"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L’article 4 de la Convention européenne des droits de l’homme » ; « L’esclavage moderne ».</w:t>
      </w:r>
    </w:p>
    <w:p w14:paraId="6DE91DDD"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Les obligations positives en matière de traite des êtres humains » ; « La protection des mineurs contre l’exploitation ».</w:t>
      </w:r>
    </w:p>
    <w:p w14:paraId="232B99A1" w14:textId="77777777" w:rsidR="004A4E1F" w:rsidRDefault="00000000">
      <w:pPr>
        <w:pStyle w:val="Paragraphedeliste"/>
        <w:numPr>
          <w:ilvl w:val="0"/>
          <w:numId w:val="2"/>
        </w:numPr>
        <w:spacing w:after="70" w:line="264" w:lineRule="auto"/>
        <w:jc w:val="both"/>
      </w:pPr>
      <w:r>
        <w:rPr>
          <w:rFonts w:ascii="Calibri" w:eastAsia="Calibri" w:hAnsi="Calibri" w:cs="Calibri"/>
          <w:color w:val="1A1A1A"/>
        </w:rPr>
        <w:t>« Le travail forcé et ses exceptions » ; « Le devoir de vigilance et l’exploitation par le travail ».</w:t>
      </w:r>
    </w:p>
    <w:p w14:paraId="5AB17002" w14:textId="77777777" w:rsidR="004A4E1F" w:rsidRDefault="00000000">
      <w:pPr>
        <w:pStyle w:val="Titre3"/>
        <w:spacing w:before="200" w:after="90"/>
      </w:pPr>
      <w:r>
        <w:rPr>
          <w:rFonts w:ascii="Calibri" w:eastAsia="Calibri" w:hAnsi="Calibri" w:cs="Calibri"/>
          <w:b/>
          <w:bCs/>
          <w:i/>
          <w:iCs/>
          <w:color w:val="5A5A5A"/>
          <w:sz w:val="21"/>
          <w:szCs w:val="21"/>
        </w:rPr>
        <w:t>4.3. Angles morts — en question / réponse</w:t>
      </w:r>
    </w:p>
    <w:p w14:paraId="6422D13E"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Q. Les quatre situations de l’article 4 sont-elles toutes absolues ?</w:t>
      </w:r>
      <w:r>
        <w:rPr>
          <w:rFonts w:ascii="Calibri" w:eastAsia="Calibri" w:hAnsi="Calibri" w:cs="Calibri"/>
          <w:color w:val="1A1A1A"/>
        </w:rPr>
        <w:t xml:space="preserve"> — Non : le </w:t>
      </w:r>
      <w:r>
        <w:rPr>
          <w:rFonts w:ascii="Calibri" w:eastAsia="Calibri" w:hAnsi="Calibri" w:cs="Calibri"/>
          <w:b/>
          <w:bCs/>
          <w:color w:val="1A1A1A"/>
        </w:rPr>
        <w:t>travail forcé</w:t>
      </w:r>
      <w:r>
        <w:rPr>
          <w:rFonts w:ascii="Calibri" w:eastAsia="Calibri" w:hAnsi="Calibri" w:cs="Calibri"/>
          <w:color w:val="1A1A1A"/>
        </w:rPr>
        <w:t xml:space="preserve"> connaît des exceptions (obligations civiques, détention, travaux d’intérêt général, force majeure). C’est le seul des quatre.</w:t>
      </w:r>
    </w:p>
    <w:p w14:paraId="26C23388"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Q. La traite figure-t-elle dans le texte de l’article 4 ?</w:t>
      </w:r>
      <w:r>
        <w:rPr>
          <w:rFonts w:ascii="Calibri" w:eastAsia="Calibri" w:hAnsi="Calibri" w:cs="Calibri"/>
          <w:color w:val="1A1A1A"/>
        </w:rPr>
        <w:t xml:space="preserve"> — Non : elle y est rattachée par </w:t>
      </w:r>
      <w:r>
        <w:rPr>
          <w:rFonts w:ascii="Calibri" w:eastAsia="Calibri" w:hAnsi="Calibri" w:cs="Calibri"/>
          <w:b/>
          <w:bCs/>
          <w:color w:val="1A1A1A"/>
        </w:rPr>
        <w:t>interprétation du but et de l’objet</w:t>
      </w:r>
      <w:r>
        <w:rPr>
          <w:rFonts w:ascii="Calibri" w:eastAsia="Calibri" w:hAnsi="Calibri" w:cs="Calibri"/>
          <w:color w:val="1A1A1A"/>
        </w:rPr>
        <w:t xml:space="preserve"> de l’article (</w:t>
      </w:r>
      <w:r>
        <w:rPr>
          <w:rFonts w:ascii="Calibri" w:eastAsia="Calibri" w:hAnsi="Calibri" w:cs="Calibri"/>
          <w:color w:val="E91E63"/>
        </w:rPr>
        <w:t>Rantsev</w:t>
      </w:r>
      <w:r>
        <w:rPr>
          <w:rFonts w:ascii="Calibri" w:eastAsia="Calibri" w:hAnsi="Calibri" w:cs="Calibri"/>
          <w:color w:val="1A1A1A"/>
        </w:rPr>
        <w:t xml:space="preserve"> ; </w:t>
      </w:r>
      <w:r>
        <w:rPr>
          <w:rFonts w:ascii="Calibri" w:eastAsia="Calibri" w:hAnsi="Calibri" w:cs="Calibri"/>
          <w:color w:val="E91E63"/>
        </w:rPr>
        <w:t>S.M. c. Croatie</w:t>
      </w:r>
      <w:r>
        <w:rPr>
          <w:rFonts w:ascii="Calibri" w:eastAsia="Calibri" w:hAnsi="Calibri" w:cs="Calibri"/>
          <w:color w:val="1A1A1A"/>
        </w:rPr>
        <w:t>). En revanche, elle figure expressément à l’</w:t>
      </w:r>
      <w:r>
        <w:rPr>
          <w:rFonts w:ascii="Calibri" w:eastAsia="Calibri" w:hAnsi="Calibri" w:cs="Calibri"/>
          <w:color w:val="1E88E5"/>
        </w:rPr>
        <w:t>art. 5 § 3 de la Charte des droits fondamentaux</w:t>
      </w:r>
      <w:r>
        <w:rPr>
          <w:rFonts w:ascii="Calibri" w:eastAsia="Calibri" w:hAnsi="Calibri" w:cs="Calibri"/>
          <w:color w:val="1A1A1A"/>
        </w:rPr>
        <w:t>.</w:t>
      </w:r>
    </w:p>
    <w:p w14:paraId="033FB37D"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Q. Pourquoi la France a-t-elle été condamnée en 2005 et 2012 ?</w:t>
      </w:r>
      <w:r>
        <w:rPr>
          <w:rFonts w:ascii="Calibri" w:eastAsia="Calibri" w:hAnsi="Calibri" w:cs="Calibri"/>
          <w:color w:val="1A1A1A"/>
        </w:rPr>
        <w:t xml:space="preserve"> — Pour les </w:t>
      </w:r>
      <w:r>
        <w:rPr>
          <w:rFonts w:ascii="Calibri" w:eastAsia="Calibri" w:hAnsi="Calibri" w:cs="Calibri"/>
          <w:b/>
          <w:bCs/>
          <w:color w:val="1A1A1A"/>
        </w:rPr>
        <w:t>lacunes de son système pénal</w:t>
      </w:r>
      <w:r>
        <w:rPr>
          <w:rFonts w:ascii="Calibri" w:eastAsia="Calibri" w:hAnsi="Calibri" w:cs="Calibri"/>
          <w:color w:val="1A1A1A"/>
        </w:rPr>
        <w:t xml:space="preserve"> : inadéquation des critères de qualification de la servitude, défaut de criminalisation et de répression effective. D’où la </w:t>
      </w:r>
      <w:r>
        <w:rPr>
          <w:rFonts w:ascii="Calibri" w:eastAsia="Calibri" w:hAnsi="Calibri" w:cs="Calibri"/>
          <w:color w:val="1E88E5"/>
        </w:rPr>
        <w:t>loi du 5 août 2013</w:t>
      </w:r>
      <w:r>
        <w:rPr>
          <w:rFonts w:ascii="Calibri" w:eastAsia="Calibri" w:hAnsi="Calibri" w:cs="Calibri"/>
          <w:color w:val="1A1A1A"/>
        </w:rPr>
        <w:t>.</w:t>
      </w:r>
    </w:p>
    <w:p w14:paraId="3DD57609"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Q. L’enquête suppose-t-elle une plainte de la victime ?</w:t>
      </w:r>
      <w:r>
        <w:rPr>
          <w:rFonts w:ascii="Calibri" w:eastAsia="Calibri" w:hAnsi="Calibri" w:cs="Calibri"/>
          <w:color w:val="1A1A1A"/>
        </w:rPr>
        <w:t xml:space="preserve"> — Non : les autorités doivent agir </w:t>
      </w:r>
      <w:r>
        <w:rPr>
          <w:rFonts w:ascii="Calibri" w:eastAsia="Calibri" w:hAnsi="Calibri" w:cs="Calibri"/>
          <w:i/>
          <w:iCs/>
          <w:color w:val="1A1A1A"/>
        </w:rPr>
        <w:t>propio motu</w:t>
      </w:r>
      <w:r>
        <w:rPr>
          <w:rFonts w:ascii="Calibri" w:eastAsia="Calibri" w:hAnsi="Calibri" w:cs="Calibri"/>
          <w:color w:val="1A1A1A"/>
        </w:rPr>
        <w:t>. C’est une obligation de moyen, soumise à des exigences de célérité et de diligence raisonnable.</w:t>
      </w:r>
    </w:p>
    <w:p w14:paraId="411E16E1"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Q. Quels sont les trois éléments de la traite ?</w:t>
      </w:r>
      <w:r>
        <w:rPr>
          <w:rFonts w:ascii="Calibri" w:eastAsia="Calibri" w:hAnsi="Calibri" w:cs="Calibri"/>
          <w:color w:val="1A1A1A"/>
        </w:rPr>
        <w:t xml:space="preserve"> — Un </w:t>
      </w:r>
      <w:r>
        <w:rPr>
          <w:rFonts w:ascii="Calibri" w:eastAsia="Calibri" w:hAnsi="Calibri" w:cs="Calibri"/>
          <w:b/>
          <w:bCs/>
          <w:color w:val="1A1A1A"/>
        </w:rPr>
        <w:t>acte</w:t>
      </w:r>
      <w:r>
        <w:rPr>
          <w:rFonts w:ascii="Calibri" w:eastAsia="Calibri" w:hAnsi="Calibri" w:cs="Calibri"/>
          <w:color w:val="1A1A1A"/>
        </w:rPr>
        <w:t xml:space="preserve">, un </w:t>
      </w:r>
      <w:r>
        <w:rPr>
          <w:rFonts w:ascii="Calibri" w:eastAsia="Calibri" w:hAnsi="Calibri" w:cs="Calibri"/>
          <w:b/>
          <w:bCs/>
          <w:color w:val="1A1A1A"/>
        </w:rPr>
        <w:t>moyen</w:t>
      </w:r>
      <w:r>
        <w:rPr>
          <w:rFonts w:ascii="Calibri" w:eastAsia="Calibri" w:hAnsi="Calibri" w:cs="Calibri"/>
          <w:color w:val="1A1A1A"/>
        </w:rPr>
        <w:t xml:space="preserve">, un </w:t>
      </w:r>
      <w:r>
        <w:rPr>
          <w:rFonts w:ascii="Calibri" w:eastAsia="Calibri" w:hAnsi="Calibri" w:cs="Calibri"/>
          <w:b/>
          <w:bCs/>
          <w:color w:val="1A1A1A"/>
        </w:rPr>
        <w:t>but d’exploitation</w:t>
      </w:r>
      <w:r>
        <w:rPr>
          <w:rFonts w:ascii="Calibri" w:eastAsia="Calibri" w:hAnsi="Calibri" w:cs="Calibri"/>
          <w:color w:val="1A1A1A"/>
        </w:rPr>
        <w:t>. Pour les mineurs, le critère du moyen n’est pas requis.</w:t>
      </w:r>
    </w:p>
    <w:p w14:paraId="3A609DE4"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Q. Qui contrôle l’application de la Convention anti-traite ?</w:t>
      </w:r>
      <w:r>
        <w:rPr>
          <w:rFonts w:ascii="Calibri" w:eastAsia="Calibri" w:hAnsi="Calibri" w:cs="Calibri"/>
          <w:color w:val="1A1A1A"/>
        </w:rPr>
        <w:t xml:space="preserve"> — Le </w:t>
      </w:r>
      <w:r>
        <w:rPr>
          <w:rFonts w:ascii="Calibri" w:eastAsia="Calibri" w:hAnsi="Calibri" w:cs="Calibri"/>
          <w:b/>
          <w:bCs/>
          <w:color w:val="1A1A1A"/>
        </w:rPr>
        <w:t>GRETA</w:t>
      </w:r>
      <w:r>
        <w:rPr>
          <w:rFonts w:ascii="Calibri" w:eastAsia="Calibri" w:hAnsi="Calibri" w:cs="Calibri"/>
          <w:color w:val="1A1A1A"/>
        </w:rPr>
        <w:t>, par cycles d’évaluation. Son quatrième rapport sur la France date du 25 juin 2026.</w:t>
      </w:r>
    </w:p>
    <w:p w14:paraId="2795F9BD" w14:textId="77777777" w:rsidR="004A4E1F" w:rsidRDefault="00000000">
      <w:r>
        <w:br w:type="page"/>
      </w:r>
    </w:p>
    <w:p w14:paraId="3F9A8D32" w14:textId="77777777" w:rsidR="004A4E1F" w:rsidRDefault="00000000">
      <w:pPr>
        <w:pStyle w:val="Titre1"/>
        <w:pBdr>
          <w:bottom w:val="single" w:sz="12" w:space="6" w:color="8C1C2B"/>
        </w:pBdr>
        <w:spacing w:before="240" w:after="200"/>
      </w:pPr>
      <w:r>
        <w:rPr>
          <w:rFonts w:ascii="Calibri" w:eastAsia="Calibri" w:hAnsi="Calibri" w:cs="Calibri"/>
          <w:b/>
          <w:bCs/>
          <w:color w:val="8C1C2B"/>
          <w:sz w:val="30"/>
          <w:szCs w:val="30"/>
        </w:rPr>
        <w:lastRenderedPageBreak/>
        <w:t>ANNEXE — DÉCOUPAGE DE LA PARTIE VI ET COMPLÉMENTS À L’INDEX</w:t>
      </w:r>
    </w:p>
    <w:p w14:paraId="27278039" w14:textId="77777777" w:rsidR="004A4E1F" w:rsidRDefault="00000000">
      <w:pPr>
        <w:pStyle w:val="Titre2"/>
        <w:spacing w:before="280" w:after="120"/>
      </w:pPr>
      <w:r>
        <w:rPr>
          <w:rFonts w:ascii="Calibri" w:eastAsia="Calibri" w:hAnsi="Calibri" w:cs="Calibri"/>
          <w:b/>
          <w:bCs/>
          <w:color w:val="1A1A1A"/>
          <w:sz w:val="24"/>
          <w:szCs w:val="24"/>
        </w:rPr>
        <w:t>I. Le découpage retenu pour la Partie VI (fiches 26 à 44)</w:t>
      </w:r>
    </w:p>
    <w:p w14:paraId="316EC201"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VI-A — L’intégrité de la personne</w:t>
      </w:r>
      <w:r>
        <w:rPr>
          <w:rFonts w:ascii="Calibri" w:eastAsia="Calibri" w:hAnsi="Calibri" w:cs="Calibri"/>
          <w:color w:val="1A1A1A"/>
        </w:rPr>
        <w:t xml:space="preserve"> (fiches 26 à 29) : droit à la vie, intégrité de la personne, interdiction de la torture, interdiction de l’esclavage et du travail forcé. </w:t>
      </w:r>
      <w:r>
        <w:rPr>
          <w:rFonts w:ascii="Calibri" w:eastAsia="Calibri" w:hAnsi="Calibri" w:cs="Calibri"/>
          <w:b/>
          <w:bCs/>
          <w:color w:val="1A1A1A"/>
        </w:rPr>
        <w:t>Unité</w:t>
      </w:r>
      <w:r>
        <w:rPr>
          <w:rFonts w:ascii="Calibri" w:eastAsia="Calibri" w:hAnsi="Calibri" w:cs="Calibri"/>
          <w:color w:val="1A1A1A"/>
        </w:rPr>
        <w:t>, les droits les plus proches de l’indérogeabilité, tous construits sur le triptyque obligations négatives / procédurales / positives.</w:t>
      </w:r>
    </w:p>
    <w:p w14:paraId="01157C28"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VI-B — La sûreté et les garanties procédurales</w:t>
      </w:r>
      <w:r>
        <w:rPr>
          <w:rFonts w:ascii="Calibri" w:eastAsia="Calibri" w:hAnsi="Calibri" w:cs="Calibri"/>
          <w:color w:val="1A1A1A"/>
        </w:rPr>
        <w:t xml:space="preserve"> (fiches 30 à 32) : droit à la liberté et à la sûreté, procès équitable et recours effectif, garanties fondamentales en matière pénale. </w:t>
      </w:r>
      <w:r>
        <w:rPr>
          <w:rFonts w:ascii="Calibri" w:eastAsia="Calibri" w:hAnsi="Calibri" w:cs="Calibri"/>
          <w:b/>
          <w:bCs/>
          <w:color w:val="1A1A1A"/>
        </w:rPr>
        <w:t>Unité</w:t>
      </w:r>
      <w:r>
        <w:rPr>
          <w:rFonts w:ascii="Calibri" w:eastAsia="Calibri" w:hAnsi="Calibri" w:cs="Calibri"/>
          <w:color w:val="1A1A1A"/>
        </w:rPr>
        <w:t xml:space="preserve"> : le rapport de l’individu à la contrainte étatique et au juge.</w:t>
      </w:r>
    </w:p>
    <w:p w14:paraId="3048AB34"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VI-C — La sphère privée</w:t>
      </w:r>
      <w:r>
        <w:rPr>
          <w:rFonts w:ascii="Calibri" w:eastAsia="Calibri" w:hAnsi="Calibri" w:cs="Calibri"/>
          <w:color w:val="1A1A1A"/>
        </w:rPr>
        <w:t xml:space="preserve"> (fiches 33 à 35) : vie privée, vie familiale, protection des données à caractère personnel. </w:t>
      </w:r>
      <w:r>
        <w:rPr>
          <w:rFonts w:ascii="Calibri" w:eastAsia="Calibri" w:hAnsi="Calibri" w:cs="Calibri"/>
          <w:b/>
          <w:bCs/>
          <w:color w:val="1A1A1A"/>
        </w:rPr>
        <w:t>Unité</w:t>
      </w:r>
      <w:r>
        <w:rPr>
          <w:rFonts w:ascii="Calibri" w:eastAsia="Calibri" w:hAnsi="Calibri" w:cs="Calibri"/>
          <w:color w:val="1A1A1A"/>
        </w:rPr>
        <w:t xml:space="preserve"> : l’</w:t>
      </w:r>
      <w:r>
        <w:rPr>
          <w:rFonts w:ascii="Calibri" w:eastAsia="Calibri" w:hAnsi="Calibri" w:cs="Calibri"/>
          <w:color w:val="1E88E5"/>
        </w:rPr>
        <w:t>art. 8</w:t>
      </w:r>
      <w:r>
        <w:rPr>
          <w:rFonts w:ascii="Calibri" w:eastAsia="Calibri" w:hAnsi="Calibri" w:cs="Calibri"/>
          <w:color w:val="1A1A1A"/>
        </w:rPr>
        <w:t xml:space="preserve"> et ses prolongements numériques.</w:t>
      </w:r>
    </w:p>
    <w:p w14:paraId="6EDCA4DC"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VI-D — Les libertés de l’esprit et les libertés collectives</w:t>
      </w:r>
      <w:r>
        <w:rPr>
          <w:rFonts w:ascii="Calibri" w:eastAsia="Calibri" w:hAnsi="Calibri" w:cs="Calibri"/>
          <w:color w:val="1A1A1A"/>
        </w:rPr>
        <w:t xml:space="preserve"> (fiches 36 à 39) : pensée, conscience et religion, expression, réunion et manifestation, association. </w:t>
      </w:r>
      <w:r>
        <w:rPr>
          <w:rFonts w:ascii="Calibri" w:eastAsia="Calibri" w:hAnsi="Calibri" w:cs="Calibri"/>
          <w:b/>
          <w:bCs/>
          <w:color w:val="1A1A1A"/>
        </w:rPr>
        <w:t>Unité</w:t>
      </w:r>
      <w:r>
        <w:rPr>
          <w:rFonts w:ascii="Calibri" w:eastAsia="Calibri" w:hAnsi="Calibri" w:cs="Calibri"/>
          <w:color w:val="1A1A1A"/>
        </w:rPr>
        <w:t xml:space="preserve"> : les libertés soumises au triple test des </w:t>
      </w:r>
      <w:r>
        <w:rPr>
          <w:rFonts w:ascii="Calibri" w:eastAsia="Calibri" w:hAnsi="Calibri" w:cs="Calibri"/>
          <w:color w:val="1E88E5"/>
        </w:rPr>
        <w:t>art. 9 à 11</w:t>
      </w:r>
      <w:r>
        <w:rPr>
          <w:rFonts w:ascii="Calibri" w:eastAsia="Calibri" w:hAnsi="Calibri" w:cs="Calibri"/>
          <w:color w:val="1A1A1A"/>
        </w:rPr>
        <w:t>.</w:t>
      </w:r>
    </w:p>
    <w:p w14:paraId="21AD6F64"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VI-E — Circulation, participation et autodétermination</w:t>
      </w:r>
      <w:r>
        <w:rPr>
          <w:rFonts w:ascii="Calibri" w:eastAsia="Calibri" w:hAnsi="Calibri" w:cs="Calibri"/>
          <w:color w:val="1A1A1A"/>
        </w:rPr>
        <w:t xml:space="preserve"> (fiches 40 à 44) : aller et venir, enseignement, élections libres, éloignement-expulsion-extradition, droit des peuples à disposer d’eux-mêmes. </w:t>
      </w:r>
      <w:r>
        <w:rPr>
          <w:rFonts w:ascii="Calibri" w:eastAsia="Calibri" w:hAnsi="Calibri" w:cs="Calibri"/>
          <w:b/>
          <w:bCs/>
          <w:color w:val="1A1A1A"/>
        </w:rPr>
        <w:t>Unité</w:t>
      </w:r>
      <w:r>
        <w:rPr>
          <w:rFonts w:ascii="Calibri" w:eastAsia="Calibri" w:hAnsi="Calibri" w:cs="Calibri"/>
          <w:color w:val="1A1A1A"/>
        </w:rPr>
        <w:t xml:space="preserve"> : le rapport au territoire, à la citoyenneté et à la souveraineté.</w:t>
      </w:r>
    </w:p>
    <w:p w14:paraId="15971AEF"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Logique du découpage</w:t>
      </w:r>
      <w:r>
        <w:rPr>
          <w:rFonts w:ascii="Calibri" w:eastAsia="Calibri" w:hAnsi="Calibri" w:cs="Calibri"/>
          <w:color w:val="1A1A1A"/>
        </w:rPr>
        <w:t xml:space="preserve"> : il respecte l’ordre du fascicule — donc la navigation dans le support d’origine — tout en regroupant les fiches par </w:t>
      </w:r>
      <w:r>
        <w:rPr>
          <w:rFonts w:ascii="Calibri" w:eastAsia="Calibri" w:hAnsi="Calibri" w:cs="Calibri"/>
          <w:b/>
          <w:bCs/>
          <w:color w:val="1A1A1A"/>
        </w:rPr>
        <w:t>régime juridique commun</w:t>
      </w:r>
      <w:r>
        <w:rPr>
          <w:rFonts w:ascii="Calibri" w:eastAsia="Calibri" w:hAnsi="Calibri" w:cs="Calibri"/>
          <w:color w:val="1A1A1A"/>
        </w:rPr>
        <w:t>, ce qui permet de réviser ensemble des fiches qui partagent les mêmes raisonnements et les mêmes arrêts. Chaque bloc compte trois à cinq fiches, pour des documents d’un volume comparable à celui des parties précédentes.</w:t>
      </w:r>
    </w:p>
    <w:p w14:paraId="60F100DD" w14:textId="77777777" w:rsidR="004A4E1F" w:rsidRDefault="00000000">
      <w:pPr>
        <w:pStyle w:val="Titre2"/>
        <w:spacing w:before="280" w:after="120"/>
      </w:pPr>
      <w:r>
        <w:rPr>
          <w:rFonts w:ascii="Calibri" w:eastAsia="Calibri" w:hAnsi="Calibri" w:cs="Calibri"/>
          <w:b/>
          <w:bCs/>
          <w:color w:val="1A1A1A"/>
          <w:sz w:val="24"/>
          <w:szCs w:val="24"/>
        </w:rPr>
        <w:t>II. Ajouts à l’index transversal</w:t>
      </w:r>
    </w:p>
    <w:p w14:paraId="18BB076A"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Dignité</w:t>
      </w:r>
      <w:r>
        <w:rPr>
          <w:rFonts w:ascii="Calibri" w:eastAsia="Calibri" w:hAnsi="Calibri" w:cs="Calibri"/>
          <w:color w:val="1A1A1A"/>
        </w:rPr>
        <w:t xml:space="preserve"> → fiches 1, 5, 6, 9, 26 (fin de vie), 27 (consentement et réification, </w:t>
      </w:r>
      <w:r>
        <w:rPr>
          <w:rFonts w:ascii="Calibri" w:eastAsia="Calibri" w:hAnsi="Calibri" w:cs="Calibri"/>
          <w:color w:val="E91E63"/>
        </w:rPr>
        <w:t>Société Z Machine</w:t>
      </w:r>
      <w:r>
        <w:rPr>
          <w:rFonts w:ascii="Calibri" w:eastAsia="Calibri" w:hAnsi="Calibri" w:cs="Calibri"/>
          <w:color w:val="1A1A1A"/>
        </w:rPr>
        <w:t xml:space="preserve">), 28 (détention indigne, </w:t>
      </w:r>
      <w:r>
        <w:rPr>
          <w:rFonts w:ascii="Calibri" w:eastAsia="Calibri" w:hAnsi="Calibri" w:cs="Calibri"/>
          <w:color w:val="E91E63"/>
        </w:rPr>
        <w:t>2009-593 DC</w:t>
      </w:r>
      <w:r>
        <w:rPr>
          <w:rFonts w:ascii="Calibri" w:eastAsia="Calibri" w:hAnsi="Calibri" w:cs="Calibri"/>
          <w:color w:val="1A1A1A"/>
        </w:rPr>
        <w:t xml:space="preserve">, </w:t>
      </w:r>
      <w:r>
        <w:rPr>
          <w:rFonts w:ascii="Calibri" w:eastAsia="Calibri" w:hAnsi="Calibri" w:cs="Calibri"/>
          <w:color w:val="E91E63"/>
        </w:rPr>
        <w:t>2023-1064 QPC</w:t>
      </w:r>
      <w:r>
        <w:rPr>
          <w:rFonts w:ascii="Calibri" w:eastAsia="Calibri" w:hAnsi="Calibri" w:cs="Calibri"/>
          <w:color w:val="1A1A1A"/>
        </w:rPr>
        <w:t>), 29 (exploitation).</w:t>
      </w:r>
    </w:p>
    <w:p w14:paraId="5A181AEA"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Autonomie personnelle et consentement</w:t>
      </w:r>
      <w:r>
        <w:rPr>
          <w:rFonts w:ascii="Calibri" w:eastAsia="Calibri" w:hAnsi="Calibri" w:cs="Calibri"/>
          <w:color w:val="1A1A1A"/>
        </w:rPr>
        <w:t xml:space="preserve"> → fiches 5 (</w:t>
      </w:r>
      <w:r>
        <w:rPr>
          <w:rFonts w:ascii="Calibri" w:eastAsia="Calibri" w:hAnsi="Calibri" w:cs="Calibri"/>
          <w:color w:val="E91E63"/>
        </w:rPr>
        <w:t>K.A. et A.D.</w:t>
      </w:r>
      <w:r>
        <w:rPr>
          <w:rFonts w:ascii="Calibri" w:eastAsia="Calibri" w:hAnsi="Calibri" w:cs="Calibri"/>
          <w:color w:val="1A1A1A"/>
        </w:rPr>
        <w:t>), 26 (</w:t>
      </w:r>
      <w:r>
        <w:rPr>
          <w:rFonts w:ascii="Calibri" w:eastAsia="Calibri" w:hAnsi="Calibri" w:cs="Calibri"/>
          <w:color w:val="E91E63"/>
        </w:rPr>
        <w:t>Pretty</w:t>
      </w:r>
      <w:r>
        <w:rPr>
          <w:rFonts w:ascii="Calibri" w:eastAsia="Calibri" w:hAnsi="Calibri" w:cs="Calibri"/>
          <w:color w:val="1A1A1A"/>
        </w:rPr>
        <w:t>, fin de vie), 27 (</w:t>
      </w:r>
      <w:r>
        <w:rPr>
          <w:rFonts w:ascii="Calibri" w:eastAsia="Calibri" w:hAnsi="Calibri" w:cs="Calibri"/>
          <w:color w:val="E91E63"/>
        </w:rPr>
        <w:t>Garçon et Nicot</w:t>
      </w:r>
      <w:r>
        <w:rPr>
          <w:rFonts w:ascii="Calibri" w:eastAsia="Calibri" w:hAnsi="Calibri" w:cs="Calibri"/>
          <w:color w:val="1A1A1A"/>
        </w:rPr>
        <w:t xml:space="preserve">, loi du 6 novembre 2025, </w:t>
      </w:r>
      <w:r>
        <w:rPr>
          <w:rFonts w:ascii="Calibri" w:eastAsia="Calibri" w:hAnsi="Calibri" w:cs="Calibri"/>
          <w:color w:val="E91E63"/>
        </w:rPr>
        <w:t>Société Z Machine</w:t>
      </w:r>
      <w:r>
        <w:rPr>
          <w:rFonts w:ascii="Calibri" w:eastAsia="Calibri" w:hAnsi="Calibri" w:cs="Calibri"/>
          <w:color w:val="1A1A1A"/>
        </w:rPr>
        <w:t>), 29 (indifférence du consentement en matière de traite).</w:t>
      </w:r>
    </w:p>
    <w:p w14:paraId="69CD5FB1"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Obligations positives</w:t>
      </w:r>
      <w:r>
        <w:rPr>
          <w:rFonts w:ascii="Calibri" w:eastAsia="Calibri" w:hAnsi="Calibri" w:cs="Calibri"/>
          <w:color w:val="1A1A1A"/>
        </w:rPr>
        <w:t xml:space="preserve"> → fiches 14, 22 (classification), 26 (</w:t>
      </w:r>
      <w:r>
        <w:rPr>
          <w:rFonts w:ascii="Calibri" w:eastAsia="Calibri" w:hAnsi="Calibri" w:cs="Calibri"/>
          <w:color w:val="E91E63"/>
        </w:rPr>
        <w:t>Osman</w:t>
      </w:r>
      <w:r>
        <w:rPr>
          <w:rFonts w:ascii="Calibri" w:eastAsia="Calibri" w:hAnsi="Calibri" w:cs="Calibri"/>
          <w:color w:val="1A1A1A"/>
        </w:rPr>
        <w:t xml:space="preserve">, </w:t>
      </w:r>
      <w:r>
        <w:rPr>
          <w:rFonts w:ascii="Calibri" w:eastAsia="Calibri" w:hAnsi="Calibri" w:cs="Calibri"/>
          <w:color w:val="E91E63"/>
        </w:rPr>
        <w:t>Cannavacciuolo</w:t>
      </w:r>
      <w:r>
        <w:rPr>
          <w:rFonts w:ascii="Calibri" w:eastAsia="Calibri" w:hAnsi="Calibri" w:cs="Calibri"/>
          <w:color w:val="1A1A1A"/>
        </w:rPr>
        <w:t xml:space="preserve">), 27 (cadre législatif adéquat), 28 (triptyque de </w:t>
      </w:r>
      <w:r>
        <w:rPr>
          <w:rFonts w:ascii="Calibri" w:eastAsia="Calibri" w:hAnsi="Calibri" w:cs="Calibri"/>
          <w:color w:val="E91E63"/>
        </w:rPr>
        <w:t>X et a. c. Bulgarie</w:t>
      </w:r>
      <w:r>
        <w:rPr>
          <w:rFonts w:ascii="Calibri" w:eastAsia="Calibri" w:hAnsi="Calibri" w:cs="Calibri"/>
          <w:color w:val="1A1A1A"/>
        </w:rPr>
        <w:t>), 29 (prévention, mesures opérationnelles, enquête, réparation).</w:t>
      </w:r>
    </w:p>
    <w:p w14:paraId="06DCFD98"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Droits indérogeables</w:t>
      </w:r>
      <w:r>
        <w:rPr>
          <w:rFonts w:ascii="Calibri" w:eastAsia="Calibri" w:hAnsi="Calibri" w:cs="Calibri"/>
          <w:color w:val="1A1A1A"/>
        </w:rPr>
        <w:t xml:space="preserve"> → fiches 7 (</w:t>
      </w:r>
      <w:r>
        <w:rPr>
          <w:rFonts w:ascii="Calibri" w:eastAsia="Calibri" w:hAnsi="Calibri" w:cs="Calibri"/>
          <w:color w:val="1E88E5"/>
        </w:rPr>
        <w:t>art. 15 CEDH</w:t>
      </w:r>
      <w:r>
        <w:rPr>
          <w:rFonts w:ascii="Calibri" w:eastAsia="Calibri" w:hAnsi="Calibri" w:cs="Calibri"/>
          <w:color w:val="1A1A1A"/>
        </w:rPr>
        <w:t xml:space="preserve">, </w:t>
      </w:r>
      <w:r>
        <w:rPr>
          <w:rFonts w:ascii="Calibri" w:eastAsia="Calibri" w:hAnsi="Calibri" w:cs="Calibri"/>
          <w:color w:val="1E88E5"/>
        </w:rPr>
        <w:t>art. 4 PIDCP</w:t>
      </w:r>
      <w:r>
        <w:rPr>
          <w:rFonts w:ascii="Calibri" w:eastAsia="Calibri" w:hAnsi="Calibri" w:cs="Calibri"/>
          <w:color w:val="1A1A1A"/>
        </w:rPr>
        <w:t>), 13 (</w:t>
      </w:r>
      <w:r>
        <w:rPr>
          <w:rFonts w:ascii="Calibri" w:eastAsia="Calibri" w:hAnsi="Calibri" w:cs="Calibri"/>
          <w:color w:val="1E88E5"/>
        </w:rPr>
        <w:t>art. 4 § 2 PIDCP</w:t>
      </w:r>
      <w:r>
        <w:rPr>
          <w:rFonts w:ascii="Calibri" w:eastAsia="Calibri" w:hAnsi="Calibri" w:cs="Calibri"/>
          <w:color w:val="1A1A1A"/>
        </w:rPr>
        <w:t>), 14 (droits absolus), 26 (réserve des actes licites de guerre), 28 (</w:t>
      </w:r>
      <w:r>
        <w:rPr>
          <w:rFonts w:ascii="Calibri" w:eastAsia="Calibri" w:hAnsi="Calibri" w:cs="Calibri"/>
          <w:i/>
          <w:iCs/>
          <w:color w:val="1A1A1A"/>
        </w:rPr>
        <w:t>jus cogens</w:t>
      </w:r>
      <w:r>
        <w:rPr>
          <w:rFonts w:ascii="Calibri" w:eastAsia="Calibri" w:hAnsi="Calibri" w:cs="Calibri"/>
          <w:color w:val="1A1A1A"/>
        </w:rPr>
        <w:t>), 29 (caractère absolu, sauf travail forcé).</w:t>
      </w:r>
    </w:p>
    <w:p w14:paraId="66F96019"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Détention</w:t>
      </w:r>
      <w:r>
        <w:rPr>
          <w:rFonts w:ascii="Calibri" w:eastAsia="Calibri" w:hAnsi="Calibri" w:cs="Calibri"/>
          <w:color w:val="1A1A1A"/>
        </w:rPr>
        <w:t xml:space="preserve"> → fiches 17 (</w:t>
      </w:r>
      <w:r>
        <w:rPr>
          <w:rFonts w:ascii="Calibri" w:eastAsia="Calibri" w:hAnsi="Calibri" w:cs="Calibri"/>
          <w:color w:val="1E88E5"/>
        </w:rPr>
        <w:t>art. 66 C.</w:t>
      </w:r>
      <w:r>
        <w:rPr>
          <w:rFonts w:ascii="Calibri" w:eastAsia="Calibri" w:hAnsi="Calibri" w:cs="Calibri"/>
          <w:color w:val="1A1A1A"/>
        </w:rPr>
        <w:t xml:space="preserve">, peines privatives de liberté), 19 (isolement et contention), 20 (CGLPL), 28 (conditions indignes, </w:t>
      </w:r>
      <w:r>
        <w:rPr>
          <w:rFonts w:ascii="Calibri" w:eastAsia="Calibri" w:hAnsi="Calibri" w:cs="Calibri"/>
          <w:color w:val="1E88E5"/>
        </w:rPr>
        <w:t>art. 803-8 CPP</w:t>
      </w:r>
      <w:r>
        <w:rPr>
          <w:rFonts w:ascii="Calibri" w:eastAsia="Calibri" w:hAnsi="Calibri" w:cs="Calibri"/>
          <w:color w:val="1A1A1A"/>
        </w:rPr>
        <w:t>, surpopulation).</w:t>
      </w:r>
    </w:p>
    <w:p w14:paraId="07E87B8C"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Vulnérabilité</w:t>
      </w:r>
      <w:r>
        <w:rPr>
          <w:rFonts w:ascii="Calibri" w:eastAsia="Calibri" w:hAnsi="Calibri" w:cs="Calibri"/>
          <w:color w:val="1A1A1A"/>
        </w:rPr>
        <w:t xml:space="preserve"> → fiches 26 (</w:t>
      </w:r>
      <w:r>
        <w:rPr>
          <w:rFonts w:ascii="Calibri" w:eastAsia="Calibri" w:hAnsi="Calibri" w:cs="Calibri"/>
          <w:color w:val="E91E63"/>
        </w:rPr>
        <w:t>Semache</w:t>
      </w:r>
      <w:r>
        <w:rPr>
          <w:rFonts w:ascii="Calibri" w:eastAsia="Calibri" w:hAnsi="Calibri" w:cs="Calibri"/>
          <w:color w:val="1A1A1A"/>
        </w:rPr>
        <w:t>), 27 (</w:t>
      </w:r>
      <w:r>
        <w:rPr>
          <w:rFonts w:ascii="Calibri" w:eastAsia="Calibri" w:hAnsi="Calibri" w:cs="Calibri"/>
          <w:color w:val="E91E63"/>
        </w:rPr>
        <w:t>L. et a. c. France</w:t>
      </w:r>
      <w:r>
        <w:rPr>
          <w:rFonts w:ascii="Calibri" w:eastAsia="Calibri" w:hAnsi="Calibri" w:cs="Calibri"/>
          <w:color w:val="1A1A1A"/>
        </w:rPr>
        <w:t xml:space="preserve">), 28 (mineurs non accompagnés, </w:t>
      </w:r>
      <w:r>
        <w:rPr>
          <w:rFonts w:ascii="Calibri" w:eastAsia="Calibri" w:hAnsi="Calibri" w:cs="Calibri"/>
          <w:color w:val="E91E63"/>
        </w:rPr>
        <w:t>O.R. c. Grèce</w:t>
      </w:r>
      <w:r>
        <w:rPr>
          <w:rFonts w:ascii="Calibri" w:eastAsia="Calibri" w:hAnsi="Calibri" w:cs="Calibri"/>
          <w:color w:val="1A1A1A"/>
        </w:rPr>
        <w:t>), 29 (abus de vulnérabilité, mineurs victimes de traite).</w:t>
      </w:r>
    </w:p>
    <w:p w14:paraId="7CD862E0"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Arrêts pilotes</w:t>
      </w:r>
      <w:r>
        <w:rPr>
          <w:rFonts w:ascii="Calibri" w:eastAsia="Calibri" w:hAnsi="Calibri" w:cs="Calibri"/>
          <w:color w:val="1A1A1A"/>
        </w:rPr>
        <w:t xml:space="preserve"> → fiches 22 (</w:t>
      </w:r>
      <w:proofErr w:type="spellStart"/>
      <w:r>
        <w:rPr>
          <w:rFonts w:ascii="Calibri" w:eastAsia="Calibri" w:hAnsi="Calibri" w:cs="Calibri"/>
          <w:color w:val="E91E63"/>
        </w:rPr>
        <w:t>Broniowski</w:t>
      </w:r>
      <w:proofErr w:type="spellEnd"/>
      <w:r>
        <w:rPr>
          <w:rFonts w:ascii="Calibri" w:eastAsia="Calibri" w:hAnsi="Calibri" w:cs="Calibri"/>
          <w:color w:val="1A1A1A"/>
        </w:rPr>
        <w:t xml:space="preserve">, </w:t>
      </w:r>
      <w:r>
        <w:rPr>
          <w:rFonts w:ascii="Calibri" w:eastAsia="Calibri" w:hAnsi="Calibri" w:cs="Calibri"/>
          <w:color w:val="1E88E5"/>
        </w:rPr>
        <w:t>art. 61 du règlement</w:t>
      </w:r>
      <w:r>
        <w:rPr>
          <w:rFonts w:ascii="Calibri" w:eastAsia="Calibri" w:hAnsi="Calibri" w:cs="Calibri"/>
          <w:color w:val="1A1A1A"/>
        </w:rPr>
        <w:t>), 26 (</w:t>
      </w:r>
      <w:r>
        <w:rPr>
          <w:rFonts w:ascii="Calibri" w:eastAsia="Calibri" w:hAnsi="Calibri" w:cs="Calibri"/>
          <w:color w:val="E91E63"/>
        </w:rPr>
        <w:t>Cannavacciuolo</w:t>
      </w:r>
      <w:r>
        <w:rPr>
          <w:rFonts w:ascii="Calibri" w:eastAsia="Calibri" w:hAnsi="Calibri" w:cs="Calibri"/>
          <w:color w:val="1A1A1A"/>
        </w:rPr>
        <w:t>), 28 (</w:t>
      </w:r>
      <w:r>
        <w:rPr>
          <w:rFonts w:ascii="Calibri" w:eastAsia="Calibri" w:hAnsi="Calibri" w:cs="Calibri"/>
          <w:color w:val="E91E63"/>
        </w:rPr>
        <w:t>Greens et M.T.</w:t>
      </w:r>
      <w:r>
        <w:rPr>
          <w:rFonts w:ascii="Calibri" w:eastAsia="Calibri" w:hAnsi="Calibri" w:cs="Calibri"/>
          <w:color w:val="1A1A1A"/>
        </w:rPr>
        <w:t>, contentieux pénitentiaire).</w:t>
      </w:r>
    </w:p>
    <w:p w14:paraId="14563459" w14:textId="77777777" w:rsidR="004A4E1F" w:rsidRDefault="00000000">
      <w:pPr>
        <w:pStyle w:val="Paragraphedeliste"/>
        <w:numPr>
          <w:ilvl w:val="0"/>
          <w:numId w:val="2"/>
        </w:numPr>
        <w:spacing w:after="70" w:line="264" w:lineRule="auto"/>
        <w:jc w:val="both"/>
      </w:pPr>
      <w:r>
        <w:rPr>
          <w:rFonts w:ascii="Calibri" w:eastAsia="Calibri" w:hAnsi="Calibri" w:cs="Calibri"/>
          <w:b/>
          <w:bCs/>
          <w:color w:val="1A1A1A"/>
        </w:rPr>
        <w:t>GPA et filiation</w:t>
      </w:r>
      <w:r>
        <w:rPr>
          <w:rFonts w:ascii="Calibri" w:eastAsia="Calibri" w:hAnsi="Calibri" w:cs="Calibri"/>
          <w:color w:val="1A1A1A"/>
        </w:rPr>
        <w:t xml:space="preserve"> → fiches 5 (</w:t>
      </w:r>
      <w:r>
        <w:rPr>
          <w:rFonts w:ascii="Calibri" w:eastAsia="Calibri" w:hAnsi="Calibri" w:cs="Calibri"/>
          <w:color w:val="1E88E5"/>
        </w:rPr>
        <w:t>art. 16-7 C. civ.</w:t>
      </w:r>
      <w:r>
        <w:rPr>
          <w:rFonts w:ascii="Calibri" w:eastAsia="Calibri" w:hAnsi="Calibri" w:cs="Calibri"/>
          <w:color w:val="1A1A1A"/>
        </w:rPr>
        <w:t>), 14 (</w:t>
      </w:r>
      <w:r>
        <w:rPr>
          <w:rFonts w:ascii="Calibri" w:eastAsia="Calibri" w:hAnsi="Calibri" w:cs="Calibri"/>
          <w:color w:val="1E88E5"/>
        </w:rPr>
        <w:t>Protocole n° 16</w:t>
      </w:r>
      <w:r>
        <w:rPr>
          <w:rFonts w:ascii="Calibri" w:eastAsia="Calibri" w:hAnsi="Calibri" w:cs="Calibri"/>
          <w:color w:val="1A1A1A"/>
        </w:rPr>
        <w:t>, avis P16-2018-001), 17 (</w:t>
      </w:r>
      <w:r>
        <w:rPr>
          <w:rFonts w:ascii="Calibri" w:eastAsia="Calibri" w:hAnsi="Calibri" w:cs="Calibri"/>
          <w:i/>
          <w:iCs/>
          <w:color w:val="1A1A1A"/>
        </w:rPr>
        <w:t>exequatur</w:t>
      </w:r>
      <w:r>
        <w:rPr>
          <w:rFonts w:ascii="Calibri" w:eastAsia="Calibri" w:hAnsi="Calibri" w:cs="Calibri"/>
          <w:color w:val="1A1A1A"/>
        </w:rPr>
        <w:t>, ordre public international), 26 (</w:t>
      </w:r>
      <w:r>
        <w:rPr>
          <w:rFonts w:ascii="Calibri" w:eastAsia="Calibri" w:hAnsi="Calibri" w:cs="Calibri"/>
          <w:color w:val="E91E63"/>
        </w:rPr>
        <w:t>Cass., ass. plén., 3 juillet 2026</w:t>
      </w:r>
      <w:r>
        <w:rPr>
          <w:rFonts w:ascii="Calibri" w:eastAsia="Calibri" w:hAnsi="Calibri" w:cs="Calibri"/>
          <w:color w:val="1A1A1A"/>
        </w:rPr>
        <w:t>), 27 (indisponibilité du corps humain).</w:t>
      </w:r>
    </w:p>
    <w:sectPr w:rsidR="004A4E1F">
      <w:footerReference w:type="default" r:id="rId7"/>
      <w:pgSz w:w="11906" w:h="16838"/>
      <w:pgMar w:top="1020" w:right="1077" w:bottom="1020" w:left="107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E05ADB" w14:textId="77777777" w:rsidR="00E33743" w:rsidRDefault="00E33743">
      <w:r>
        <w:separator/>
      </w:r>
    </w:p>
  </w:endnote>
  <w:endnote w:type="continuationSeparator" w:id="0">
    <w:p w14:paraId="79C590BB" w14:textId="77777777" w:rsidR="00E33743" w:rsidRDefault="00E337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C41C56" w14:textId="77777777" w:rsidR="004A4E1F" w:rsidRDefault="00000000">
    <w:pPr>
      <w:jc w:val="center"/>
    </w:pPr>
    <w:r>
      <w:rPr>
        <w:rFonts w:ascii="Calibri" w:eastAsia="Calibri" w:hAnsi="Calibri" w:cs="Calibri"/>
        <w:color w:val="5A5A5A"/>
        <w:sz w:val="15"/>
        <w:szCs w:val="15"/>
      </w:rPr>
      <w:t xml:space="preserve">Grand Oral CRFPA — Libertés publiques et droits fondamentaux — Partie VI-A   |   </w:t>
    </w:r>
    <w:r>
      <w:rPr>
        <w:rFonts w:ascii="Calibri" w:eastAsia="Calibri" w:hAnsi="Calibri" w:cs="Calibri"/>
        <w:color w:val="5A5A5A"/>
        <w:sz w:val="15"/>
        <w:szCs w:val="15"/>
      </w:rPr>
      <w:fldChar w:fldCharType="begin"/>
    </w:r>
    <w:r>
      <w:rPr>
        <w:rFonts w:ascii="Calibri" w:eastAsia="Calibri" w:hAnsi="Calibri" w:cs="Calibri"/>
        <w:color w:val="5A5A5A"/>
        <w:sz w:val="15"/>
        <w:szCs w:val="15"/>
      </w:rPr>
      <w:instrText>PAGE</w:instrText>
    </w:r>
    <w:r>
      <w:rPr>
        <w:rFonts w:ascii="Calibri" w:eastAsia="Calibri" w:hAnsi="Calibri" w:cs="Calibri"/>
        <w:color w:val="5A5A5A"/>
        <w:sz w:val="15"/>
        <w:szCs w:val="15"/>
      </w:rPr>
      <w:fldChar w:fldCharType="separate"/>
    </w:r>
    <w:r w:rsidR="00CA33FD">
      <w:rPr>
        <w:rFonts w:ascii="Calibri" w:eastAsia="Calibri" w:hAnsi="Calibri" w:cs="Calibri"/>
        <w:noProof/>
        <w:color w:val="5A5A5A"/>
        <w:sz w:val="15"/>
        <w:szCs w:val="15"/>
      </w:rPr>
      <w:t>1</w:t>
    </w:r>
    <w:r>
      <w:rPr>
        <w:rFonts w:ascii="Calibri" w:eastAsia="Calibri" w:hAnsi="Calibri" w:cs="Calibri"/>
        <w:color w:val="5A5A5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4C6D4F" w14:textId="77777777" w:rsidR="00E33743" w:rsidRDefault="00E33743">
      <w:r>
        <w:separator/>
      </w:r>
    </w:p>
  </w:footnote>
  <w:footnote w:type="continuationSeparator" w:id="0">
    <w:p w14:paraId="32E8197F" w14:textId="77777777" w:rsidR="00E33743" w:rsidRDefault="00E337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6455A0"/>
    <w:multiLevelType w:val="hybridMultilevel"/>
    <w:tmpl w:val="03FE9E9C"/>
    <w:lvl w:ilvl="0" w:tplc="5A5C0FEA">
      <w:start w:val="2"/>
      <w:numFmt w:val="bullet"/>
      <w:lvlText w:val="-"/>
      <w:lvlJc w:val="left"/>
      <w:pPr>
        <w:ind w:left="700" w:hanging="360"/>
      </w:pPr>
      <w:rPr>
        <w:rFonts w:ascii="Calibri" w:eastAsia="Calibri" w:hAnsi="Calibri" w:cs="Calibri" w:hint="default"/>
        <w:color w:val="1A1A1A"/>
      </w:rPr>
    </w:lvl>
    <w:lvl w:ilvl="1" w:tplc="040C0003" w:tentative="1">
      <w:start w:val="1"/>
      <w:numFmt w:val="bullet"/>
      <w:lvlText w:val="o"/>
      <w:lvlJc w:val="left"/>
      <w:pPr>
        <w:ind w:left="1420" w:hanging="360"/>
      </w:pPr>
      <w:rPr>
        <w:rFonts w:ascii="Courier New" w:hAnsi="Courier New" w:cs="Courier New" w:hint="default"/>
      </w:rPr>
    </w:lvl>
    <w:lvl w:ilvl="2" w:tplc="040C0005" w:tentative="1">
      <w:start w:val="1"/>
      <w:numFmt w:val="bullet"/>
      <w:lvlText w:val=""/>
      <w:lvlJc w:val="left"/>
      <w:pPr>
        <w:ind w:left="2140" w:hanging="360"/>
      </w:pPr>
      <w:rPr>
        <w:rFonts w:ascii="Wingdings" w:hAnsi="Wingdings" w:hint="default"/>
      </w:rPr>
    </w:lvl>
    <w:lvl w:ilvl="3" w:tplc="040C0001" w:tentative="1">
      <w:start w:val="1"/>
      <w:numFmt w:val="bullet"/>
      <w:lvlText w:val=""/>
      <w:lvlJc w:val="left"/>
      <w:pPr>
        <w:ind w:left="2860" w:hanging="360"/>
      </w:pPr>
      <w:rPr>
        <w:rFonts w:ascii="Symbol" w:hAnsi="Symbol" w:hint="default"/>
      </w:rPr>
    </w:lvl>
    <w:lvl w:ilvl="4" w:tplc="040C0003" w:tentative="1">
      <w:start w:val="1"/>
      <w:numFmt w:val="bullet"/>
      <w:lvlText w:val="o"/>
      <w:lvlJc w:val="left"/>
      <w:pPr>
        <w:ind w:left="3580" w:hanging="360"/>
      </w:pPr>
      <w:rPr>
        <w:rFonts w:ascii="Courier New" w:hAnsi="Courier New" w:cs="Courier New" w:hint="default"/>
      </w:rPr>
    </w:lvl>
    <w:lvl w:ilvl="5" w:tplc="040C0005" w:tentative="1">
      <w:start w:val="1"/>
      <w:numFmt w:val="bullet"/>
      <w:lvlText w:val=""/>
      <w:lvlJc w:val="left"/>
      <w:pPr>
        <w:ind w:left="4300" w:hanging="360"/>
      </w:pPr>
      <w:rPr>
        <w:rFonts w:ascii="Wingdings" w:hAnsi="Wingdings" w:hint="default"/>
      </w:rPr>
    </w:lvl>
    <w:lvl w:ilvl="6" w:tplc="040C0001" w:tentative="1">
      <w:start w:val="1"/>
      <w:numFmt w:val="bullet"/>
      <w:lvlText w:val=""/>
      <w:lvlJc w:val="left"/>
      <w:pPr>
        <w:ind w:left="5020" w:hanging="360"/>
      </w:pPr>
      <w:rPr>
        <w:rFonts w:ascii="Symbol" w:hAnsi="Symbol" w:hint="default"/>
      </w:rPr>
    </w:lvl>
    <w:lvl w:ilvl="7" w:tplc="040C0003" w:tentative="1">
      <w:start w:val="1"/>
      <w:numFmt w:val="bullet"/>
      <w:lvlText w:val="o"/>
      <w:lvlJc w:val="left"/>
      <w:pPr>
        <w:ind w:left="5740" w:hanging="360"/>
      </w:pPr>
      <w:rPr>
        <w:rFonts w:ascii="Courier New" w:hAnsi="Courier New" w:cs="Courier New" w:hint="default"/>
      </w:rPr>
    </w:lvl>
    <w:lvl w:ilvl="8" w:tplc="040C0005" w:tentative="1">
      <w:start w:val="1"/>
      <w:numFmt w:val="bullet"/>
      <w:lvlText w:val=""/>
      <w:lvlJc w:val="left"/>
      <w:pPr>
        <w:ind w:left="6460" w:hanging="360"/>
      </w:pPr>
      <w:rPr>
        <w:rFonts w:ascii="Wingdings" w:hAnsi="Wingdings" w:hint="default"/>
      </w:rPr>
    </w:lvl>
  </w:abstractNum>
  <w:abstractNum w:abstractNumId="1" w15:restartNumberingAfterBreak="0">
    <w:nsid w:val="42DD68C0"/>
    <w:multiLevelType w:val="hybridMultilevel"/>
    <w:tmpl w:val="3B3AB3BA"/>
    <w:lvl w:ilvl="0" w:tplc="2B467BE4">
      <w:start w:val="2"/>
      <w:numFmt w:val="bullet"/>
      <w:lvlText w:val=""/>
      <w:lvlJc w:val="left"/>
      <w:pPr>
        <w:ind w:left="700" w:hanging="360"/>
      </w:pPr>
      <w:rPr>
        <w:rFonts w:ascii="Wingdings" w:eastAsia="Calibri" w:hAnsi="Wingdings" w:cs="Calibri" w:hint="default"/>
        <w:color w:val="1A1A1A"/>
      </w:rPr>
    </w:lvl>
    <w:lvl w:ilvl="1" w:tplc="040C0003" w:tentative="1">
      <w:start w:val="1"/>
      <w:numFmt w:val="bullet"/>
      <w:lvlText w:val="o"/>
      <w:lvlJc w:val="left"/>
      <w:pPr>
        <w:ind w:left="1420" w:hanging="360"/>
      </w:pPr>
      <w:rPr>
        <w:rFonts w:ascii="Courier New" w:hAnsi="Courier New" w:cs="Courier New" w:hint="default"/>
      </w:rPr>
    </w:lvl>
    <w:lvl w:ilvl="2" w:tplc="040C0005" w:tentative="1">
      <w:start w:val="1"/>
      <w:numFmt w:val="bullet"/>
      <w:lvlText w:val=""/>
      <w:lvlJc w:val="left"/>
      <w:pPr>
        <w:ind w:left="2140" w:hanging="360"/>
      </w:pPr>
      <w:rPr>
        <w:rFonts w:ascii="Wingdings" w:hAnsi="Wingdings" w:hint="default"/>
      </w:rPr>
    </w:lvl>
    <w:lvl w:ilvl="3" w:tplc="040C0001" w:tentative="1">
      <w:start w:val="1"/>
      <w:numFmt w:val="bullet"/>
      <w:lvlText w:val=""/>
      <w:lvlJc w:val="left"/>
      <w:pPr>
        <w:ind w:left="2860" w:hanging="360"/>
      </w:pPr>
      <w:rPr>
        <w:rFonts w:ascii="Symbol" w:hAnsi="Symbol" w:hint="default"/>
      </w:rPr>
    </w:lvl>
    <w:lvl w:ilvl="4" w:tplc="040C0003" w:tentative="1">
      <w:start w:val="1"/>
      <w:numFmt w:val="bullet"/>
      <w:lvlText w:val="o"/>
      <w:lvlJc w:val="left"/>
      <w:pPr>
        <w:ind w:left="3580" w:hanging="360"/>
      </w:pPr>
      <w:rPr>
        <w:rFonts w:ascii="Courier New" w:hAnsi="Courier New" w:cs="Courier New" w:hint="default"/>
      </w:rPr>
    </w:lvl>
    <w:lvl w:ilvl="5" w:tplc="040C0005" w:tentative="1">
      <w:start w:val="1"/>
      <w:numFmt w:val="bullet"/>
      <w:lvlText w:val=""/>
      <w:lvlJc w:val="left"/>
      <w:pPr>
        <w:ind w:left="4300" w:hanging="360"/>
      </w:pPr>
      <w:rPr>
        <w:rFonts w:ascii="Wingdings" w:hAnsi="Wingdings" w:hint="default"/>
      </w:rPr>
    </w:lvl>
    <w:lvl w:ilvl="6" w:tplc="040C0001" w:tentative="1">
      <w:start w:val="1"/>
      <w:numFmt w:val="bullet"/>
      <w:lvlText w:val=""/>
      <w:lvlJc w:val="left"/>
      <w:pPr>
        <w:ind w:left="5020" w:hanging="360"/>
      </w:pPr>
      <w:rPr>
        <w:rFonts w:ascii="Symbol" w:hAnsi="Symbol" w:hint="default"/>
      </w:rPr>
    </w:lvl>
    <w:lvl w:ilvl="7" w:tplc="040C0003" w:tentative="1">
      <w:start w:val="1"/>
      <w:numFmt w:val="bullet"/>
      <w:lvlText w:val="o"/>
      <w:lvlJc w:val="left"/>
      <w:pPr>
        <w:ind w:left="5740" w:hanging="360"/>
      </w:pPr>
      <w:rPr>
        <w:rFonts w:ascii="Courier New" w:hAnsi="Courier New" w:cs="Courier New" w:hint="default"/>
      </w:rPr>
    </w:lvl>
    <w:lvl w:ilvl="8" w:tplc="040C0005" w:tentative="1">
      <w:start w:val="1"/>
      <w:numFmt w:val="bullet"/>
      <w:lvlText w:val=""/>
      <w:lvlJc w:val="left"/>
      <w:pPr>
        <w:ind w:left="6460" w:hanging="360"/>
      </w:pPr>
      <w:rPr>
        <w:rFonts w:ascii="Wingdings" w:hAnsi="Wingdings" w:hint="default"/>
      </w:rPr>
    </w:lvl>
  </w:abstractNum>
  <w:abstractNum w:abstractNumId="2" w15:restartNumberingAfterBreak="0">
    <w:nsid w:val="733E724D"/>
    <w:multiLevelType w:val="hybridMultilevel"/>
    <w:tmpl w:val="AD8C72F4"/>
    <w:lvl w:ilvl="0" w:tplc="641613FC">
      <w:start w:val="1"/>
      <w:numFmt w:val="bullet"/>
      <w:lvlText w:val="●"/>
      <w:lvlJc w:val="left"/>
      <w:pPr>
        <w:ind w:left="720" w:hanging="360"/>
      </w:pPr>
    </w:lvl>
    <w:lvl w:ilvl="1" w:tplc="0F024164">
      <w:start w:val="1"/>
      <w:numFmt w:val="bullet"/>
      <w:lvlText w:val="○"/>
      <w:lvlJc w:val="left"/>
      <w:pPr>
        <w:ind w:left="1440" w:hanging="360"/>
      </w:pPr>
    </w:lvl>
    <w:lvl w:ilvl="2" w:tplc="2DEC45DC">
      <w:start w:val="1"/>
      <w:numFmt w:val="bullet"/>
      <w:lvlText w:val="■"/>
      <w:lvlJc w:val="left"/>
      <w:pPr>
        <w:ind w:left="2160" w:hanging="360"/>
      </w:pPr>
    </w:lvl>
    <w:lvl w:ilvl="3" w:tplc="7E12E67A">
      <w:start w:val="1"/>
      <w:numFmt w:val="bullet"/>
      <w:lvlText w:val="●"/>
      <w:lvlJc w:val="left"/>
      <w:pPr>
        <w:ind w:left="2880" w:hanging="360"/>
      </w:pPr>
    </w:lvl>
    <w:lvl w:ilvl="4" w:tplc="7B9EFFA6">
      <w:start w:val="1"/>
      <w:numFmt w:val="bullet"/>
      <w:lvlText w:val="○"/>
      <w:lvlJc w:val="left"/>
      <w:pPr>
        <w:ind w:left="3600" w:hanging="360"/>
      </w:pPr>
    </w:lvl>
    <w:lvl w:ilvl="5" w:tplc="3B24356E">
      <w:start w:val="1"/>
      <w:numFmt w:val="bullet"/>
      <w:lvlText w:val="■"/>
      <w:lvlJc w:val="left"/>
      <w:pPr>
        <w:ind w:left="4320" w:hanging="360"/>
      </w:pPr>
    </w:lvl>
    <w:lvl w:ilvl="6" w:tplc="4A424BF4">
      <w:start w:val="1"/>
      <w:numFmt w:val="bullet"/>
      <w:lvlText w:val="●"/>
      <w:lvlJc w:val="left"/>
      <w:pPr>
        <w:ind w:left="5040" w:hanging="360"/>
      </w:pPr>
    </w:lvl>
    <w:lvl w:ilvl="7" w:tplc="5AB064DE">
      <w:start w:val="1"/>
      <w:numFmt w:val="bullet"/>
      <w:lvlText w:val="●"/>
      <w:lvlJc w:val="left"/>
      <w:pPr>
        <w:ind w:left="5760" w:hanging="360"/>
      </w:pPr>
    </w:lvl>
    <w:lvl w:ilvl="8" w:tplc="228A7C02">
      <w:start w:val="1"/>
      <w:numFmt w:val="bullet"/>
      <w:lvlText w:val="●"/>
      <w:lvlJc w:val="left"/>
      <w:pPr>
        <w:ind w:left="6480" w:hanging="360"/>
      </w:pPr>
    </w:lvl>
  </w:abstractNum>
  <w:abstractNum w:abstractNumId="3" w15:restartNumberingAfterBreak="0">
    <w:nsid w:val="751C0495"/>
    <w:multiLevelType w:val="hybridMultilevel"/>
    <w:tmpl w:val="CF1C1EE0"/>
    <w:lvl w:ilvl="0" w:tplc="C38A0FA6">
      <w:start w:val="1"/>
      <w:numFmt w:val="bullet"/>
      <w:lvlText w:val="▪"/>
      <w:lvlJc w:val="left"/>
      <w:pPr>
        <w:ind w:left="340" w:hanging="200"/>
      </w:pPr>
    </w:lvl>
    <w:lvl w:ilvl="1" w:tplc="D65AEDA4">
      <w:start w:val="1"/>
      <w:numFmt w:val="bullet"/>
      <w:lvlText w:val="–"/>
      <w:lvlJc w:val="left"/>
      <w:pPr>
        <w:ind w:left="700" w:hanging="200"/>
      </w:pPr>
    </w:lvl>
    <w:lvl w:ilvl="2" w:tplc="6720C15C">
      <w:start w:val="1"/>
      <w:numFmt w:val="bullet"/>
      <w:lvlText w:val="·"/>
      <w:lvlJc w:val="left"/>
      <w:pPr>
        <w:ind w:left="1060" w:hanging="200"/>
      </w:pPr>
    </w:lvl>
    <w:lvl w:ilvl="3" w:tplc="6262BFAE">
      <w:numFmt w:val="decimal"/>
      <w:lvlText w:val=""/>
      <w:lvlJc w:val="left"/>
    </w:lvl>
    <w:lvl w:ilvl="4" w:tplc="1B70DC28">
      <w:numFmt w:val="decimal"/>
      <w:lvlText w:val=""/>
      <w:lvlJc w:val="left"/>
    </w:lvl>
    <w:lvl w:ilvl="5" w:tplc="9BEE67DA">
      <w:numFmt w:val="decimal"/>
      <w:lvlText w:val=""/>
      <w:lvlJc w:val="left"/>
    </w:lvl>
    <w:lvl w:ilvl="6" w:tplc="B10EFFE8">
      <w:numFmt w:val="decimal"/>
      <w:lvlText w:val=""/>
      <w:lvlJc w:val="left"/>
    </w:lvl>
    <w:lvl w:ilvl="7" w:tplc="16D2E7FA">
      <w:numFmt w:val="decimal"/>
      <w:lvlText w:val=""/>
      <w:lvlJc w:val="left"/>
    </w:lvl>
    <w:lvl w:ilvl="8" w:tplc="0D0240A2">
      <w:numFmt w:val="decimal"/>
      <w:lvlText w:val=""/>
      <w:lvlJc w:val="left"/>
    </w:lvl>
  </w:abstractNum>
  <w:num w:numId="1" w16cid:durableId="774710284">
    <w:abstractNumId w:val="2"/>
    <w:lvlOverride w:ilvl="0">
      <w:startOverride w:val="1"/>
    </w:lvlOverride>
  </w:num>
  <w:num w:numId="2" w16cid:durableId="1247496247">
    <w:abstractNumId w:val="3"/>
    <w:lvlOverride w:ilvl="0">
      <w:startOverride w:val="1"/>
    </w:lvlOverride>
  </w:num>
  <w:num w:numId="3" w16cid:durableId="1861551351">
    <w:abstractNumId w:val="0"/>
  </w:num>
  <w:num w:numId="4" w16cid:durableId="146361682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E1F"/>
    <w:rsid w:val="00057F55"/>
    <w:rsid w:val="0010540A"/>
    <w:rsid w:val="00155A55"/>
    <w:rsid w:val="00277BB0"/>
    <w:rsid w:val="004755EF"/>
    <w:rsid w:val="004A4E1F"/>
    <w:rsid w:val="004C6B9A"/>
    <w:rsid w:val="005E0EDC"/>
    <w:rsid w:val="005F1442"/>
    <w:rsid w:val="00690495"/>
    <w:rsid w:val="006C1341"/>
    <w:rsid w:val="006C7C2B"/>
    <w:rsid w:val="007665BB"/>
    <w:rsid w:val="00773F9E"/>
    <w:rsid w:val="00787744"/>
    <w:rsid w:val="00833309"/>
    <w:rsid w:val="00925E08"/>
    <w:rsid w:val="0096253A"/>
    <w:rsid w:val="00A6394A"/>
    <w:rsid w:val="00A823F0"/>
    <w:rsid w:val="00BF3931"/>
    <w:rsid w:val="00C31BF7"/>
    <w:rsid w:val="00C80406"/>
    <w:rsid w:val="00CA33FD"/>
    <w:rsid w:val="00CD361C"/>
    <w:rsid w:val="00D402D6"/>
    <w:rsid w:val="00D87DAC"/>
    <w:rsid w:val="00E33743"/>
    <w:rsid w:val="00E44D5C"/>
    <w:rsid w:val="00E603BF"/>
    <w:rsid w:val="00F72BB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43B7337"/>
  <w15:docId w15:val="{26478C44-3A13-C84C-9883-F29DEE88D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7665BB"/>
    <w:pPr>
      <w:tabs>
        <w:tab w:val="center" w:pos="4536"/>
        <w:tab w:val="right" w:pos="9072"/>
      </w:tabs>
    </w:pPr>
  </w:style>
  <w:style w:type="character" w:customStyle="1" w:styleId="En-tteCar">
    <w:name w:val="En-tête Car"/>
    <w:basedOn w:val="Policepardfaut"/>
    <w:link w:val="En-tte"/>
    <w:uiPriority w:val="99"/>
    <w:rsid w:val="007665BB"/>
  </w:style>
  <w:style w:type="paragraph" w:styleId="Pieddepage">
    <w:name w:val="footer"/>
    <w:basedOn w:val="Normal"/>
    <w:link w:val="PieddepageCar"/>
    <w:uiPriority w:val="99"/>
    <w:unhideWhenUsed/>
    <w:rsid w:val="007665BB"/>
    <w:pPr>
      <w:tabs>
        <w:tab w:val="center" w:pos="4536"/>
        <w:tab w:val="right" w:pos="9072"/>
      </w:tabs>
    </w:pPr>
  </w:style>
  <w:style w:type="character" w:customStyle="1" w:styleId="PieddepageCar">
    <w:name w:val="Pied de page Car"/>
    <w:basedOn w:val="Policepardfaut"/>
    <w:link w:val="Pieddepage"/>
    <w:uiPriority w:val="99"/>
    <w:rsid w:val="007665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1495</TotalTime>
  <Pages>27</Pages>
  <Words>15039</Words>
  <Characters>82716</Characters>
  <Application>Microsoft Office Word</Application>
  <DocSecurity>0</DocSecurity>
  <Lines>689</Lines>
  <Paragraphs>195</Paragraphs>
  <ScaleCrop>false</ScaleCrop>
  <HeadingPairs>
    <vt:vector size="2" baseType="variant">
      <vt:variant>
        <vt:lpstr>Titre</vt:lpstr>
      </vt:variant>
      <vt:variant>
        <vt:i4>1</vt:i4>
      </vt:variant>
    </vt:vector>
  </HeadingPairs>
  <TitlesOfParts>
    <vt:vector size="1" baseType="lpstr">
      <vt:lpstr>Grand Oral CRFPA — Libertés publiques et droits fondamentaux — Partie VI-A</vt:lpstr>
    </vt:vector>
  </TitlesOfParts>
  <Company/>
  <LinksUpToDate>false</LinksUpToDate>
  <CharactersWithSpaces>97560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Grand Oral CRFPA — Libertés publiques et droits fondamentaux — Partie VI-A</dc:title>
  <dc:creator>Simon</dc:creator>
  <dc:description>Fiches de révision n° 1 à 8</dc:description>
  <cp:lastModifiedBy>Simon BERNINES</cp:lastModifiedBy>
  <cp:revision>3</cp:revision>
  <dcterms:created xsi:type="dcterms:W3CDTF">2026-09-15T14:13:00Z</dcterms:created>
  <dcterms:modified xsi:type="dcterms:W3CDTF">2026-10-11T17:17:00Z</dcterms:modified>
</cp:coreProperties>
</file>