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5FDF9C" w14:textId="77777777" w:rsidR="00520D98" w:rsidRDefault="00000000">
      <w:pPr>
        <w:spacing w:before="1400" w:after="120"/>
        <w:jc w:val="center"/>
      </w:pPr>
      <w:r>
        <w:rPr>
          <w:rFonts w:ascii="Calibri" w:eastAsia="Calibri" w:hAnsi="Calibri" w:cs="Calibri"/>
          <w:b/>
          <w:bCs/>
          <w:color w:val="5A5A5A"/>
          <w:spacing w:val="60"/>
          <w:sz w:val="26"/>
          <w:szCs w:val="26"/>
        </w:rPr>
        <w:t>GRAND ORAL DU CRFPA</w:t>
      </w:r>
    </w:p>
    <w:p w14:paraId="3B121D4B" w14:textId="77777777" w:rsidR="00520D98" w:rsidRDefault="00000000">
      <w:pPr>
        <w:spacing w:after="100"/>
        <w:jc w:val="center"/>
      </w:pPr>
      <w:r>
        <w:rPr>
          <w:rFonts w:ascii="Calibri" w:eastAsia="Calibri" w:hAnsi="Calibri" w:cs="Calibri"/>
          <w:b/>
          <w:bCs/>
          <w:color w:val="8C1C2B"/>
          <w:sz w:val="44"/>
          <w:szCs w:val="44"/>
        </w:rPr>
        <w:t>LIBERTÉS PUBLIQUES ET DROITS FONDAMENTAUX</w:t>
      </w:r>
    </w:p>
    <w:p w14:paraId="40FA93DF" w14:textId="77777777" w:rsidR="00520D98" w:rsidRDefault="00000000">
      <w:pPr>
        <w:spacing w:after="600"/>
        <w:jc w:val="center"/>
      </w:pPr>
      <w:r>
        <w:rPr>
          <w:rFonts w:ascii="Calibri" w:eastAsia="Calibri" w:hAnsi="Calibri" w:cs="Calibri"/>
          <w:color w:val="1A1A1A"/>
          <w:sz w:val="26"/>
          <w:szCs w:val="26"/>
        </w:rPr>
        <w:t>Partie VI-B — La sûreté et les garanties procédurales (fiches n° 30 à 32)</w:t>
      </w:r>
    </w:p>
    <w:p w14:paraId="6807B2BE" w14:textId="77777777" w:rsidR="00520D98" w:rsidRDefault="00000000">
      <w:pPr>
        <w:spacing w:after="100"/>
        <w:jc w:val="center"/>
      </w:pPr>
      <w:r>
        <w:rPr>
          <w:rFonts w:ascii="Calibri" w:eastAsia="Calibri" w:hAnsi="Calibri" w:cs="Calibri"/>
          <w:i/>
          <w:iCs/>
          <w:color w:val="5A5A5A"/>
        </w:rPr>
        <w:t>Fiches de révision exhaustives — exposé de 15 minutes et entretien avec le jury</w:t>
      </w:r>
    </w:p>
    <w:p w14:paraId="0A610FF9" w14:textId="77777777" w:rsidR="00520D98" w:rsidRDefault="00000000">
      <w:pPr>
        <w:spacing w:after="700"/>
        <w:jc w:val="center"/>
      </w:pPr>
      <w:r>
        <w:rPr>
          <w:rFonts w:ascii="Calibri" w:eastAsia="Calibri" w:hAnsi="Calibri" w:cs="Calibri"/>
          <w:i/>
          <w:iCs/>
          <w:color w:val="5A5A5A"/>
          <w:sz w:val="18"/>
          <w:szCs w:val="18"/>
        </w:rPr>
        <w:t>D’après le fascicule Objectif Barreau 2026</w:t>
      </w:r>
    </w:p>
    <w:p w14:paraId="48AE7AFB" w14:textId="77777777" w:rsidR="00520D98" w:rsidRDefault="00000000">
      <w:pPr>
        <w:spacing w:before="200" w:after="120"/>
      </w:pPr>
      <w:r>
        <w:rPr>
          <w:rFonts w:ascii="Calibri" w:eastAsia="Calibri" w:hAnsi="Calibri" w:cs="Calibri"/>
          <w:b/>
          <w:bCs/>
          <w:color w:val="1A1A1A"/>
          <w:sz w:val="22"/>
          <w:szCs w:val="22"/>
        </w:rPr>
        <w:t>CODE COULEUR</w:t>
      </w:r>
    </w:p>
    <w:p w14:paraId="68B0B983" w14:textId="77777777" w:rsidR="00520D98" w:rsidRDefault="00000000">
      <w:pPr>
        <w:pStyle w:val="Paragraphedeliste"/>
        <w:numPr>
          <w:ilvl w:val="0"/>
          <w:numId w:val="2"/>
        </w:numPr>
        <w:spacing w:after="60"/>
      </w:pPr>
      <w:r>
        <w:rPr>
          <w:rFonts w:ascii="Calibri" w:eastAsia="Calibri" w:hAnsi="Calibri" w:cs="Calibri"/>
          <w:color w:val="1E88E5"/>
        </w:rPr>
        <w:t>Textes normatifs</w:t>
      </w:r>
      <w:r>
        <w:rPr>
          <w:rFonts w:ascii="Calibri" w:eastAsia="Calibri" w:hAnsi="Calibri" w:cs="Calibri"/>
          <w:color w:val="1A1A1A"/>
        </w:rPr>
        <w:t xml:space="preserve"> — traités, conventions, Constitution, codes, lois, règlements.</w:t>
      </w:r>
    </w:p>
    <w:p w14:paraId="5EC9B79F" w14:textId="77777777" w:rsidR="00520D98" w:rsidRDefault="00000000">
      <w:pPr>
        <w:pStyle w:val="Paragraphedeliste"/>
        <w:numPr>
          <w:ilvl w:val="0"/>
          <w:numId w:val="2"/>
        </w:numPr>
        <w:spacing w:after="60"/>
      </w:pPr>
      <w:r>
        <w:rPr>
          <w:rFonts w:ascii="Calibri" w:eastAsia="Calibri" w:hAnsi="Calibri" w:cs="Calibri"/>
          <w:color w:val="E91E63"/>
        </w:rPr>
        <w:t>Jurisprudence</w:t>
      </w:r>
      <w:r>
        <w:rPr>
          <w:rFonts w:ascii="Calibri" w:eastAsia="Calibri" w:hAnsi="Calibri" w:cs="Calibri"/>
          <w:color w:val="1A1A1A"/>
        </w:rPr>
        <w:t xml:space="preserve"> — Cass., CE, Cons. const., CEDH, CJUE, décisions QPC.</w:t>
      </w:r>
    </w:p>
    <w:p w14:paraId="7B963137" w14:textId="77777777" w:rsidR="00520D98" w:rsidRDefault="00000000">
      <w:pPr>
        <w:pStyle w:val="Paragraphedeliste"/>
        <w:numPr>
          <w:ilvl w:val="0"/>
          <w:numId w:val="2"/>
        </w:numPr>
        <w:spacing w:after="60"/>
      </w:pPr>
      <w:r>
        <w:rPr>
          <w:rFonts w:ascii="Calibri" w:eastAsia="Calibri" w:hAnsi="Calibri" w:cs="Calibri"/>
          <w:color w:val="2E7D32"/>
        </w:rPr>
        <w:t>Doctrine</w:t>
      </w:r>
      <w:r>
        <w:rPr>
          <w:rFonts w:ascii="Calibri" w:eastAsia="Calibri" w:hAnsi="Calibri" w:cs="Calibri"/>
          <w:color w:val="1A1A1A"/>
        </w:rPr>
        <w:t xml:space="preserve"> — auteurs, thèses, controverses universitaires, avis institutionnels.</w:t>
      </w:r>
    </w:p>
    <w:p w14:paraId="4BEAFEBF" w14:textId="77777777" w:rsidR="00520D98" w:rsidRDefault="00000000">
      <w:pPr>
        <w:pStyle w:val="Paragraphedeliste"/>
        <w:numPr>
          <w:ilvl w:val="0"/>
          <w:numId w:val="2"/>
        </w:numPr>
        <w:spacing w:after="60"/>
      </w:pPr>
      <w:r>
        <w:rPr>
          <w:rFonts w:ascii="Calibri" w:eastAsia="Calibri" w:hAnsi="Calibri" w:cs="Calibri"/>
          <w:b/>
          <w:bCs/>
          <w:color w:val="1A1A1A"/>
        </w:rPr>
        <w:t>Gras</w:t>
      </w:r>
      <w:r>
        <w:rPr>
          <w:rFonts w:ascii="Calibri" w:eastAsia="Calibri" w:hAnsi="Calibri" w:cs="Calibri"/>
          <w:color w:val="1A1A1A"/>
        </w:rPr>
        <w:t xml:space="preserve"> — réservé au seul apport à mémoriser. La couleur dit d’où vient la règle, le gras dit ce qu’il faut réciter.</w:t>
      </w:r>
    </w:p>
    <w:p w14:paraId="113BB14B" w14:textId="77777777" w:rsidR="00520D98" w:rsidRDefault="00000000">
      <w:pPr>
        <w:pStyle w:val="Paragraphedeliste"/>
        <w:numPr>
          <w:ilvl w:val="0"/>
          <w:numId w:val="2"/>
        </w:numPr>
        <w:spacing w:after="300"/>
      </w:pPr>
      <w:r>
        <w:rPr>
          <w:rFonts w:ascii="Calibri" w:eastAsia="Calibri" w:hAnsi="Calibri" w:cs="Calibri"/>
          <w:color w:val="1A1A1A"/>
        </w:rPr>
        <w:t>★ — référence incontournable, à citer de mémoire le jour J.</w:t>
      </w:r>
    </w:p>
    <w:p w14:paraId="3A0D3DCC" w14:textId="77777777" w:rsidR="00520D98" w:rsidRDefault="00000000">
      <w:pPr>
        <w:spacing w:before="200" w:after="120"/>
      </w:pPr>
      <w:r>
        <w:rPr>
          <w:rFonts w:ascii="Calibri" w:eastAsia="Calibri" w:hAnsi="Calibri" w:cs="Calibri"/>
          <w:b/>
          <w:bCs/>
          <w:color w:val="1A1A1A"/>
          <w:sz w:val="22"/>
          <w:szCs w:val="22"/>
        </w:rPr>
        <w:t>SOMMAIRE</w:t>
      </w:r>
    </w:p>
    <w:p w14:paraId="290893C0" w14:textId="77777777" w:rsidR="00520D98" w:rsidRDefault="00000000">
      <w:pPr>
        <w:pStyle w:val="Paragraphedeliste"/>
        <w:numPr>
          <w:ilvl w:val="0"/>
          <w:numId w:val="2"/>
        </w:numPr>
        <w:spacing w:after="40"/>
      </w:pPr>
      <w:r>
        <w:rPr>
          <w:rFonts w:ascii="Calibri" w:eastAsia="Calibri" w:hAnsi="Calibri" w:cs="Calibri"/>
          <w:color w:val="1A1A1A"/>
        </w:rPr>
        <w:t>Fiche n° 30 — Le droit à la liberté et à la sûreté</w:t>
      </w:r>
    </w:p>
    <w:p w14:paraId="49190205" w14:textId="77777777" w:rsidR="00520D98" w:rsidRDefault="00000000">
      <w:pPr>
        <w:pStyle w:val="Paragraphedeliste"/>
        <w:numPr>
          <w:ilvl w:val="0"/>
          <w:numId w:val="2"/>
        </w:numPr>
        <w:spacing w:after="40"/>
      </w:pPr>
      <w:r>
        <w:rPr>
          <w:rFonts w:ascii="Calibri" w:eastAsia="Calibri" w:hAnsi="Calibri" w:cs="Calibri"/>
          <w:color w:val="1A1A1A"/>
        </w:rPr>
        <w:t>Fiche n° 31 — Le droit à un procès équitable et le droit à un recours effectif</w:t>
      </w:r>
    </w:p>
    <w:p w14:paraId="5F6F486A" w14:textId="77777777" w:rsidR="00520D98" w:rsidRDefault="00000000">
      <w:pPr>
        <w:pStyle w:val="Paragraphedeliste"/>
        <w:numPr>
          <w:ilvl w:val="0"/>
          <w:numId w:val="2"/>
        </w:numPr>
        <w:spacing w:after="40"/>
      </w:pPr>
      <w:r>
        <w:rPr>
          <w:rFonts w:ascii="Calibri" w:eastAsia="Calibri" w:hAnsi="Calibri" w:cs="Calibri"/>
          <w:color w:val="1A1A1A"/>
        </w:rPr>
        <w:t>Fiche n° 32 — Les garanties fondamentales en matière pénale</w:t>
      </w:r>
    </w:p>
    <w:p w14:paraId="4B39F91A" w14:textId="77777777" w:rsidR="00520D98" w:rsidRDefault="00000000">
      <w:pPr>
        <w:pStyle w:val="Paragraphedeliste"/>
        <w:numPr>
          <w:ilvl w:val="0"/>
          <w:numId w:val="2"/>
        </w:numPr>
        <w:spacing w:after="40"/>
      </w:pPr>
      <w:r>
        <w:rPr>
          <w:rFonts w:ascii="Calibri" w:eastAsia="Calibri" w:hAnsi="Calibri" w:cs="Calibri"/>
          <w:color w:val="1A1A1A"/>
        </w:rPr>
        <w:t>Annexe — Compléments à la chronologie et à l’index</w:t>
      </w:r>
    </w:p>
    <w:p w14:paraId="0A16382F" w14:textId="77777777" w:rsidR="00520D98" w:rsidRDefault="00000000">
      <w:pPr>
        <w:spacing w:before="300" w:after="80"/>
      </w:pPr>
      <w:r>
        <w:rPr>
          <w:rFonts w:ascii="Calibri" w:eastAsia="Calibri" w:hAnsi="Calibri" w:cs="Calibri"/>
          <w:i/>
          <w:iCs/>
          <w:color w:val="5A5A5A"/>
          <w:sz w:val="18"/>
          <w:szCs w:val="18"/>
        </w:rPr>
        <w:t>Chaque fiche s’ouvre sur une FICHE-MÉMOIRE d’une page — accroche, définition en trois lignes, cinq références incontournables, deux matrices de plan, trois pièges. C’est elle que l’on relit ; les pages suivantes forment le dossier de consultation.</w:t>
      </w:r>
    </w:p>
    <w:p w14:paraId="11761F78" w14:textId="77777777" w:rsidR="00520D98" w:rsidRDefault="00000000">
      <w:r>
        <w:rPr>
          <w:rFonts w:ascii="Calibri" w:eastAsia="Calibri" w:hAnsi="Calibri" w:cs="Calibri"/>
          <w:i/>
          <w:iCs/>
          <w:color w:val="5A5A5A"/>
          <w:sz w:val="18"/>
          <w:szCs w:val="18"/>
        </w:rPr>
        <w:t>Dossier : architecture textuelle — ligne prétorienne et évolutions — débats doctrinaux et critiques — dispositif « Grand Oral » (relances du jury, sujets d’exposé, angles morts formulés en question / réponse pour le rappel actif).</w:t>
      </w:r>
    </w:p>
    <w:p w14:paraId="7BA20180" w14:textId="77777777" w:rsidR="00520D98" w:rsidRDefault="00000000">
      <w:r>
        <w:br w:type="page"/>
      </w:r>
    </w:p>
    <w:p w14:paraId="11209393" w14:textId="77777777" w:rsidR="00520D98"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30 — LE DROIT À LA LIBERTÉ ET À LA SÛRETÉ</w:t>
      </w:r>
    </w:p>
    <w:p w14:paraId="29CA1C7C" w14:textId="77777777" w:rsidR="00520D98" w:rsidRDefault="00000000">
      <w:pPr>
        <w:pStyle w:val="Titre2"/>
        <w:spacing w:before="280" w:after="120"/>
      </w:pPr>
      <w:r>
        <w:rPr>
          <w:rFonts w:ascii="Calibri" w:eastAsia="Calibri" w:hAnsi="Calibri" w:cs="Calibri"/>
          <w:b/>
          <w:bCs/>
          <w:color w:val="1A1A1A"/>
          <w:sz w:val="24"/>
          <w:szCs w:val="24"/>
        </w:rPr>
        <w:t>◆ FICHE-MÉMOIRE — à réviser en trois minutes</w:t>
      </w:r>
    </w:p>
    <w:p w14:paraId="49B38FB9" w14:textId="77777777" w:rsidR="00520D98" w:rsidRDefault="00000000">
      <w:pPr>
        <w:pStyle w:val="Titre3"/>
        <w:spacing w:before="200" w:after="90"/>
      </w:pPr>
      <w:r>
        <w:rPr>
          <w:rFonts w:ascii="Calibri" w:eastAsia="Calibri" w:hAnsi="Calibri" w:cs="Calibri"/>
          <w:b/>
          <w:bCs/>
          <w:i/>
          <w:iCs/>
          <w:color w:val="5A5A5A"/>
          <w:sz w:val="21"/>
          <w:szCs w:val="21"/>
        </w:rPr>
        <w:t>Accroche</w:t>
      </w:r>
    </w:p>
    <w:p w14:paraId="089D7B69" w14:textId="77777777" w:rsidR="00520D98" w:rsidRDefault="00000000">
      <w:pPr>
        <w:pStyle w:val="Paragraphedeliste"/>
        <w:numPr>
          <w:ilvl w:val="0"/>
          <w:numId w:val="2"/>
        </w:numPr>
        <w:spacing w:after="70" w:line="264" w:lineRule="auto"/>
        <w:jc w:val="both"/>
      </w:pPr>
      <w:r>
        <w:rPr>
          <w:rFonts w:ascii="Calibri" w:eastAsia="Calibri" w:hAnsi="Calibri" w:cs="Calibri"/>
          <w:i/>
          <w:iCs/>
          <w:color w:val="1A1A1A"/>
        </w:rPr>
        <w:t xml:space="preserve">Habeas corpus ad </w:t>
      </w:r>
      <w:proofErr w:type="spellStart"/>
      <w:r>
        <w:rPr>
          <w:rFonts w:ascii="Calibri" w:eastAsia="Calibri" w:hAnsi="Calibri" w:cs="Calibri"/>
          <w:i/>
          <w:iCs/>
          <w:color w:val="1A1A1A"/>
        </w:rPr>
        <w:t>subjiciendum</w:t>
      </w:r>
      <w:proofErr w:type="spellEnd"/>
      <w:r>
        <w:rPr>
          <w:rFonts w:ascii="Calibri" w:eastAsia="Calibri" w:hAnsi="Calibri" w:cs="Calibri"/>
          <w:color w:val="1A1A1A"/>
        </w:rPr>
        <w:t xml:space="preserve"> — « que tu aies ton corps pour le présenter (devant le tribunal) ». Né au XVIIe siècle en droit anglais contre l’enfermement arbitraire, le principe répond en France aux </w:t>
      </w:r>
      <w:r>
        <w:rPr>
          <w:rFonts w:ascii="Calibri" w:eastAsia="Calibri" w:hAnsi="Calibri" w:cs="Calibri"/>
          <w:b/>
          <w:bCs/>
          <w:color w:val="1A1A1A"/>
        </w:rPr>
        <w:t>lettres de cachet</w:t>
      </w:r>
      <w:r>
        <w:rPr>
          <w:rFonts w:ascii="Calibri" w:eastAsia="Calibri" w:hAnsi="Calibri" w:cs="Calibri"/>
          <w:color w:val="1A1A1A"/>
        </w:rPr>
        <w:t xml:space="preserve"> de l’Ancien Régime et se traduit aujourd’hui par l’</w:t>
      </w:r>
      <w:r>
        <w:rPr>
          <w:rFonts w:ascii="Calibri" w:eastAsia="Calibri" w:hAnsi="Calibri" w:cs="Calibri"/>
          <w:color w:val="1E88E5"/>
        </w:rPr>
        <w:t>art. 66 de la Constitution</w:t>
      </w:r>
      <w:r>
        <w:rPr>
          <w:rFonts w:ascii="Calibri" w:eastAsia="Calibri" w:hAnsi="Calibri" w:cs="Calibri"/>
          <w:color w:val="1A1A1A"/>
        </w:rPr>
        <w:t>.</w:t>
      </w:r>
    </w:p>
    <w:p w14:paraId="1C941E66"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w:t>
      </w:r>
      <w:r>
        <w:rPr>
          <w:rFonts w:ascii="Calibri" w:eastAsia="Calibri" w:hAnsi="Calibri" w:cs="Calibri"/>
          <w:color w:val="E91E63"/>
        </w:rPr>
        <w:t>Cons. const., déc. n° 2026-906 DC, 23 juillet 2026</w:t>
      </w:r>
      <w:r>
        <w:rPr>
          <w:rFonts w:ascii="Calibri" w:eastAsia="Calibri" w:hAnsi="Calibri" w:cs="Calibri"/>
          <w:color w:val="1A1A1A"/>
        </w:rPr>
        <w:t xml:space="preserve"> — même lorsqu’il admet un régime particulièrement restrictif de liberté, le Conseil constitutionnel exige que toute privation de liberté demeure </w:t>
      </w:r>
      <w:r>
        <w:rPr>
          <w:rFonts w:ascii="Calibri" w:eastAsia="Calibri" w:hAnsi="Calibri" w:cs="Calibri"/>
          <w:b/>
          <w:bCs/>
          <w:color w:val="1A1A1A"/>
        </w:rPr>
        <w:t>nécessaire, proportionnée et placée sous le contrôle effectif du juge judiciaire</w:t>
      </w:r>
      <w:r>
        <w:rPr>
          <w:rFonts w:ascii="Calibri" w:eastAsia="Calibri" w:hAnsi="Calibri" w:cs="Calibri"/>
          <w:color w:val="1A1A1A"/>
        </w:rPr>
        <w:t>.</w:t>
      </w:r>
    </w:p>
    <w:p w14:paraId="795EEBD2" w14:textId="77777777" w:rsidR="00520D98" w:rsidRDefault="00000000">
      <w:pPr>
        <w:pStyle w:val="Titre3"/>
        <w:spacing w:before="200" w:after="90"/>
      </w:pPr>
      <w:r>
        <w:rPr>
          <w:rFonts w:ascii="Calibri" w:eastAsia="Calibri" w:hAnsi="Calibri" w:cs="Calibri"/>
          <w:b/>
          <w:bCs/>
          <w:i/>
          <w:iCs/>
          <w:color w:val="5A5A5A"/>
          <w:sz w:val="21"/>
          <w:szCs w:val="21"/>
        </w:rPr>
        <w:t>Définition en trois lignes</w:t>
      </w:r>
    </w:p>
    <w:p w14:paraId="4989BD0B"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Le droit à la sûreté est le </w:t>
      </w:r>
      <w:r>
        <w:rPr>
          <w:rFonts w:ascii="Calibri" w:eastAsia="Calibri" w:hAnsi="Calibri" w:cs="Calibri"/>
          <w:b/>
          <w:bCs/>
          <w:color w:val="1A1A1A"/>
        </w:rPr>
        <w:t>droit de ne pas être enfermé arbitrairement</w:t>
      </w:r>
      <w:r>
        <w:rPr>
          <w:rFonts w:ascii="Calibri" w:eastAsia="Calibri" w:hAnsi="Calibri" w:cs="Calibri"/>
          <w:color w:val="1A1A1A"/>
        </w:rPr>
        <w:t xml:space="preserve">. Il implique un contrôle de la </w:t>
      </w:r>
      <w:r>
        <w:rPr>
          <w:rFonts w:ascii="Calibri" w:eastAsia="Calibri" w:hAnsi="Calibri" w:cs="Calibri"/>
          <w:b/>
          <w:bCs/>
          <w:color w:val="1A1A1A"/>
        </w:rPr>
        <w:t>légalité de l’enfermement</w:t>
      </w:r>
      <w:r>
        <w:rPr>
          <w:rFonts w:ascii="Calibri" w:eastAsia="Calibri" w:hAnsi="Calibri" w:cs="Calibri"/>
          <w:color w:val="1A1A1A"/>
        </w:rPr>
        <w:t xml:space="preserve"> et donc un droit à un recours juridictionnel effectif, dont les modalités procédurales varient selon le type de privation de liberté. </w:t>
      </w:r>
      <w:r>
        <w:rPr>
          <w:rFonts w:ascii="Calibri" w:eastAsia="Calibri" w:hAnsi="Calibri" w:cs="Calibri"/>
          <w:b/>
          <w:bCs/>
          <w:color w:val="1A1A1A"/>
        </w:rPr>
        <w:t>À ne pas confondre avec le droit à la sécurité</w:t>
      </w:r>
      <w:r>
        <w:rPr>
          <w:rFonts w:ascii="Calibri" w:eastAsia="Calibri" w:hAnsi="Calibri" w:cs="Calibri"/>
          <w:color w:val="1A1A1A"/>
        </w:rPr>
        <w:t>, dont les tenants ne sont pas les mêmes.</w:t>
      </w:r>
    </w:p>
    <w:p w14:paraId="44261C19"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L’</w:t>
      </w:r>
      <w:r>
        <w:rPr>
          <w:rFonts w:ascii="Calibri" w:eastAsia="Calibri" w:hAnsi="Calibri" w:cs="Calibri"/>
          <w:color w:val="1E88E5"/>
        </w:rPr>
        <w:t>art. 5 CEDH</w:t>
      </w:r>
      <w:r>
        <w:rPr>
          <w:rFonts w:ascii="Calibri" w:eastAsia="Calibri" w:hAnsi="Calibri" w:cs="Calibri"/>
          <w:color w:val="1A1A1A"/>
        </w:rPr>
        <w:t xml:space="preserve"> énumère une </w:t>
      </w:r>
      <w:r>
        <w:rPr>
          <w:rFonts w:ascii="Calibri" w:eastAsia="Calibri" w:hAnsi="Calibri" w:cs="Calibri"/>
          <w:b/>
          <w:bCs/>
          <w:color w:val="1A1A1A"/>
        </w:rPr>
        <w:t>liste de motifs</w:t>
      </w:r>
      <w:r>
        <w:rPr>
          <w:rFonts w:ascii="Calibri" w:eastAsia="Calibri" w:hAnsi="Calibri" w:cs="Calibri"/>
          <w:color w:val="1A1A1A"/>
        </w:rPr>
        <w:t xml:space="preserve"> justifiant des restrictions à la liberté : cette liste revêt un </w:t>
      </w:r>
      <w:r>
        <w:rPr>
          <w:rFonts w:ascii="Calibri" w:eastAsia="Calibri" w:hAnsi="Calibri" w:cs="Calibri"/>
          <w:b/>
          <w:bCs/>
          <w:color w:val="1A1A1A"/>
        </w:rPr>
        <w:t>caractère exhaustif</w:t>
      </w:r>
      <w:r>
        <w:rPr>
          <w:rFonts w:ascii="Calibri" w:eastAsia="Calibri" w:hAnsi="Calibri" w:cs="Calibri"/>
          <w:color w:val="1A1A1A"/>
        </w:rPr>
        <w:t xml:space="preserve"> et doit faire l’objet d’une </w:t>
      </w:r>
      <w:r>
        <w:rPr>
          <w:rFonts w:ascii="Calibri" w:eastAsia="Calibri" w:hAnsi="Calibri" w:cs="Calibri"/>
          <w:b/>
          <w:bCs/>
          <w:color w:val="1A1A1A"/>
        </w:rPr>
        <w:t>interprétation étroite</w:t>
      </w:r>
      <w:r>
        <w:rPr>
          <w:rFonts w:ascii="Calibri" w:eastAsia="Calibri" w:hAnsi="Calibri" w:cs="Calibri"/>
          <w:color w:val="1A1A1A"/>
        </w:rPr>
        <w:t xml:space="preserve"> (</w:t>
      </w:r>
      <w:r>
        <w:rPr>
          <w:rFonts w:ascii="Calibri" w:eastAsia="Calibri" w:hAnsi="Calibri" w:cs="Calibri"/>
          <w:color w:val="E91E63"/>
        </w:rPr>
        <w:t>CEDH, 22 mars 1995, Quinn c. France, n° 18580/91</w:t>
      </w:r>
      <w:r>
        <w:rPr>
          <w:rFonts w:ascii="Calibri" w:eastAsia="Calibri" w:hAnsi="Calibri" w:cs="Calibri"/>
          <w:color w:val="1A1A1A"/>
        </w:rPr>
        <w:t xml:space="preserve">). La privation de liberté peut résulter d’une mesure de </w:t>
      </w:r>
      <w:r>
        <w:rPr>
          <w:rFonts w:ascii="Calibri" w:eastAsia="Calibri" w:hAnsi="Calibri" w:cs="Calibri"/>
          <w:b/>
          <w:bCs/>
          <w:color w:val="1A1A1A"/>
        </w:rPr>
        <w:t>répression pénale</w:t>
      </w:r>
      <w:r>
        <w:rPr>
          <w:rFonts w:ascii="Calibri" w:eastAsia="Calibri" w:hAnsi="Calibri" w:cs="Calibri"/>
          <w:color w:val="1A1A1A"/>
        </w:rPr>
        <w:t xml:space="preserve"> comme d’une mesure </w:t>
      </w:r>
      <w:r>
        <w:rPr>
          <w:rFonts w:ascii="Calibri" w:eastAsia="Calibri" w:hAnsi="Calibri" w:cs="Calibri"/>
          <w:b/>
          <w:bCs/>
          <w:color w:val="1A1A1A"/>
        </w:rPr>
        <w:t>administrative</w:t>
      </w:r>
      <w:r>
        <w:rPr>
          <w:rFonts w:ascii="Calibri" w:eastAsia="Calibri" w:hAnsi="Calibri" w:cs="Calibri"/>
          <w:color w:val="1A1A1A"/>
        </w:rPr>
        <w:t>.</w:t>
      </w:r>
    </w:p>
    <w:p w14:paraId="0510C167" w14:textId="77777777" w:rsidR="00520D98" w:rsidRDefault="00000000">
      <w:pPr>
        <w:pStyle w:val="Titre3"/>
        <w:spacing w:before="200" w:after="90"/>
      </w:pPr>
      <w:r>
        <w:rPr>
          <w:rFonts w:ascii="Calibri" w:eastAsia="Calibri" w:hAnsi="Calibri" w:cs="Calibri"/>
          <w:b/>
          <w:bCs/>
          <w:i/>
          <w:iCs/>
          <w:color w:val="5A5A5A"/>
          <w:sz w:val="21"/>
          <w:szCs w:val="21"/>
        </w:rPr>
        <w:t>Les cinq références incontournables</w:t>
      </w:r>
    </w:p>
    <w:p w14:paraId="6ED8497B"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Art. 66 de la Constitution</w:t>
      </w:r>
      <w:r>
        <w:rPr>
          <w:rFonts w:ascii="Calibri" w:eastAsia="Calibri" w:hAnsi="Calibri" w:cs="Calibri"/>
          <w:color w:val="1A1A1A"/>
        </w:rPr>
        <w:t xml:space="preserve"> : « Nul ne peut être arbitrairement détenu. L’autorité judiciaire, gardienne de la liberté individuelle, assure le respect de ce principe dans les conditions prévues par la loi » ; </w:t>
      </w:r>
      <w:r>
        <w:rPr>
          <w:rFonts w:ascii="Calibri" w:eastAsia="Calibri" w:hAnsi="Calibri" w:cs="Calibri"/>
          <w:color w:val="1E88E5"/>
        </w:rPr>
        <w:t>art. 2 DDHC</w:t>
      </w:r>
      <w:r>
        <w:rPr>
          <w:rFonts w:ascii="Calibri" w:eastAsia="Calibri" w:hAnsi="Calibri" w:cs="Calibri"/>
          <w:color w:val="1A1A1A"/>
        </w:rPr>
        <w:t xml:space="preserve"> (la sûreté est un droit naturel et imprescriptible) et </w:t>
      </w:r>
      <w:r>
        <w:rPr>
          <w:rFonts w:ascii="Calibri" w:eastAsia="Calibri" w:hAnsi="Calibri" w:cs="Calibri"/>
          <w:color w:val="1E88E5"/>
        </w:rPr>
        <w:t>art. 7 DDHC</w:t>
      </w:r>
      <w:r>
        <w:rPr>
          <w:rFonts w:ascii="Calibri" w:eastAsia="Calibri" w:hAnsi="Calibri" w:cs="Calibri"/>
          <w:color w:val="1A1A1A"/>
        </w:rPr>
        <w:t>.</w:t>
      </w:r>
    </w:p>
    <w:p w14:paraId="7A87F54E"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22 mars 1995, Quinn c. France, n° 18580/91</w:t>
      </w:r>
      <w:r>
        <w:rPr>
          <w:rFonts w:ascii="Calibri" w:eastAsia="Calibri" w:hAnsi="Calibri" w:cs="Calibri"/>
          <w:color w:val="1A1A1A"/>
        </w:rPr>
        <w:t xml:space="preserve"> : caractère </w:t>
      </w:r>
      <w:r>
        <w:rPr>
          <w:rFonts w:ascii="Calibri" w:eastAsia="Calibri" w:hAnsi="Calibri" w:cs="Calibri"/>
          <w:b/>
          <w:bCs/>
          <w:color w:val="1A1A1A"/>
        </w:rPr>
        <w:t>exhaustif</w:t>
      </w:r>
      <w:r>
        <w:rPr>
          <w:rFonts w:ascii="Calibri" w:eastAsia="Calibri" w:hAnsi="Calibri" w:cs="Calibri"/>
          <w:color w:val="1A1A1A"/>
        </w:rPr>
        <w:t xml:space="preserve"> des motifs de l’</w:t>
      </w:r>
      <w:r>
        <w:rPr>
          <w:rFonts w:ascii="Calibri" w:eastAsia="Calibri" w:hAnsi="Calibri" w:cs="Calibri"/>
          <w:color w:val="1E88E5"/>
        </w:rPr>
        <w:t>art. 5</w:t>
      </w:r>
      <w:r>
        <w:rPr>
          <w:rFonts w:ascii="Calibri" w:eastAsia="Calibri" w:hAnsi="Calibri" w:cs="Calibri"/>
          <w:color w:val="1A1A1A"/>
        </w:rPr>
        <w:t xml:space="preserve"> et interprétation étroite.</w:t>
      </w:r>
    </w:p>
    <w:p w14:paraId="4CDABAAE"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23 novembre 2010, Moulin c. France, n° 37104/06</w:t>
      </w:r>
      <w:r>
        <w:rPr>
          <w:rFonts w:ascii="Calibri" w:eastAsia="Calibri" w:hAnsi="Calibri" w:cs="Calibri"/>
          <w:color w:val="1A1A1A"/>
        </w:rPr>
        <w:t xml:space="preserve"> et </w:t>
      </w:r>
      <w:r>
        <w:rPr>
          <w:rFonts w:ascii="Calibri" w:eastAsia="Calibri" w:hAnsi="Calibri" w:cs="Calibri"/>
          <w:color w:val="E91E63"/>
        </w:rPr>
        <w:t>Cass. crim., 15 décembre 2010, n° 10-83.674</w:t>
      </w:r>
      <w:r>
        <w:rPr>
          <w:rFonts w:ascii="Calibri" w:eastAsia="Calibri" w:hAnsi="Calibri" w:cs="Calibri"/>
          <w:color w:val="1A1A1A"/>
        </w:rPr>
        <w:t xml:space="preserve"> : le ministère public </w:t>
      </w:r>
      <w:r>
        <w:rPr>
          <w:rFonts w:ascii="Calibri" w:eastAsia="Calibri" w:hAnsi="Calibri" w:cs="Calibri"/>
          <w:b/>
          <w:bCs/>
          <w:color w:val="1A1A1A"/>
        </w:rPr>
        <w:t>n’est pas une autorité judiciaire</w:t>
      </w:r>
      <w:r>
        <w:rPr>
          <w:rFonts w:ascii="Calibri" w:eastAsia="Calibri" w:hAnsi="Calibri" w:cs="Calibri"/>
          <w:color w:val="1A1A1A"/>
        </w:rPr>
        <w:t xml:space="preserve"> au sens de l’</w:t>
      </w:r>
      <w:r>
        <w:rPr>
          <w:rFonts w:ascii="Calibri" w:eastAsia="Calibri" w:hAnsi="Calibri" w:cs="Calibri"/>
          <w:color w:val="1E88E5"/>
        </w:rPr>
        <w:t>art. 5 § 3</w:t>
      </w:r>
      <w:r>
        <w:rPr>
          <w:rFonts w:ascii="Calibri" w:eastAsia="Calibri" w:hAnsi="Calibri" w:cs="Calibri"/>
          <w:color w:val="1A1A1A"/>
        </w:rPr>
        <w:t>, faute des garanties d’indépendance et d’impartialité — il est partie poursuivante.</w:t>
      </w:r>
    </w:p>
    <w:p w14:paraId="7E387D19"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2023-1064 QPC, 6 octobre 2023, Association des avocats pénalistes</w:t>
      </w:r>
      <w:r>
        <w:rPr>
          <w:rFonts w:ascii="Calibri" w:eastAsia="Calibri" w:hAnsi="Calibri" w:cs="Calibri"/>
          <w:color w:val="1A1A1A"/>
        </w:rPr>
        <w:t xml:space="preserve"> : sur le fondement de la dignité, il appartient aux autorités judiciaires de veiller à ce que les locaux de garde à vue soient aménagés et entretenus ; à défaut, mise en liberté et engagement de la responsabilité de l’État.</w:t>
      </w:r>
    </w:p>
    <w:p w14:paraId="58242AC1"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2026-906 DC, 23 juillet 2026</w:t>
      </w:r>
      <w:r>
        <w:rPr>
          <w:rFonts w:ascii="Calibri" w:eastAsia="Calibri" w:hAnsi="Calibri" w:cs="Calibri"/>
          <w:color w:val="1A1A1A"/>
        </w:rPr>
        <w:t xml:space="preserve"> : validation, sous conditions et réserves, de la </w:t>
      </w:r>
      <w:r>
        <w:rPr>
          <w:rFonts w:ascii="Calibri" w:eastAsia="Calibri" w:hAnsi="Calibri" w:cs="Calibri"/>
          <w:b/>
          <w:bCs/>
          <w:color w:val="1A1A1A"/>
        </w:rPr>
        <w:t>rétention de sûreté terroriste</w:t>
      </w:r>
      <w:r>
        <w:rPr>
          <w:rFonts w:ascii="Calibri" w:eastAsia="Calibri" w:hAnsi="Calibri" w:cs="Calibri"/>
          <w:color w:val="1A1A1A"/>
        </w:rPr>
        <w:t>, de l’</w:t>
      </w:r>
      <w:r>
        <w:rPr>
          <w:rFonts w:ascii="Calibri" w:eastAsia="Calibri" w:hAnsi="Calibri" w:cs="Calibri"/>
          <w:b/>
          <w:bCs/>
          <w:color w:val="1A1A1A"/>
        </w:rPr>
        <w:t>allongement de la rétention administrative</w:t>
      </w:r>
      <w:r>
        <w:rPr>
          <w:rFonts w:ascii="Calibri" w:eastAsia="Calibri" w:hAnsi="Calibri" w:cs="Calibri"/>
          <w:color w:val="1A1A1A"/>
        </w:rPr>
        <w:t xml:space="preserve"> et de l’</w:t>
      </w:r>
      <w:r>
        <w:rPr>
          <w:rFonts w:ascii="Calibri" w:eastAsia="Calibri" w:hAnsi="Calibri" w:cs="Calibri"/>
          <w:b/>
          <w:bCs/>
          <w:color w:val="1A1A1A"/>
        </w:rPr>
        <w:t>injonction d’examen psychiatrique</w:t>
      </w:r>
      <w:r>
        <w:rPr>
          <w:rFonts w:ascii="Calibri" w:eastAsia="Calibri" w:hAnsi="Calibri" w:cs="Calibri"/>
          <w:color w:val="1A1A1A"/>
        </w:rPr>
        <w:t xml:space="preserve"> à finalité antiterroriste.</w:t>
      </w:r>
    </w:p>
    <w:p w14:paraId="7E8925EC" w14:textId="77777777" w:rsidR="00520D98" w:rsidRDefault="00000000">
      <w:pPr>
        <w:pStyle w:val="Titre3"/>
        <w:spacing w:before="200" w:after="90"/>
      </w:pPr>
      <w:r>
        <w:rPr>
          <w:rFonts w:ascii="Calibri" w:eastAsia="Calibri" w:hAnsi="Calibri" w:cs="Calibri"/>
          <w:b/>
          <w:bCs/>
          <w:i/>
          <w:iCs/>
          <w:color w:val="5A5A5A"/>
          <w:sz w:val="21"/>
          <w:szCs w:val="21"/>
        </w:rPr>
        <w:t>Deux matrices de plan</w:t>
      </w:r>
    </w:p>
    <w:p w14:paraId="6E80B994"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Sujet « Soutenez que l’enfermement des mineurs est contraire aux droits humains »</w:t>
      </w:r>
      <w:r>
        <w:rPr>
          <w:rFonts w:ascii="Calibri" w:eastAsia="Calibri" w:hAnsi="Calibri" w:cs="Calibri"/>
          <w:color w:val="1A1A1A"/>
        </w:rPr>
        <w:t xml:space="preserve"> — </w:t>
      </w:r>
      <w:r>
        <w:rPr>
          <w:rFonts w:ascii="Calibri" w:eastAsia="Calibri" w:hAnsi="Calibri" w:cs="Calibri"/>
          <w:b/>
          <w:bCs/>
          <w:color w:val="1A1A1A"/>
        </w:rPr>
        <w:t>I. Un droit international et européen protecteur des mineurs enfermés</w:t>
      </w:r>
      <w:r>
        <w:rPr>
          <w:rFonts w:ascii="Calibri" w:eastAsia="Calibri" w:hAnsi="Calibri" w:cs="Calibri"/>
          <w:color w:val="1A1A1A"/>
        </w:rPr>
        <w:t xml:space="preserve"> (A. La reconnaissance de l’intérêt supérieur de l’enfant : </w:t>
      </w:r>
      <w:r>
        <w:rPr>
          <w:rFonts w:ascii="Calibri" w:eastAsia="Calibri" w:hAnsi="Calibri" w:cs="Calibri"/>
          <w:color w:val="1E88E5"/>
        </w:rPr>
        <w:t>art. 3 de la CIDE</w:t>
      </w:r>
      <w:r>
        <w:rPr>
          <w:rFonts w:ascii="Calibri" w:eastAsia="Calibri" w:hAnsi="Calibri" w:cs="Calibri"/>
          <w:color w:val="1A1A1A"/>
        </w:rPr>
        <w:t xml:space="preserve">, </w:t>
      </w:r>
      <w:r>
        <w:rPr>
          <w:rFonts w:ascii="Calibri" w:eastAsia="Calibri" w:hAnsi="Calibri" w:cs="Calibri"/>
          <w:color w:val="1E88E5"/>
        </w:rPr>
        <w:t>art. 1er de la Convention européenne sur l’exercice des droits des enfants de 1996</w:t>
      </w:r>
      <w:r>
        <w:rPr>
          <w:rFonts w:ascii="Calibri" w:eastAsia="Calibri" w:hAnsi="Calibri" w:cs="Calibri"/>
          <w:color w:val="1A1A1A"/>
        </w:rPr>
        <w:t xml:space="preserve"> ; B. La protection normative contre les mauvais traitements : </w:t>
      </w:r>
      <w:r>
        <w:rPr>
          <w:rFonts w:ascii="Calibri" w:eastAsia="Calibri" w:hAnsi="Calibri" w:cs="Calibri"/>
          <w:color w:val="1E88E5"/>
        </w:rPr>
        <w:t>art. 37 CIDE</w:t>
      </w:r>
      <w:r>
        <w:rPr>
          <w:rFonts w:ascii="Calibri" w:eastAsia="Calibri" w:hAnsi="Calibri" w:cs="Calibri"/>
          <w:color w:val="1A1A1A"/>
        </w:rPr>
        <w:t xml:space="preserve">, </w:t>
      </w:r>
      <w:r>
        <w:rPr>
          <w:rFonts w:ascii="Calibri" w:eastAsia="Calibri" w:hAnsi="Calibri" w:cs="Calibri"/>
          <w:color w:val="E91E63"/>
        </w:rPr>
        <w:t>CEDH, 26 mars 2024, V.I. c. République de Moldova</w:t>
      </w:r>
      <w:r>
        <w:rPr>
          <w:rFonts w:ascii="Calibri" w:eastAsia="Calibri" w:hAnsi="Calibri" w:cs="Calibri"/>
          <w:color w:val="1A1A1A"/>
        </w:rPr>
        <w:t xml:space="preserve">) / </w:t>
      </w:r>
      <w:r>
        <w:rPr>
          <w:rFonts w:ascii="Calibri" w:eastAsia="Calibri" w:hAnsi="Calibri" w:cs="Calibri"/>
          <w:b/>
          <w:bCs/>
          <w:color w:val="1A1A1A"/>
        </w:rPr>
        <w:t>II. Les difficultés du respect de ces droits en France</w:t>
      </w:r>
      <w:r>
        <w:rPr>
          <w:rFonts w:ascii="Calibri" w:eastAsia="Calibri" w:hAnsi="Calibri" w:cs="Calibri"/>
          <w:color w:val="1A1A1A"/>
        </w:rPr>
        <w:t xml:space="preserve"> (A. Des difficultés récurrentes en centre de rétention administrative : </w:t>
      </w:r>
      <w:r>
        <w:rPr>
          <w:rFonts w:ascii="Calibri" w:eastAsia="Calibri" w:hAnsi="Calibri" w:cs="Calibri"/>
          <w:color w:val="E91E63"/>
        </w:rPr>
        <w:t>Popov</w:t>
      </w:r>
      <w:r>
        <w:rPr>
          <w:rFonts w:ascii="Calibri" w:eastAsia="Calibri" w:hAnsi="Calibri" w:cs="Calibri"/>
          <w:color w:val="1A1A1A"/>
        </w:rPr>
        <w:t xml:space="preserve">, </w:t>
      </w:r>
      <w:r>
        <w:rPr>
          <w:rFonts w:ascii="Calibri" w:eastAsia="Calibri" w:hAnsi="Calibri" w:cs="Calibri"/>
          <w:color w:val="E91E63"/>
        </w:rPr>
        <w:t>R.K.</w:t>
      </w:r>
      <w:r>
        <w:rPr>
          <w:rFonts w:ascii="Calibri" w:eastAsia="Calibri" w:hAnsi="Calibri" w:cs="Calibri"/>
          <w:color w:val="1A1A1A"/>
        </w:rPr>
        <w:t xml:space="preserve">, </w:t>
      </w:r>
      <w:r>
        <w:rPr>
          <w:rFonts w:ascii="Calibri" w:eastAsia="Calibri" w:hAnsi="Calibri" w:cs="Calibri"/>
          <w:color w:val="E91E63"/>
        </w:rPr>
        <w:t>M.D. et A.D.</w:t>
      </w:r>
      <w:r>
        <w:rPr>
          <w:rFonts w:ascii="Calibri" w:eastAsia="Calibri" w:hAnsi="Calibri" w:cs="Calibri"/>
          <w:color w:val="1A1A1A"/>
        </w:rPr>
        <w:t xml:space="preserve">, </w:t>
      </w:r>
      <w:r>
        <w:rPr>
          <w:rFonts w:ascii="Calibri" w:eastAsia="Calibri" w:hAnsi="Calibri" w:cs="Calibri"/>
          <w:color w:val="E91E63"/>
        </w:rPr>
        <w:t>N.B.</w:t>
      </w:r>
      <w:r>
        <w:rPr>
          <w:rFonts w:ascii="Calibri" w:eastAsia="Calibri" w:hAnsi="Calibri" w:cs="Calibri"/>
          <w:color w:val="1A1A1A"/>
        </w:rPr>
        <w:t xml:space="preserve">, </w:t>
      </w:r>
      <w:r>
        <w:rPr>
          <w:rFonts w:ascii="Calibri" w:eastAsia="Calibri" w:hAnsi="Calibri" w:cs="Calibri"/>
          <w:color w:val="E91E63"/>
        </w:rPr>
        <w:t>A.M. c. France</w:t>
      </w:r>
      <w:r>
        <w:rPr>
          <w:rFonts w:ascii="Calibri" w:eastAsia="Calibri" w:hAnsi="Calibri" w:cs="Calibri"/>
          <w:color w:val="1A1A1A"/>
        </w:rPr>
        <w:t xml:space="preserve">, communiqué UNICEF de 2023 ; B. Des difficultés récurrentes en détention : PFRLR de la justice pénale des mineurs (2002), </w:t>
      </w:r>
      <w:r>
        <w:rPr>
          <w:rFonts w:ascii="Calibri" w:eastAsia="Calibri" w:hAnsi="Calibri" w:cs="Calibri"/>
          <w:color w:val="1E88E5"/>
        </w:rPr>
        <w:t>art. 40 CIDE</w:t>
      </w:r>
      <w:r>
        <w:rPr>
          <w:rFonts w:ascii="Calibri" w:eastAsia="Calibri" w:hAnsi="Calibri" w:cs="Calibri"/>
          <w:color w:val="1A1A1A"/>
        </w:rPr>
        <w:t>, rapport du CGLPL de 2021).</w:t>
      </w:r>
    </w:p>
    <w:p w14:paraId="5B5C63B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Sujet « L’article 66 de la Constitution »</w:t>
      </w:r>
      <w:r>
        <w:rPr>
          <w:rFonts w:ascii="Calibri" w:eastAsia="Calibri" w:hAnsi="Calibri" w:cs="Calibri"/>
          <w:color w:val="1A1A1A"/>
        </w:rPr>
        <w:t xml:space="preserve"> — </w:t>
      </w:r>
      <w:r>
        <w:rPr>
          <w:rFonts w:ascii="Calibri" w:eastAsia="Calibri" w:hAnsi="Calibri" w:cs="Calibri"/>
          <w:b/>
          <w:bCs/>
          <w:color w:val="1A1A1A"/>
        </w:rPr>
        <w:t>I. Un principe : nul ne peut être arbitrairement détenu</w:t>
      </w:r>
      <w:r>
        <w:rPr>
          <w:rFonts w:ascii="Calibri" w:eastAsia="Calibri" w:hAnsi="Calibri" w:cs="Calibri"/>
          <w:color w:val="1A1A1A"/>
        </w:rPr>
        <w:t xml:space="preserve"> (A. L’héritage de l’</w:t>
      </w:r>
      <w:r>
        <w:rPr>
          <w:rFonts w:ascii="Calibri" w:eastAsia="Calibri" w:hAnsi="Calibri" w:cs="Calibri"/>
          <w:i/>
          <w:iCs/>
          <w:color w:val="1A1A1A"/>
        </w:rPr>
        <w:t>habeas corpus</w:t>
      </w:r>
      <w:r>
        <w:rPr>
          <w:rFonts w:ascii="Calibri" w:eastAsia="Calibri" w:hAnsi="Calibri" w:cs="Calibri"/>
          <w:color w:val="1A1A1A"/>
        </w:rPr>
        <w:t xml:space="preserve"> et le contrôle de la légalité de l’enfermement ; B. L’autorité judiciaire gardienne : périmètre et divergence avec la Cour européenne sur le parquet) / </w:t>
      </w:r>
      <w:r>
        <w:rPr>
          <w:rFonts w:ascii="Calibri" w:eastAsia="Calibri" w:hAnsi="Calibri" w:cs="Calibri"/>
          <w:b/>
          <w:bCs/>
          <w:color w:val="1A1A1A"/>
        </w:rPr>
        <w:t>II. Une pluralité de régimes de privation de liberté</w:t>
      </w:r>
      <w:r>
        <w:rPr>
          <w:rFonts w:ascii="Calibri" w:eastAsia="Calibri" w:hAnsi="Calibri" w:cs="Calibri"/>
          <w:color w:val="1A1A1A"/>
        </w:rPr>
        <w:t xml:space="preserve"> (A. Les mesures pénales : garde à vue, détention provisoire, rétention de sûreté ; B. Les mesures administratives : rétention douanière, zone d’attente, rétention administrative, hospitalisation sans consentement, cellule de dégrisement).</w:t>
      </w:r>
    </w:p>
    <w:p w14:paraId="026A548D" w14:textId="77777777" w:rsidR="00520D98" w:rsidRDefault="00000000">
      <w:pPr>
        <w:pStyle w:val="Titre3"/>
        <w:spacing w:before="200" w:after="90"/>
      </w:pPr>
      <w:r>
        <w:rPr>
          <w:rFonts w:ascii="Calibri" w:eastAsia="Calibri" w:hAnsi="Calibri" w:cs="Calibri"/>
          <w:b/>
          <w:bCs/>
          <w:i/>
          <w:iCs/>
          <w:color w:val="5A5A5A"/>
          <w:sz w:val="21"/>
          <w:szCs w:val="21"/>
        </w:rPr>
        <w:t>Trois pièges</w:t>
      </w:r>
    </w:p>
    <w:p w14:paraId="443A5C5F"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Droit à la sûreté ≠ droit à la sécurité</w:t>
      </w:r>
      <w:r>
        <w:rPr>
          <w:rFonts w:ascii="Calibri" w:eastAsia="Calibri" w:hAnsi="Calibri" w:cs="Calibri"/>
          <w:color w:val="1A1A1A"/>
        </w:rPr>
        <w:t xml:space="preserve"> : le premier protège contre l’arbitraire de la puissance publique, le second est un objectif de valeur constitutionnelle qui sert au contraire à justifier des restrictions.</w:t>
      </w:r>
    </w:p>
    <w:p w14:paraId="0DF6765E"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Divergence sur le parquet</w:t>
      </w:r>
      <w:r>
        <w:rPr>
          <w:rFonts w:ascii="Calibri" w:eastAsia="Calibri" w:hAnsi="Calibri" w:cs="Calibri"/>
          <w:color w:val="1A1A1A"/>
        </w:rPr>
        <w:t xml:space="preserve"> : pour la Cour européenne, il n’est pas une autorité judiciaire au sens de l’</w:t>
      </w:r>
      <w:r>
        <w:rPr>
          <w:rFonts w:ascii="Calibri" w:eastAsia="Calibri" w:hAnsi="Calibri" w:cs="Calibri"/>
          <w:color w:val="1E88E5"/>
        </w:rPr>
        <w:t>art. 5 § 3</w:t>
      </w:r>
      <w:r>
        <w:rPr>
          <w:rFonts w:ascii="Calibri" w:eastAsia="Calibri" w:hAnsi="Calibri" w:cs="Calibri"/>
          <w:color w:val="1A1A1A"/>
        </w:rPr>
        <w:t xml:space="preserve"> (</w:t>
      </w:r>
      <w:r>
        <w:rPr>
          <w:rFonts w:ascii="Calibri" w:eastAsia="Calibri" w:hAnsi="Calibri" w:cs="Calibri"/>
          <w:color w:val="E91E63"/>
        </w:rPr>
        <w:t>Moulin</w:t>
      </w:r>
      <w:r>
        <w:rPr>
          <w:rFonts w:ascii="Calibri" w:eastAsia="Calibri" w:hAnsi="Calibri" w:cs="Calibri"/>
          <w:color w:val="1A1A1A"/>
        </w:rPr>
        <w:t xml:space="preserve">) ; pour le Conseil constitutionnel, l’autorité judiciaire inclut les magistrats du siège </w:t>
      </w:r>
      <w:r>
        <w:rPr>
          <w:rFonts w:ascii="Calibri" w:eastAsia="Calibri" w:hAnsi="Calibri" w:cs="Calibri"/>
          <w:b/>
          <w:bCs/>
          <w:color w:val="1A1A1A"/>
        </w:rPr>
        <w:t>et</w:t>
      </w:r>
      <w:r>
        <w:rPr>
          <w:rFonts w:ascii="Calibri" w:eastAsia="Calibri" w:hAnsi="Calibri" w:cs="Calibri"/>
          <w:color w:val="1A1A1A"/>
        </w:rPr>
        <w:t xml:space="preserve"> du parquet (</w:t>
      </w:r>
      <w:r>
        <w:rPr>
          <w:rFonts w:ascii="Calibri" w:eastAsia="Calibri" w:hAnsi="Calibri" w:cs="Calibri"/>
          <w:color w:val="E91E63"/>
        </w:rPr>
        <w:t>2019-778 DC</w:t>
      </w:r>
      <w:r>
        <w:rPr>
          <w:rFonts w:ascii="Calibri" w:eastAsia="Calibri" w:hAnsi="Calibri" w:cs="Calibri"/>
          <w:color w:val="1A1A1A"/>
        </w:rPr>
        <w:t>).</w:t>
      </w:r>
    </w:p>
    <w:p w14:paraId="4327B410"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La rétention de sûreté n’est ni une peine ni une sanction ayant le caractère d’une punition</w:t>
      </w:r>
      <w:r>
        <w:rPr>
          <w:rFonts w:ascii="Calibri" w:eastAsia="Calibri" w:hAnsi="Calibri" w:cs="Calibri"/>
          <w:color w:val="1A1A1A"/>
        </w:rPr>
        <w:t xml:space="preserve"> (</w:t>
      </w:r>
      <w:r>
        <w:rPr>
          <w:rFonts w:ascii="Calibri" w:eastAsia="Calibri" w:hAnsi="Calibri" w:cs="Calibri"/>
          <w:color w:val="E91E63"/>
        </w:rPr>
        <w:t>Cons. const., 2008-562 DC, 21 février 2008</w:t>
      </w:r>
      <w:r>
        <w:rPr>
          <w:rFonts w:ascii="Calibri" w:eastAsia="Calibri" w:hAnsi="Calibri" w:cs="Calibri"/>
          <w:color w:val="1A1A1A"/>
        </w:rPr>
        <w:t xml:space="preserve">) — c’est une </w:t>
      </w:r>
      <w:r>
        <w:rPr>
          <w:rFonts w:ascii="Calibri" w:eastAsia="Calibri" w:hAnsi="Calibri" w:cs="Calibri"/>
          <w:b/>
          <w:bCs/>
          <w:color w:val="1A1A1A"/>
        </w:rPr>
        <w:t>mesure administrative</w:t>
      </w:r>
      <w:r>
        <w:rPr>
          <w:rFonts w:ascii="Calibri" w:eastAsia="Calibri" w:hAnsi="Calibri" w:cs="Calibri"/>
          <w:color w:val="1A1A1A"/>
        </w:rPr>
        <w:t>. Conséquence : le principe de non-rétroactivité de la loi pénale plus sévère ne s’y applique pas de plein droit, d’où l’importance de la réserve formulée en 2026.</w:t>
      </w:r>
    </w:p>
    <w:p w14:paraId="6533A154" w14:textId="77777777" w:rsidR="00520D98" w:rsidRDefault="00000000">
      <w:r>
        <w:br w:type="page"/>
      </w:r>
    </w:p>
    <w:p w14:paraId="08C0F35A" w14:textId="77777777" w:rsidR="00520D98" w:rsidRDefault="00000000">
      <w:pPr>
        <w:pStyle w:val="Titre2"/>
        <w:spacing w:before="280" w:after="120"/>
      </w:pPr>
      <w:r>
        <w:rPr>
          <w:rFonts w:ascii="Calibri" w:eastAsia="Calibri" w:hAnsi="Calibri" w:cs="Calibri"/>
          <w:b/>
          <w:bCs/>
          <w:color w:val="1A1A1A"/>
          <w:sz w:val="24"/>
          <w:szCs w:val="24"/>
        </w:rPr>
        <w:lastRenderedPageBreak/>
        <w:t>1. Le fondement du droit de ne pas être enfermé arbitrairement</w:t>
      </w:r>
    </w:p>
    <w:p w14:paraId="6D448362" w14:textId="77777777" w:rsidR="00520D98" w:rsidRPr="0087271C" w:rsidRDefault="00000000">
      <w:pPr>
        <w:pStyle w:val="Paragraphedeliste"/>
        <w:numPr>
          <w:ilvl w:val="0"/>
          <w:numId w:val="2"/>
        </w:numPr>
        <w:spacing w:after="70" w:line="264" w:lineRule="auto"/>
        <w:jc w:val="both"/>
        <w:rPr>
          <w:highlight w:val="yellow"/>
        </w:rPr>
      </w:pPr>
      <w:r>
        <w:rPr>
          <w:rFonts w:ascii="Calibri" w:eastAsia="Calibri" w:hAnsi="Calibri" w:cs="Calibri"/>
          <w:b/>
          <w:bCs/>
          <w:color w:val="1A1A1A"/>
        </w:rPr>
        <w:t>Reconnaissance constitutionnelle</w:t>
      </w:r>
      <w:r>
        <w:rPr>
          <w:rFonts w:ascii="Calibri" w:eastAsia="Calibri" w:hAnsi="Calibri" w:cs="Calibri"/>
          <w:color w:val="1A1A1A"/>
        </w:rPr>
        <w:t xml:space="preserve"> : </w:t>
      </w:r>
      <w:r>
        <w:rPr>
          <w:rFonts w:ascii="Calibri" w:eastAsia="Calibri" w:hAnsi="Calibri" w:cs="Calibri"/>
          <w:color w:val="1E88E5"/>
        </w:rPr>
        <w:t>art. 66 C.</w:t>
      </w:r>
      <w:r>
        <w:rPr>
          <w:rFonts w:ascii="Calibri" w:eastAsia="Calibri" w:hAnsi="Calibri" w:cs="Calibri"/>
          <w:color w:val="1A1A1A"/>
        </w:rPr>
        <w:t xml:space="preserve"> ; </w:t>
      </w:r>
      <w:r>
        <w:rPr>
          <w:rFonts w:ascii="Calibri" w:eastAsia="Calibri" w:hAnsi="Calibri" w:cs="Calibri"/>
          <w:color w:val="1E88E5"/>
        </w:rPr>
        <w:t>art. 2 DDHC</w:t>
      </w:r>
      <w:r>
        <w:rPr>
          <w:rFonts w:ascii="Calibri" w:eastAsia="Calibri" w:hAnsi="Calibri" w:cs="Calibri"/>
          <w:color w:val="1A1A1A"/>
        </w:rPr>
        <w:t xml:space="preserve"> (la sûreté fait partie des « droits naturels et imprescriptibles de l’homme ») ; </w:t>
      </w:r>
      <w:r>
        <w:rPr>
          <w:rFonts w:ascii="Calibri" w:eastAsia="Calibri" w:hAnsi="Calibri" w:cs="Calibri"/>
          <w:color w:val="1E88E5"/>
        </w:rPr>
        <w:t>art. 7 DDHC</w:t>
      </w:r>
      <w:r>
        <w:rPr>
          <w:rFonts w:ascii="Calibri" w:eastAsia="Calibri" w:hAnsi="Calibri" w:cs="Calibri"/>
          <w:color w:val="1A1A1A"/>
        </w:rPr>
        <w:t xml:space="preserve"> : « Nul homme ne peut être accusé, arrêté ni détenu que dans les cas déterminés par la loi, et selon les formes qu’elle a prescrites » ; </w:t>
      </w:r>
      <w:r>
        <w:rPr>
          <w:rFonts w:ascii="Calibri" w:eastAsia="Calibri" w:hAnsi="Calibri" w:cs="Calibri"/>
          <w:color w:val="1E88E5"/>
        </w:rPr>
        <w:t>art. 4 DDHC</w:t>
      </w:r>
      <w:r>
        <w:rPr>
          <w:rFonts w:ascii="Calibri" w:eastAsia="Calibri" w:hAnsi="Calibri" w:cs="Calibri"/>
          <w:color w:val="1A1A1A"/>
        </w:rPr>
        <w:t xml:space="preserve">. Le Conseil constitutionnel a affirmé à plusieurs reprises que </w:t>
      </w:r>
      <w:r w:rsidRPr="0087271C">
        <w:rPr>
          <w:rFonts w:ascii="Calibri" w:eastAsia="Calibri" w:hAnsi="Calibri" w:cs="Calibri"/>
          <w:color w:val="1A1A1A"/>
          <w:highlight w:val="yellow"/>
        </w:rPr>
        <w:t xml:space="preserve">les atteintes portées à la liberté individuelle doivent être </w:t>
      </w:r>
      <w:r w:rsidRPr="0087271C">
        <w:rPr>
          <w:rFonts w:ascii="Calibri" w:eastAsia="Calibri" w:hAnsi="Calibri" w:cs="Calibri"/>
          <w:b/>
          <w:bCs/>
          <w:color w:val="1A1A1A"/>
          <w:highlight w:val="yellow"/>
        </w:rPr>
        <w:t>adaptées, nécessaires et proportionnées</w:t>
      </w:r>
      <w:r w:rsidRPr="0087271C">
        <w:rPr>
          <w:rFonts w:ascii="Calibri" w:eastAsia="Calibri" w:hAnsi="Calibri" w:cs="Calibri"/>
          <w:color w:val="1A1A1A"/>
          <w:highlight w:val="yellow"/>
        </w:rPr>
        <w:t>.</w:t>
      </w:r>
    </w:p>
    <w:p w14:paraId="78712F93"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Reconnaissance conventionnelle</w:t>
      </w:r>
      <w:r>
        <w:rPr>
          <w:rFonts w:ascii="Calibri" w:eastAsia="Calibri" w:hAnsi="Calibri" w:cs="Calibri"/>
          <w:color w:val="1A1A1A"/>
        </w:rPr>
        <w:t xml:space="preserve"> : </w:t>
      </w:r>
      <w:r>
        <w:rPr>
          <w:rFonts w:ascii="Calibri" w:eastAsia="Calibri" w:hAnsi="Calibri" w:cs="Calibri"/>
          <w:color w:val="1E88E5"/>
        </w:rPr>
        <w:t>art. 9 PIDCP</w:t>
      </w:r>
      <w:r>
        <w:rPr>
          <w:rFonts w:ascii="Calibri" w:eastAsia="Calibri" w:hAnsi="Calibri" w:cs="Calibri"/>
          <w:color w:val="1A1A1A"/>
        </w:rPr>
        <w:t xml:space="preserve"> ; </w:t>
      </w:r>
      <w:r>
        <w:rPr>
          <w:rFonts w:ascii="Calibri" w:eastAsia="Calibri" w:hAnsi="Calibri" w:cs="Calibri"/>
          <w:color w:val="1E88E5"/>
        </w:rPr>
        <w:t>art. 6 de la Charte des droits fondamentaux</w:t>
      </w:r>
      <w:r>
        <w:rPr>
          <w:rFonts w:ascii="Calibri" w:eastAsia="Calibri" w:hAnsi="Calibri" w:cs="Calibri"/>
          <w:color w:val="1A1A1A"/>
        </w:rPr>
        <w:t xml:space="preserve"> ; </w:t>
      </w:r>
      <w:r>
        <w:rPr>
          <w:rFonts w:ascii="Calibri" w:eastAsia="Calibri" w:hAnsi="Calibri" w:cs="Calibri"/>
          <w:color w:val="1E88E5"/>
        </w:rPr>
        <w:t>art. 5 CEDH</w:t>
      </w:r>
      <w:r>
        <w:rPr>
          <w:rFonts w:ascii="Calibri" w:eastAsia="Calibri" w:hAnsi="Calibri" w:cs="Calibri"/>
          <w:color w:val="1A1A1A"/>
        </w:rPr>
        <w:t xml:space="preserve">, dont la longueur témoigne de l’importance particulière de ce droit — il consacre plusieurs garanties et prévoit une liste de motifs justifiant des restrictions, liste </w:t>
      </w:r>
      <w:r>
        <w:rPr>
          <w:rFonts w:ascii="Calibri" w:eastAsia="Calibri" w:hAnsi="Calibri" w:cs="Calibri"/>
          <w:b/>
          <w:bCs/>
          <w:color w:val="1A1A1A"/>
        </w:rPr>
        <w:t>exhaustive</w:t>
      </w:r>
      <w:r>
        <w:rPr>
          <w:rFonts w:ascii="Calibri" w:eastAsia="Calibri" w:hAnsi="Calibri" w:cs="Calibri"/>
          <w:color w:val="1A1A1A"/>
        </w:rPr>
        <w:t xml:space="preserve"> et d’interprétation </w:t>
      </w:r>
      <w:r>
        <w:rPr>
          <w:rFonts w:ascii="Calibri" w:eastAsia="Calibri" w:hAnsi="Calibri" w:cs="Calibri"/>
          <w:b/>
          <w:bCs/>
          <w:color w:val="1A1A1A"/>
        </w:rPr>
        <w:t>étroite</w:t>
      </w:r>
      <w:r>
        <w:rPr>
          <w:rFonts w:ascii="Calibri" w:eastAsia="Calibri" w:hAnsi="Calibri" w:cs="Calibri"/>
          <w:color w:val="1A1A1A"/>
        </w:rPr>
        <w:t xml:space="preserve"> (</w:t>
      </w:r>
      <w:r>
        <w:rPr>
          <w:rFonts w:ascii="Calibri" w:eastAsia="Calibri" w:hAnsi="Calibri" w:cs="Calibri"/>
          <w:color w:val="E91E63"/>
        </w:rPr>
        <w:t>Quinn c. France</w:t>
      </w:r>
      <w:r>
        <w:rPr>
          <w:rFonts w:ascii="Calibri" w:eastAsia="Calibri" w:hAnsi="Calibri" w:cs="Calibri"/>
          <w:color w:val="1A1A1A"/>
        </w:rPr>
        <w:t>).</w:t>
      </w:r>
    </w:p>
    <w:p w14:paraId="293B06AD"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La sanction pénale de l’arbitraire</w:t>
      </w:r>
      <w:r>
        <w:rPr>
          <w:rFonts w:ascii="Calibri" w:eastAsia="Calibri" w:hAnsi="Calibri" w:cs="Calibri"/>
          <w:color w:val="1A1A1A"/>
        </w:rPr>
        <w:t xml:space="preserve"> : </w:t>
      </w:r>
      <w:r>
        <w:rPr>
          <w:rFonts w:ascii="Calibri" w:eastAsia="Calibri" w:hAnsi="Calibri" w:cs="Calibri"/>
          <w:color w:val="1E88E5"/>
        </w:rPr>
        <w:t>art. 432-4 du Code pénal</w:t>
      </w:r>
      <w:r>
        <w:rPr>
          <w:rFonts w:ascii="Calibri" w:eastAsia="Calibri" w:hAnsi="Calibri" w:cs="Calibri"/>
          <w:color w:val="1A1A1A"/>
        </w:rPr>
        <w:t xml:space="preserve"> — sanctions applicables lorsqu’une personne dépositaire de l’autorité publique ou chargée d’une mission de service public ordonne ou accomplit un acte attentatoire à la liberté individuelle ; jusqu’à </w:t>
      </w:r>
      <w:r>
        <w:rPr>
          <w:rFonts w:ascii="Calibri" w:eastAsia="Calibri" w:hAnsi="Calibri" w:cs="Calibri"/>
          <w:b/>
          <w:bCs/>
          <w:color w:val="1A1A1A"/>
        </w:rPr>
        <w:t>sept ans d’emprisonnement et 100 000 euros d’amende</w:t>
      </w:r>
      <w:r>
        <w:rPr>
          <w:rFonts w:ascii="Calibri" w:eastAsia="Calibri" w:hAnsi="Calibri" w:cs="Calibri"/>
          <w:color w:val="1A1A1A"/>
        </w:rPr>
        <w:t xml:space="preserve">, peines </w:t>
      </w:r>
      <w:r>
        <w:rPr>
          <w:rFonts w:ascii="Calibri" w:eastAsia="Calibri" w:hAnsi="Calibri" w:cs="Calibri"/>
          <w:b/>
          <w:bCs/>
          <w:color w:val="1A1A1A"/>
        </w:rPr>
        <w:t>plus lourdes</w:t>
      </w:r>
      <w:r>
        <w:rPr>
          <w:rFonts w:ascii="Calibri" w:eastAsia="Calibri" w:hAnsi="Calibri" w:cs="Calibri"/>
          <w:color w:val="1A1A1A"/>
        </w:rPr>
        <w:t xml:space="preserve"> lorsque la privation de liberté arbitraire excède une durée de sept jours.</w:t>
      </w:r>
    </w:p>
    <w:p w14:paraId="587BE074" w14:textId="77777777" w:rsidR="00520D98" w:rsidRDefault="00000000">
      <w:pPr>
        <w:pStyle w:val="Titre2"/>
        <w:spacing w:before="280" w:after="120"/>
      </w:pPr>
      <w:r>
        <w:rPr>
          <w:rFonts w:ascii="Calibri" w:eastAsia="Calibri" w:hAnsi="Calibri" w:cs="Calibri"/>
          <w:b/>
          <w:bCs/>
          <w:color w:val="1A1A1A"/>
          <w:sz w:val="24"/>
          <w:szCs w:val="24"/>
        </w:rPr>
        <w:t>2. Les régimes de privation de liberté</w:t>
      </w:r>
    </w:p>
    <w:p w14:paraId="235EB888" w14:textId="77777777" w:rsidR="00520D98" w:rsidRDefault="00000000">
      <w:pPr>
        <w:pStyle w:val="Titre3"/>
        <w:spacing w:before="200" w:after="90"/>
      </w:pPr>
      <w:r>
        <w:rPr>
          <w:rFonts w:ascii="Calibri" w:eastAsia="Calibri" w:hAnsi="Calibri" w:cs="Calibri"/>
          <w:b/>
          <w:bCs/>
          <w:i/>
          <w:iCs/>
          <w:color w:val="5A5A5A"/>
          <w:sz w:val="21"/>
          <w:szCs w:val="21"/>
        </w:rPr>
        <w:t>2.1. La garde à vue</w:t>
      </w:r>
    </w:p>
    <w:p w14:paraId="03D9EC96" w14:textId="77777777" w:rsidR="00520D98" w:rsidRDefault="00000000">
      <w:pPr>
        <w:pStyle w:val="Paragraphedeliste"/>
        <w:numPr>
          <w:ilvl w:val="0"/>
          <w:numId w:val="2"/>
        </w:numPr>
        <w:spacing w:after="70" w:line="264" w:lineRule="auto"/>
        <w:jc w:val="both"/>
      </w:pPr>
      <w:r>
        <w:rPr>
          <w:rFonts w:ascii="Calibri" w:eastAsia="Calibri" w:hAnsi="Calibri" w:cs="Calibri"/>
          <w:color w:val="1E88E5"/>
        </w:rPr>
        <w:t>Art. 62-2 CPP</w:t>
      </w:r>
      <w:r>
        <w:rPr>
          <w:rFonts w:ascii="Calibri" w:eastAsia="Calibri" w:hAnsi="Calibri" w:cs="Calibri"/>
          <w:color w:val="1A1A1A"/>
        </w:rPr>
        <w:t xml:space="preserve"> : « La garde à vue est une mesure de contrainte décidée par un officier de police judiciaire, sous le contrôle de l’autorité judiciaire, par laquelle une personne à l’encontre de laquelle il existe une ou plusieurs raisons plausibles de soupçonner qu’elle a commis ou tenté de commettre un crime ou un délit puni d’une peine d’emprisonnement est maintenue à la disposition des enquêteurs. »</w:t>
      </w:r>
    </w:p>
    <w:p w14:paraId="5A55EC4A"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Durée</w:t>
      </w:r>
      <w:r>
        <w:rPr>
          <w:rFonts w:ascii="Calibri" w:eastAsia="Calibri" w:hAnsi="Calibri" w:cs="Calibri"/>
          <w:color w:val="1A1A1A"/>
        </w:rPr>
        <w:t xml:space="preserve"> : </w:t>
      </w:r>
      <w:r>
        <w:rPr>
          <w:rFonts w:ascii="Calibri" w:eastAsia="Calibri" w:hAnsi="Calibri" w:cs="Calibri"/>
          <w:color w:val="1E88E5"/>
        </w:rPr>
        <w:t>art. 63 CPP</w:t>
      </w:r>
      <w:r>
        <w:rPr>
          <w:rFonts w:ascii="Calibri" w:eastAsia="Calibri" w:hAnsi="Calibri" w:cs="Calibri"/>
          <w:color w:val="1A1A1A"/>
        </w:rPr>
        <w:t xml:space="preserve"> — </w:t>
      </w:r>
      <w:r w:rsidRPr="005E6765">
        <w:rPr>
          <w:rFonts w:ascii="Calibri" w:eastAsia="Calibri" w:hAnsi="Calibri" w:cs="Calibri"/>
          <w:color w:val="1A1A1A"/>
          <w:highlight w:val="yellow"/>
        </w:rPr>
        <w:t>vingt-quatre heures, prolongeables</w:t>
      </w:r>
      <w:r>
        <w:rPr>
          <w:rFonts w:ascii="Calibri" w:eastAsia="Calibri" w:hAnsi="Calibri" w:cs="Calibri"/>
          <w:color w:val="1A1A1A"/>
        </w:rPr>
        <w:t xml:space="preserve"> ; durées dérogatoires pour certains crimes et délits. La mesure est prise sous le contrôle du procureur de la République, qui peut la prolonger. </w:t>
      </w:r>
      <w:r>
        <w:rPr>
          <w:rFonts w:ascii="Calibri" w:eastAsia="Calibri" w:hAnsi="Calibri" w:cs="Calibri"/>
          <w:color w:val="1E88E5"/>
        </w:rPr>
        <w:t>Art. 706-88 CPP</w:t>
      </w:r>
      <w:r>
        <w:rPr>
          <w:rFonts w:ascii="Calibri" w:eastAsia="Calibri" w:hAnsi="Calibri" w:cs="Calibri"/>
          <w:color w:val="1A1A1A"/>
        </w:rPr>
        <w:t xml:space="preserve"> : deux prolongations supplémentaires de vingt-quatre heures peuvent être autorisées « </w:t>
      </w:r>
      <w:r>
        <w:rPr>
          <w:rFonts w:ascii="Calibri" w:eastAsia="Calibri" w:hAnsi="Calibri" w:cs="Calibri"/>
          <w:i/>
          <w:iCs/>
          <w:color w:val="1A1A1A"/>
        </w:rPr>
        <w:t>par décision écrite et motivée, soit, à la requête du procureur de la République, par le juge des libertés et de la détention, soit par le juge d’instruction</w:t>
      </w:r>
      <w:r>
        <w:rPr>
          <w:rFonts w:ascii="Calibri" w:eastAsia="Calibri" w:hAnsi="Calibri" w:cs="Calibri"/>
          <w:color w:val="1A1A1A"/>
        </w:rPr>
        <w:t xml:space="preserve"> » ; en cas d’investigations supplémentaires, la prolongation est décidée par le juge des libertés et de la détention ou le juge d’instruction.</w:t>
      </w:r>
    </w:p>
    <w:p w14:paraId="2D56BCC2"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Droits</w:t>
      </w:r>
      <w:r>
        <w:rPr>
          <w:rFonts w:ascii="Calibri" w:eastAsia="Calibri" w:hAnsi="Calibri" w:cs="Calibri"/>
          <w:color w:val="1A1A1A"/>
        </w:rPr>
        <w:t xml:space="preserve"> : </w:t>
      </w:r>
      <w:r>
        <w:rPr>
          <w:rFonts w:ascii="Calibri" w:eastAsia="Calibri" w:hAnsi="Calibri" w:cs="Calibri"/>
          <w:color w:val="1E88E5"/>
        </w:rPr>
        <w:t>art. 63-1 CPP</w:t>
      </w:r>
      <w:r>
        <w:rPr>
          <w:rFonts w:ascii="Calibri" w:eastAsia="Calibri" w:hAnsi="Calibri" w:cs="Calibri"/>
          <w:color w:val="1A1A1A"/>
        </w:rPr>
        <w:t xml:space="preserve"> — droit d’être examinée par un médecin, d’être assistée par un avocat, d’être assistée par un interprète si besoin, de se taire.</w:t>
      </w:r>
    </w:p>
    <w:p w14:paraId="73942B33" w14:textId="77777777" w:rsidR="00520D98" w:rsidRPr="005E6765" w:rsidRDefault="00000000">
      <w:pPr>
        <w:pStyle w:val="Paragraphedeliste"/>
        <w:numPr>
          <w:ilvl w:val="0"/>
          <w:numId w:val="2"/>
        </w:numPr>
        <w:spacing w:after="70" w:line="264" w:lineRule="auto"/>
        <w:jc w:val="both"/>
        <w:rPr>
          <w:highlight w:val="yellow"/>
        </w:rPr>
      </w:pPr>
      <w:r>
        <w:rPr>
          <w:rFonts w:ascii="Calibri" w:eastAsia="Calibri" w:hAnsi="Calibri" w:cs="Calibri"/>
          <w:color w:val="1A1A1A"/>
        </w:rPr>
        <w:t xml:space="preserve">★ </w:t>
      </w:r>
      <w:r>
        <w:rPr>
          <w:rFonts w:ascii="Calibri" w:eastAsia="Calibri" w:hAnsi="Calibri" w:cs="Calibri"/>
          <w:color w:val="E91E63"/>
        </w:rPr>
        <w:t>Cons. const., déc. n° 2023-1064 QPC, 6 octobre 2023, Association des avocats pénalistes</w:t>
      </w:r>
      <w:r>
        <w:rPr>
          <w:rFonts w:ascii="Calibri" w:eastAsia="Calibri" w:hAnsi="Calibri" w:cs="Calibri"/>
          <w:color w:val="1A1A1A"/>
        </w:rPr>
        <w:t xml:space="preserve"> : sur le fondement du respect de la </w:t>
      </w:r>
      <w:r>
        <w:rPr>
          <w:rFonts w:ascii="Calibri" w:eastAsia="Calibri" w:hAnsi="Calibri" w:cs="Calibri"/>
          <w:b/>
          <w:bCs/>
          <w:color w:val="1A1A1A"/>
        </w:rPr>
        <w:t>dignité humaine</w:t>
      </w:r>
      <w:r>
        <w:rPr>
          <w:rFonts w:ascii="Calibri" w:eastAsia="Calibri" w:hAnsi="Calibri" w:cs="Calibri"/>
          <w:color w:val="1A1A1A"/>
        </w:rPr>
        <w:t xml:space="preserve"> consacré à l’alinéa premier du Préambule de 1946, il appartient aux autorités judiciaires de veiller à ce que les locaux de garde à vue soient aménagés et entretenus. En vertu de l’</w:t>
      </w:r>
      <w:r>
        <w:rPr>
          <w:rFonts w:ascii="Calibri" w:eastAsia="Calibri" w:hAnsi="Calibri" w:cs="Calibri"/>
          <w:color w:val="1E88E5"/>
        </w:rPr>
        <w:t>art. 62-3 CPP</w:t>
      </w:r>
      <w:r>
        <w:rPr>
          <w:rFonts w:ascii="Calibri" w:eastAsia="Calibri" w:hAnsi="Calibri" w:cs="Calibri"/>
          <w:color w:val="1A1A1A"/>
        </w:rPr>
        <w:t xml:space="preserve">, le magistrat compétent doit s’assurer de la sauvegarde de la dignité et prendre des mesures pour mettre fin aux conditions indignes ou, si cela n’est pas possible, ordonner la </w:t>
      </w:r>
      <w:r>
        <w:rPr>
          <w:rFonts w:ascii="Calibri" w:eastAsia="Calibri" w:hAnsi="Calibri" w:cs="Calibri"/>
          <w:b/>
          <w:bCs/>
          <w:color w:val="1A1A1A"/>
        </w:rPr>
        <w:t>mise en liberté</w:t>
      </w:r>
      <w:r>
        <w:rPr>
          <w:rFonts w:ascii="Calibri" w:eastAsia="Calibri" w:hAnsi="Calibri" w:cs="Calibri"/>
          <w:color w:val="1A1A1A"/>
        </w:rPr>
        <w:t xml:space="preserve"> de la personne gardée à vue. </w:t>
      </w:r>
      <w:r w:rsidRPr="005E6765">
        <w:rPr>
          <w:rFonts w:ascii="Calibri" w:eastAsia="Calibri" w:hAnsi="Calibri" w:cs="Calibri"/>
          <w:color w:val="1A1A1A"/>
          <w:highlight w:val="yellow"/>
        </w:rPr>
        <w:t xml:space="preserve">Une garde à vue dans des conditions indignes peut engager la </w:t>
      </w:r>
      <w:r w:rsidRPr="005E6765">
        <w:rPr>
          <w:rFonts w:ascii="Calibri" w:eastAsia="Calibri" w:hAnsi="Calibri" w:cs="Calibri"/>
          <w:b/>
          <w:bCs/>
          <w:color w:val="1A1A1A"/>
          <w:highlight w:val="yellow"/>
        </w:rPr>
        <w:t>responsabilité de l’État</w:t>
      </w:r>
      <w:r w:rsidRPr="005E6765">
        <w:rPr>
          <w:rFonts w:ascii="Calibri" w:eastAsia="Calibri" w:hAnsi="Calibri" w:cs="Calibri"/>
          <w:color w:val="1A1A1A"/>
          <w:highlight w:val="yellow"/>
        </w:rPr>
        <w:t>.</w:t>
      </w:r>
    </w:p>
    <w:p w14:paraId="164A43BC" w14:textId="77777777" w:rsidR="00520D98" w:rsidRDefault="00000000">
      <w:pPr>
        <w:pStyle w:val="Titre3"/>
        <w:spacing w:before="200" w:after="90"/>
      </w:pPr>
      <w:r>
        <w:rPr>
          <w:rFonts w:ascii="Calibri" w:eastAsia="Calibri" w:hAnsi="Calibri" w:cs="Calibri"/>
          <w:b/>
          <w:bCs/>
          <w:i/>
          <w:iCs/>
          <w:color w:val="5A5A5A"/>
          <w:sz w:val="21"/>
          <w:szCs w:val="21"/>
        </w:rPr>
        <w:t>2.2. La détention provisoire</w:t>
      </w:r>
    </w:p>
    <w:p w14:paraId="3A152EAE"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Priver une personne de liberté dans l’attente de son jugement, c’est incarcérer une </w:t>
      </w:r>
      <w:r>
        <w:rPr>
          <w:rFonts w:ascii="Calibri" w:eastAsia="Calibri" w:hAnsi="Calibri" w:cs="Calibri"/>
          <w:b/>
          <w:bCs/>
          <w:color w:val="1A1A1A"/>
        </w:rPr>
        <w:t>personne présumée innocente</w:t>
      </w:r>
      <w:r>
        <w:rPr>
          <w:rFonts w:ascii="Calibri" w:eastAsia="Calibri" w:hAnsi="Calibri" w:cs="Calibri"/>
          <w:color w:val="1A1A1A"/>
        </w:rPr>
        <w:t xml:space="preserve">. </w:t>
      </w:r>
      <w:r>
        <w:rPr>
          <w:rFonts w:ascii="Calibri" w:eastAsia="Calibri" w:hAnsi="Calibri" w:cs="Calibri"/>
          <w:color w:val="1E88E5"/>
        </w:rPr>
        <w:t>Art. 137 CPP</w:t>
      </w:r>
      <w:r>
        <w:rPr>
          <w:rFonts w:ascii="Calibri" w:eastAsia="Calibri" w:hAnsi="Calibri" w:cs="Calibri"/>
          <w:color w:val="1A1A1A"/>
        </w:rPr>
        <w:t xml:space="preserve"> : la détention provisoire n’est </w:t>
      </w:r>
      <w:r w:rsidRPr="005E6765">
        <w:rPr>
          <w:rFonts w:ascii="Calibri" w:eastAsia="Calibri" w:hAnsi="Calibri" w:cs="Calibri"/>
          <w:color w:val="1A1A1A"/>
          <w:highlight w:val="yellow"/>
        </w:rPr>
        <w:t>possible que si les obligations du contrôle judiciaire ou l’assignation à résidence ne sont pas suffisantes</w:t>
      </w:r>
      <w:r>
        <w:rPr>
          <w:rFonts w:ascii="Calibri" w:eastAsia="Calibri" w:hAnsi="Calibri" w:cs="Calibri"/>
          <w:color w:val="1A1A1A"/>
        </w:rPr>
        <w:t xml:space="preserve">. </w:t>
      </w:r>
      <w:r>
        <w:rPr>
          <w:rFonts w:ascii="Calibri" w:eastAsia="Calibri" w:hAnsi="Calibri" w:cs="Calibri"/>
          <w:color w:val="1E88E5"/>
        </w:rPr>
        <w:t>Art. 143-1 CPP</w:t>
      </w:r>
      <w:r>
        <w:rPr>
          <w:rFonts w:ascii="Calibri" w:eastAsia="Calibri" w:hAnsi="Calibri" w:cs="Calibri"/>
          <w:color w:val="1A1A1A"/>
        </w:rPr>
        <w:t xml:space="preserve"> : elle ne peut être ordonnée ou prolongée </w:t>
      </w:r>
      <w:r w:rsidRPr="005E6765">
        <w:rPr>
          <w:rFonts w:ascii="Calibri" w:eastAsia="Calibri" w:hAnsi="Calibri" w:cs="Calibri"/>
          <w:color w:val="1A1A1A"/>
          <w:highlight w:val="yellow"/>
        </w:rPr>
        <w:t>que si la personne encourt une peine criminelle ou une peine correctionnelle égale ou supérieure à trois ans d’emprisonnement</w:t>
      </w:r>
      <w:r>
        <w:rPr>
          <w:rFonts w:ascii="Calibri" w:eastAsia="Calibri" w:hAnsi="Calibri" w:cs="Calibri"/>
          <w:color w:val="1A1A1A"/>
        </w:rPr>
        <w:t xml:space="preserve">. </w:t>
      </w:r>
      <w:r>
        <w:rPr>
          <w:rFonts w:ascii="Calibri" w:eastAsia="Calibri" w:hAnsi="Calibri" w:cs="Calibri"/>
          <w:color w:val="1E88E5"/>
        </w:rPr>
        <w:t>Art. 144 CPP</w:t>
      </w:r>
      <w:r>
        <w:rPr>
          <w:rFonts w:ascii="Calibri" w:eastAsia="Calibri" w:hAnsi="Calibri" w:cs="Calibri"/>
          <w:color w:val="1A1A1A"/>
        </w:rPr>
        <w:t xml:space="preserve"> : cas justifiant le placement — conserver les preuves, protéger la personne mise en examen, garantir son maintien à la disposition de la justice, mettre fin à l’infraction ou prévenir son renouvellement.</w:t>
      </w:r>
    </w:p>
    <w:p w14:paraId="59ACA991"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Compétence du </w:t>
      </w:r>
      <w:r>
        <w:rPr>
          <w:rFonts w:ascii="Calibri" w:eastAsia="Calibri" w:hAnsi="Calibri" w:cs="Calibri"/>
          <w:b/>
          <w:bCs/>
          <w:color w:val="1A1A1A"/>
        </w:rPr>
        <w:t>juge des libertés et de la détention</w:t>
      </w:r>
      <w:r>
        <w:rPr>
          <w:rFonts w:ascii="Calibri" w:eastAsia="Calibri" w:hAnsi="Calibri" w:cs="Calibri"/>
          <w:color w:val="1A1A1A"/>
        </w:rPr>
        <w:t xml:space="preserve"> (</w:t>
      </w:r>
      <w:r>
        <w:rPr>
          <w:rFonts w:ascii="Calibri" w:eastAsia="Calibri" w:hAnsi="Calibri" w:cs="Calibri"/>
          <w:color w:val="1E88E5"/>
        </w:rPr>
        <w:t>loi n° 2000-516 du 15 juin 2000 renforçant la protection de la présomption d’innocence et les droits des victimes</w:t>
      </w:r>
      <w:r>
        <w:rPr>
          <w:rFonts w:ascii="Calibri" w:eastAsia="Calibri" w:hAnsi="Calibri" w:cs="Calibri"/>
          <w:color w:val="1A1A1A"/>
        </w:rPr>
        <w:t xml:space="preserve">). Durées : </w:t>
      </w:r>
      <w:r>
        <w:rPr>
          <w:rFonts w:ascii="Calibri" w:eastAsia="Calibri" w:hAnsi="Calibri" w:cs="Calibri"/>
          <w:b/>
          <w:bCs/>
          <w:color w:val="1A1A1A"/>
        </w:rPr>
        <w:t>quatre mois</w:t>
      </w:r>
      <w:r>
        <w:rPr>
          <w:rFonts w:ascii="Calibri" w:eastAsia="Calibri" w:hAnsi="Calibri" w:cs="Calibri"/>
          <w:color w:val="1A1A1A"/>
        </w:rPr>
        <w:t xml:space="preserve"> en matière correctionnelle et </w:t>
      </w:r>
      <w:r>
        <w:rPr>
          <w:rFonts w:ascii="Calibri" w:eastAsia="Calibri" w:hAnsi="Calibri" w:cs="Calibri"/>
          <w:b/>
          <w:bCs/>
          <w:color w:val="1A1A1A"/>
        </w:rPr>
        <w:t>un an</w:t>
      </w:r>
      <w:r>
        <w:rPr>
          <w:rFonts w:ascii="Calibri" w:eastAsia="Calibri" w:hAnsi="Calibri" w:cs="Calibri"/>
          <w:color w:val="1A1A1A"/>
        </w:rPr>
        <w:t xml:space="preserve"> en matière criminelle, avec prolongations possibles ; demande de mise en liberté à tout moment (</w:t>
      </w:r>
      <w:r>
        <w:rPr>
          <w:rFonts w:ascii="Calibri" w:eastAsia="Calibri" w:hAnsi="Calibri" w:cs="Calibri"/>
          <w:color w:val="1E88E5"/>
        </w:rPr>
        <w:t>art. 148-1 CPP</w:t>
      </w:r>
      <w:r>
        <w:rPr>
          <w:rFonts w:ascii="Calibri" w:eastAsia="Calibri" w:hAnsi="Calibri" w:cs="Calibri"/>
          <w:color w:val="1A1A1A"/>
        </w:rPr>
        <w:t>).</w:t>
      </w:r>
    </w:p>
    <w:p w14:paraId="4FF21024" w14:textId="77777777" w:rsidR="00520D98" w:rsidRPr="005E6765" w:rsidRDefault="00000000">
      <w:pPr>
        <w:pStyle w:val="Paragraphedeliste"/>
        <w:numPr>
          <w:ilvl w:val="0"/>
          <w:numId w:val="2"/>
        </w:numPr>
        <w:spacing w:after="70" w:line="264" w:lineRule="auto"/>
        <w:jc w:val="both"/>
      </w:pPr>
      <w:r>
        <w:rPr>
          <w:rFonts w:ascii="Calibri" w:eastAsia="Calibri" w:hAnsi="Calibri" w:cs="Calibri"/>
          <w:b/>
          <w:bCs/>
          <w:color w:val="1A1A1A"/>
        </w:rPr>
        <w:t>L’épisode Covid</w:t>
      </w:r>
      <w:r>
        <w:rPr>
          <w:rFonts w:ascii="Calibri" w:eastAsia="Calibri" w:hAnsi="Calibri" w:cs="Calibri"/>
          <w:color w:val="1A1A1A"/>
        </w:rPr>
        <w:t xml:space="preserve"> : l’</w:t>
      </w:r>
      <w:r>
        <w:rPr>
          <w:rFonts w:ascii="Calibri" w:eastAsia="Calibri" w:hAnsi="Calibri" w:cs="Calibri"/>
          <w:color w:val="1E88E5"/>
        </w:rPr>
        <w:t>ordonnance n° 2020-303 du 25 mars 2020</w:t>
      </w:r>
      <w:r>
        <w:rPr>
          <w:rFonts w:ascii="Calibri" w:eastAsia="Calibri" w:hAnsi="Calibri" w:cs="Calibri"/>
          <w:color w:val="1A1A1A"/>
        </w:rPr>
        <w:t xml:space="preserve"> prévoyait la prolongation </w:t>
      </w:r>
      <w:r>
        <w:rPr>
          <w:rFonts w:ascii="Calibri" w:eastAsia="Calibri" w:hAnsi="Calibri" w:cs="Calibri"/>
          <w:b/>
          <w:bCs/>
          <w:color w:val="1A1A1A"/>
        </w:rPr>
        <w:t>de plein droit</w:t>
      </w:r>
      <w:r>
        <w:rPr>
          <w:rFonts w:ascii="Calibri" w:eastAsia="Calibri" w:hAnsi="Calibri" w:cs="Calibri"/>
          <w:color w:val="1A1A1A"/>
        </w:rPr>
        <w:t xml:space="preserve"> des détentions provisoires pour une durée de deux à six mois. Le </w:t>
      </w:r>
      <w:r>
        <w:rPr>
          <w:rFonts w:ascii="Calibri" w:eastAsia="Calibri" w:hAnsi="Calibri" w:cs="Calibri"/>
          <w:b/>
          <w:bCs/>
          <w:color w:val="1A1A1A"/>
        </w:rPr>
        <w:t>26 mai 2020</w:t>
      </w:r>
      <w:r>
        <w:rPr>
          <w:rFonts w:ascii="Calibri" w:eastAsia="Calibri" w:hAnsi="Calibri" w:cs="Calibri"/>
          <w:color w:val="1A1A1A"/>
        </w:rPr>
        <w:t>, la Cour de cassation a jugé ces dispositions contraires à l’</w:t>
      </w:r>
      <w:r>
        <w:rPr>
          <w:rFonts w:ascii="Calibri" w:eastAsia="Calibri" w:hAnsi="Calibri" w:cs="Calibri"/>
          <w:color w:val="1E88E5"/>
        </w:rPr>
        <w:t>art. 5 de la Convention</w:t>
      </w:r>
      <w:r>
        <w:rPr>
          <w:rFonts w:ascii="Calibri" w:eastAsia="Calibri" w:hAnsi="Calibri" w:cs="Calibri"/>
          <w:color w:val="1A1A1A"/>
        </w:rPr>
        <w:t xml:space="preserve"> ; le </w:t>
      </w:r>
      <w:r>
        <w:rPr>
          <w:rFonts w:ascii="Calibri" w:eastAsia="Calibri" w:hAnsi="Calibri" w:cs="Calibri"/>
          <w:b/>
          <w:bCs/>
          <w:color w:val="1A1A1A"/>
        </w:rPr>
        <w:t>29 janvier 2021</w:t>
      </w:r>
      <w:r>
        <w:rPr>
          <w:rFonts w:ascii="Calibri" w:eastAsia="Calibri" w:hAnsi="Calibri" w:cs="Calibri"/>
          <w:color w:val="1A1A1A"/>
        </w:rPr>
        <w:t>, le Conseil constitutionnel en a affirmé le caractère inconstitutionnel au regard de l’</w:t>
      </w:r>
      <w:r>
        <w:rPr>
          <w:rFonts w:ascii="Calibri" w:eastAsia="Calibri" w:hAnsi="Calibri" w:cs="Calibri"/>
          <w:color w:val="1E88E5"/>
        </w:rPr>
        <w:t>art. 66 de la Constitution</w:t>
      </w:r>
      <w:r>
        <w:rPr>
          <w:rFonts w:ascii="Calibri" w:eastAsia="Calibri" w:hAnsi="Calibri" w:cs="Calibri"/>
          <w:color w:val="1A1A1A"/>
        </w:rPr>
        <w:t>.</w:t>
      </w:r>
    </w:p>
    <w:p w14:paraId="275032A2" w14:textId="77777777" w:rsidR="005E6765" w:rsidRDefault="005E6765" w:rsidP="005E6765">
      <w:pPr>
        <w:pStyle w:val="Paragraphedeliste"/>
        <w:spacing w:after="70" w:line="264" w:lineRule="auto"/>
        <w:ind w:left="340"/>
        <w:jc w:val="both"/>
      </w:pPr>
    </w:p>
    <w:p w14:paraId="14622792" w14:textId="77777777" w:rsidR="00520D98" w:rsidRDefault="00000000">
      <w:pPr>
        <w:pStyle w:val="Titre3"/>
        <w:spacing w:before="200" w:after="90"/>
      </w:pPr>
      <w:r>
        <w:rPr>
          <w:rFonts w:ascii="Calibri" w:eastAsia="Calibri" w:hAnsi="Calibri" w:cs="Calibri"/>
          <w:b/>
          <w:bCs/>
          <w:i/>
          <w:iCs/>
          <w:color w:val="5A5A5A"/>
          <w:sz w:val="21"/>
          <w:szCs w:val="21"/>
        </w:rPr>
        <w:lastRenderedPageBreak/>
        <w:t>2.3. La rétention de sûreté</w:t>
      </w:r>
    </w:p>
    <w:p w14:paraId="1494D47F"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Issue de la </w:t>
      </w:r>
      <w:r>
        <w:rPr>
          <w:rFonts w:ascii="Calibri" w:eastAsia="Calibri" w:hAnsi="Calibri" w:cs="Calibri"/>
          <w:color w:val="1E88E5"/>
        </w:rPr>
        <w:t>loi n° 2008-174 du 25 février 2008 relative à la rétention de sûreté et à la déclaration d’irresponsabilité pénale pour cause de trouble mental</w:t>
      </w:r>
      <w:r>
        <w:rPr>
          <w:rFonts w:ascii="Calibri" w:eastAsia="Calibri" w:hAnsi="Calibri" w:cs="Calibri"/>
          <w:color w:val="1A1A1A"/>
        </w:rPr>
        <w:t>, prévue à l’</w:t>
      </w:r>
      <w:r>
        <w:rPr>
          <w:rFonts w:ascii="Calibri" w:eastAsia="Calibri" w:hAnsi="Calibri" w:cs="Calibri"/>
          <w:color w:val="1E88E5"/>
        </w:rPr>
        <w:t>art. 706-53-13 CPP</w:t>
      </w:r>
      <w:r>
        <w:rPr>
          <w:rFonts w:ascii="Calibri" w:eastAsia="Calibri" w:hAnsi="Calibri" w:cs="Calibri"/>
          <w:color w:val="1A1A1A"/>
        </w:rPr>
        <w:t xml:space="preserve">. </w:t>
      </w:r>
      <w:r>
        <w:rPr>
          <w:rFonts w:ascii="Calibri" w:eastAsia="Calibri" w:hAnsi="Calibri" w:cs="Calibri"/>
          <w:b/>
          <w:bCs/>
          <w:color w:val="1A1A1A"/>
        </w:rPr>
        <w:t>Mesure administrative</w:t>
      </w:r>
      <w:r>
        <w:rPr>
          <w:rFonts w:ascii="Calibri" w:eastAsia="Calibri" w:hAnsi="Calibri" w:cs="Calibri"/>
          <w:color w:val="1A1A1A"/>
        </w:rPr>
        <w:t xml:space="preserve"> visant à maintenir enfermée une personne dans un centre socio-médico-judiciaire, </w:t>
      </w:r>
      <w:r w:rsidRPr="005E6765">
        <w:rPr>
          <w:rFonts w:ascii="Calibri" w:eastAsia="Calibri" w:hAnsi="Calibri" w:cs="Calibri"/>
          <w:color w:val="1A1A1A"/>
          <w:highlight w:val="yellow"/>
        </w:rPr>
        <w:t>applicable aux personnes condamnées à une peine de réclusion criminelle d’une durée égale ou supérieure à quinze ans</w:t>
      </w:r>
      <w:r>
        <w:rPr>
          <w:rFonts w:ascii="Calibri" w:eastAsia="Calibri" w:hAnsi="Calibri" w:cs="Calibri"/>
          <w:color w:val="1A1A1A"/>
        </w:rPr>
        <w:t xml:space="preserve">, à l’issue de leur peine, « </w:t>
      </w:r>
      <w:r>
        <w:rPr>
          <w:rFonts w:ascii="Calibri" w:eastAsia="Calibri" w:hAnsi="Calibri" w:cs="Calibri"/>
          <w:i/>
          <w:iCs/>
          <w:color w:val="1A1A1A"/>
        </w:rPr>
        <w:t>pour les crimes, commis sur une victime mineure, d’assassinat ou de meurtre, de torture ou actes de barbarie, de viol, d’enlèvement ou de séquestration</w:t>
      </w:r>
      <w:r>
        <w:rPr>
          <w:rFonts w:ascii="Calibri" w:eastAsia="Calibri" w:hAnsi="Calibri" w:cs="Calibri"/>
          <w:color w:val="1A1A1A"/>
        </w:rPr>
        <w:t xml:space="preserve"> », lorsqu’elles « </w:t>
      </w:r>
      <w:r>
        <w:rPr>
          <w:rFonts w:ascii="Calibri" w:eastAsia="Calibri" w:hAnsi="Calibri" w:cs="Calibri"/>
          <w:i/>
          <w:iCs/>
          <w:color w:val="1A1A1A"/>
        </w:rPr>
        <w:t xml:space="preserve">présentent une particulière dangerosité caractérisée par une </w:t>
      </w:r>
      <w:r w:rsidRPr="005E6765">
        <w:rPr>
          <w:rFonts w:ascii="Calibri" w:eastAsia="Calibri" w:hAnsi="Calibri" w:cs="Calibri"/>
          <w:i/>
          <w:iCs/>
          <w:color w:val="1A1A1A"/>
          <w:highlight w:val="yellow"/>
        </w:rPr>
        <w:t>probabilité très élevée de récidive parce qu’elles souffrent d’un trouble grave de la personnalité</w:t>
      </w:r>
      <w:r>
        <w:rPr>
          <w:rFonts w:ascii="Calibri" w:eastAsia="Calibri" w:hAnsi="Calibri" w:cs="Calibri"/>
          <w:color w:val="1A1A1A"/>
        </w:rPr>
        <w:t xml:space="preserve"> ».</w:t>
      </w:r>
    </w:p>
    <w:p w14:paraId="2D96B90C" w14:textId="77777777" w:rsidR="00F42AF7" w:rsidRPr="00F42AF7" w:rsidRDefault="00000000">
      <w:pPr>
        <w:pStyle w:val="Paragraphedeliste"/>
        <w:numPr>
          <w:ilvl w:val="0"/>
          <w:numId w:val="2"/>
        </w:numPr>
        <w:spacing w:after="70" w:line="264" w:lineRule="auto"/>
        <w:jc w:val="both"/>
      </w:pPr>
      <w:r>
        <w:rPr>
          <w:rFonts w:ascii="Calibri" w:eastAsia="Calibri" w:hAnsi="Calibri" w:cs="Calibri"/>
          <w:b/>
          <w:bCs/>
          <w:color w:val="1A1A1A"/>
        </w:rPr>
        <w:t>Procédure</w:t>
      </w:r>
      <w:r>
        <w:rPr>
          <w:rFonts w:ascii="Calibri" w:eastAsia="Calibri" w:hAnsi="Calibri" w:cs="Calibri"/>
          <w:color w:val="1A1A1A"/>
        </w:rPr>
        <w:t xml:space="preserve"> : le placement n’est </w:t>
      </w:r>
      <w:r w:rsidRPr="00F42AF7">
        <w:rPr>
          <w:rFonts w:ascii="Calibri" w:eastAsia="Calibri" w:hAnsi="Calibri" w:cs="Calibri"/>
          <w:color w:val="1A1A1A"/>
          <w:highlight w:val="yellow"/>
        </w:rPr>
        <w:t>possible que si la décision de condamnation de la cour d’assises le prévoit</w:t>
      </w:r>
      <w:r>
        <w:rPr>
          <w:rFonts w:ascii="Calibri" w:eastAsia="Calibri" w:hAnsi="Calibri" w:cs="Calibri"/>
          <w:color w:val="1A1A1A"/>
        </w:rPr>
        <w:t xml:space="preserve"> ; la dangerosité est évaluée par une commission pluridisciplinaire et la décision de placement est prise par la juridiction régionale de la rétention de sûreté. </w:t>
      </w:r>
    </w:p>
    <w:p w14:paraId="2CA8D86A" w14:textId="000A7E2A" w:rsidR="00520D98" w:rsidRDefault="00000000">
      <w:pPr>
        <w:pStyle w:val="Paragraphedeliste"/>
        <w:numPr>
          <w:ilvl w:val="0"/>
          <w:numId w:val="2"/>
        </w:numPr>
        <w:spacing w:after="70" w:line="264" w:lineRule="auto"/>
        <w:jc w:val="both"/>
      </w:pPr>
      <w:r>
        <w:rPr>
          <w:rFonts w:ascii="Calibri" w:eastAsia="Calibri" w:hAnsi="Calibri" w:cs="Calibri"/>
          <w:b/>
          <w:bCs/>
          <w:color w:val="1A1A1A"/>
        </w:rPr>
        <w:t>Qualification</w:t>
      </w:r>
      <w:r>
        <w:rPr>
          <w:rFonts w:ascii="Calibri" w:eastAsia="Calibri" w:hAnsi="Calibri" w:cs="Calibri"/>
          <w:color w:val="1A1A1A"/>
        </w:rPr>
        <w:t xml:space="preserve"> : ni une peine, ni une sanction ayant le caractère d’une punition (</w:t>
      </w:r>
      <w:r>
        <w:rPr>
          <w:rFonts w:ascii="Calibri" w:eastAsia="Calibri" w:hAnsi="Calibri" w:cs="Calibri"/>
          <w:color w:val="E91E63"/>
        </w:rPr>
        <w:t>Cons. const., déc. n° 2008-562 DC, 21 février 2008</w:t>
      </w:r>
      <w:r>
        <w:rPr>
          <w:rFonts w:ascii="Calibri" w:eastAsia="Calibri" w:hAnsi="Calibri" w:cs="Calibri"/>
          <w:color w:val="1A1A1A"/>
        </w:rPr>
        <w:t xml:space="preserve">). Droits de la personne retenue : </w:t>
      </w:r>
      <w:r>
        <w:rPr>
          <w:rFonts w:ascii="Calibri" w:eastAsia="Calibri" w:hAnsi="Calibri" w:cs="Calibri"/>
          <w:color w:val="1E88E5"/>
        </w:rPr>
        <w:t>art. R. 541-11 à R. 542-13 du Code pénitentiaire</w:t>
      </w:r>
      <w:r>
        <w:rPr>
          <w:rFonts w:ascii="Calibri" w:eastAsia="Calibri" w:hAnsi="Calibri" w:cs="Calibri"/>
          <w:color w:val="1A1A1A"/>
        </w:rPr>
        <w:t xml:space="preserve"> — droit au recours, droit de suivre des actions d’éducation et de formation, droit de pratiquer une activité religieuse, droit de visite.</w:t>
      </w:r>
    </w:p>
    <w:p w14:paraId="31CF572E" w14:textId="77777777" w:rsidR="00F42AF7" w:rsidRPr="00F42AF7"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F42AF7">
        <w:rPr>
          <w:rFonts w:ascii="Calibri" w:eastAsia="Calibri" w:hAnsi="Calibri" w:cs="Calibri"/>
          <w:b/>
          <w:bCs/>
          <w:color w:val="1A1A1A"/>
          <w:highlight w:val="yellow"/>
        </w:rPr>
        <w:t>Actualité</w:t>
      </w:r>
      <w:r>
        <w:rPr>
          <w:rFonts w:ascii="Calibri" w:eastAsia="Calibri" w:hAnsi="Calibri" w:cs="Calibri"/>
          <w:b/>
          <w:bCs/>
          <w:color w:val="1A1A1A"/>
        </w:rPr>
        <w:t xml:space="preserve"> — la rétention de sûreté terroriste</w:t>
      </w:r>
      <w:r>
        <w:rPr>
          <w:rFonts w:ascii="Calibri" w:eastAsia="Calibri" w:hAnsi="Calibri" w:cs="Calibri"/>
          <w:color w:val="1A1A1A"/>
        </w:rPr>
        <w:t xml:space="preserve"> : la </w:t>
      </w:r>
      <w:r>
        <w:rPr>
          <w:rFonts w:ascii="Calibri" w:eastAsia="Calibri" w:hAnsi="Calibri" w:cs="Calibri"/>
          <w:color w:val="1E88E5"/>
        </w:rPr>
        <w:t>loi n° 2026-667 du 27 juillet 2026 visant à renforcer la sécurité, la rétention administrative et la prévention des risques d’attentat</w:t>
      </w:r>
      <w:r>
        <w:rPr>
          <w:rFonts w:ascii="Calibri" w:eastAsia="Calibri" w:hAnsi="Calibri" w:cs="Calibri"/>
          <w:color w:val="1A1A1A"/>
        </w:rPr>
        <w:t xml:space="preserve"> institue une rétention de sûreté terroriste, susceptible d’être prononcée à l’issue de leur peine </w:t>
      </w:r>
      <w:r w:rsidRPr="00F42AF7">
        <w:rPr>
          <w:rFonts w:ascii="Calibri" w:eastAsia="Calibri" w:hAnsi="Calibri" w:cs="Calibri"/>
          <w:color w:val="1A1A1A"/>
          <w:highlight w:val="yellow"/>
        </w:rPr>
        <w:t>à l’encontre de personnes condamnées à au moins quinze ans de réclusion pour un crime terroriste et présentant une particulière dangerosité</w:t>
      </w:r>
      <w:r>
        <w:rPr>
          <w:rFonts w:ascii="Calibri" w:eastAsia="Calibri" w:hAnsi="Calibri" w:cs="Calibri"/>
          <w:color w:val="1A1A1A"/>
        </w:rPr>
        <w:t xml:space="preserve"> caractérisée par une probabilité très élevée de récidive, une </w:t>
      </w:r>
      <w:r>
        <w:rPr>
          <w:rFonts w:ascii="Calibri" w:eastAsia="Calibri" w:hAnsi="Calibri" w:cs="Calibri"/>
          <w:b/>
          <w:bCs/>
          <w:color w:val="1A1A1A"/>
        </w:rPr>
        <w:t>adhésion persistante à une idéologie incitant au terrorisme</w:t>
      </w:r>
      <w:r>
        <w:rPr>
          <w:rFonts w:ascii="Calibri" w:eastAsia="Calibri" w:hAnsi="Calibri" w:cs="Calibri"/>
          <w:color w:val="1A1A1A"/>
        </w:rPr>
        <w:t xml:space="preserve"> et un trouble grave de la personnalité. La mesure ne peut être prononcée qu’</w:t>
      </w:r>
      <w:r>
        <w:rPr>
          <w:rFonts w:ascii="Calibri" w:eastAsia="Calibri" w:hAnsi="Calibri" w:cs="Calibri"/>
          <w:b/>
          <w:bCs/>
          <w:color w:val="1A1A1A"/>
        </w:rPr>
        <w:t>à titre exceptionnel</w:t>
      </w:r>
      <w:r>
        <w:rPr>
          <w:rFonts w:ascii="Calibri" w:eastAsia="Calibri" w:hAnsi="Calibri" w:cs="Calibri"/>
          <w:color w:val="1A1A1A"/>
        </w:rPr>
        <w:t xml:space="preserve"> et </w:t>
      </w:r>
      <w:r w:rsidRPr="00F42AF7">
        <w:rPr>
          <w:rFonts w:ascii="Calibri" w:eastAsia="Calibri" w:hAnsi="Calibri" w:cs="Calibri"/>
          <w:color w:val="1A1A1A"/>
          <w:highlight w:val="yellow"/>
        </w:rPr>
        <w:t>lorsqu’elle constitue l’</w:t>
      </w:r>
      <w:r w:rsidRPr="00F42AF7">
        <w:rPr>
          <w:rFonts w:ascii="Calibri" w:eastAsia="Calibri" w:hAnsi="Calibri" w:cs="Calibri"/>
          <w:b/>
          <w:bCs/>
          <w:color w:val="1A1A1A"/>
          <w:highlight w:val="yellow"/>
        </w:rPr>
        <w:t>unique moyen</w:t>
      </w:r>
      <w:r w:rsidRPr="00F42AF7">
        <w:rPr>
          <w:rFonts w:ascii="Calibri" w:eastAsia="Calibri" w:hAnsi="Calibri" w:cs="Calibri"/>
          <w:color w:val="1A1A1A"/>
          <w:highlight w:val="yellow"/>
        </w:rPr>
        <w:t xml:space="preserve"> de prévenir la commission d’un nouveau crime terroriste</w:t>
      </w:r>
      <w:r>
        <w:rPr>
          <w:rFonts w:ascii="Calibri" w:eastAsia="Calibri" w:hAnsi="Calibri" w:cs="Calibri"/>
          <w:color w:val="1A1A1A"/>
        </w:rPr>
        <w:t xml:space="preserve">. </w:t>
      </w:r>
    </w:p>
    <w:p w14:paraId="648330E6" w14:textId="0A45C626" w:rsidR="00520D98" w:rsidRDefault="00000000" w:rsidP="00F42AF7">
      <w:pPr>
        <w:pStyle w:val="Paragraphedeliste"/>
        <w:spacing w:after="70" w:line="264" w:lineRule="auto"/>
        <w:ind w:left="340"/>
        <w:jc w:val="both"/>
      </w:pPr>
      <w:r>
        <w:rPr>
          <w:rFonts w:ascii="Calibri" w:eastAsia="Calibri" w:hAnsi="Calibri" w:cs="Calibri"/>
          <w:color w:val="1A1A1A"/>
        </w:rPr>
        <w:t>Le Conseil constitutionnel a validé le dispositif au regard de l’</w:t>
      </w:r>
      <w:r>
        <w:rPr>
          <w:rFonts w:ascii="Calibri" w:eastAsia="Calibri" w:hAnsi="Calibri" w:cs="Calibri"/>
          <w:color w:val="1E88E5"/>
        </w:rPr>
        <w:t>art. 66 C.</w:t>
      </w:r>
      <w:r>
        <w:rPr>
          <w:rFonts w:ascii="Calibri" w:eastAsia="Calibri" w:hAnsi="Calibri" w:cs="Calibri"/>
          <w:color w:val="1A1A1A"/>
        </w:rPr>
        <w:t xml:space="preserve">, compte tenu du contrôle juridictionnel et de l’évaluation régulière de la dangerosité, en formulant une </w:t>
      </w:r>
      <w:r>
        <w:rPr>
          <w:rFonts w:ascii="Calibri" w:eastAsia="Calibri" w:hAnsi="Calibri" w:cs="Calibri"/>
          <w:b/>
          <w:bCs/>
          <w:color w:val="1A1A1A"/>
        </w:rPr>
        <w:t>réserve importante</w:t>
      </w:r>
      <w:r>
        <w:rPr>
          <w:rFonts w:ascii="Calibri" w:eastAsia="Calibri" w:hAnsi="Calibri" w:cs="Calibri"/>
          <w:color w:val="1A1A1A"/>
        </w:rPr>
        <w:t xml:space="preserve"> : eu égard au caractère privatif de liberté de la mesure et à son renouvellement possible sans limitation prédéterminée, celle-ci </w:t>
      </w:r>
      <w:r w:rsidRPr="00F42AF7">
        <w:rPr>
          <w:rFonts w:ascii="Calibri" w:eastAsia="Calibri" w:hAnsi="Calibri" w:cs="Calibri"/>
          <w:b/>
          <w:bCs/>
          <w:color w:val="EE0000"/>
        </w:rPr>
        <w:t>ne peut s’appliquer rétroactivement</w:t>
      </w:r>
      <w:r w:rsidRPr="00F42AF7">
        <w:rPr>
          <w:rFonts w:ascii="Calibri" w:eastAsia="Calibri" w:hAnsi="Calibri" w:cs="Calibri"/>
          <w:color w:val="EE0000"/>
        </w:rPr>
        <w:t xml:space="preserve"> </w:t>
      </w:r>
      <w:r>
        <w:rPr>
          <w:rFonts w:ascii="Calibri" w:eastAsia="Calibri" w:hAnsi="Calibri" w:cs="Calibri"/>
          <w:color w:val="1A1A1A"/>
        </w:rPr>
        <w:t>à des personnes condamnées pour des faits antérieurs à l’entrée en vigueur de la loi (</w:t>
      </w:r>
      <w:r>
        <w:rPr>
          <w:rFonts w:ascii="Calibri" w:eastAsia="Calibri" w:hAnsi="Calibri" w:cs="Calibri"/>
          <w:color w:val="E91E63"/>
        </w:rPr>
        <w:t>Cons. const., déc. n° 2026-906 DC, 23 juillet 2026</w:t>
      </w:r>
      <w:r>
        <w:rPr>
          <w:rFonts w:ascii="Calibri" w:eastAsia="Calibri" w:hAnsi="Calibri" w:cs="Calibri"/>
          <w:color w:val="1A1A1A"/>
        </w:rPr>
        <w:t>).</w:t>
      </w:r>
    </w:p>
    <w:p w14:paraId="17F7D1F5" w14:textId="77777777" w:rsidR="00520D98" w:rsidRDefault="00000000">
      <w:pPr>
        <w:pStyle w:val="Titre3"/>
        <w:spacing w:before="200" w:after="90"/>
      </w:pPr>
      <w:r>
        <w:rPr>
          <w:rFonts w:ascii="Calibri" w:eastAsia="Calibri" w:hAnsi="Calibri" w:cs="Calibri"/>
          <w:b/>
          <w:bCs/>
          <w:i/>
          <w:iCs/>
          <w:color w:val="5A5A5A"/>
          <w:sz w:val="21"/>
          <w:szCs w:val="21"/>
        </w:rPr>
        <w:t>2.4. La rétention douanière, la zone d’attente et la rétention administrative</w:t>
      </w:r>
    </w:p>
    <w:p w14:paraId="193E54C9"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Rétention douanière</w:t>
      </w:r>
      <w:r>
        <w:rPr>
          <w:rFonts w:ascii="Calibri" w:eastAsia="Calibri" w:hAnsi="Calibri" w:cs="Calibri"/>
          <w:color w:val="1A1A1A"/>
        </w:rPr>
        <w:t xml:space="preserve"> : </w:t>
      </w:r>
      <w:r>
        <w:rPr>
          <w:rFonts w:ascii="Calibri" w:eastAsia="Calibri" w:hAnsi="Calibri" w:cs="Calibri"/>
          <w:color w:val="1E88E5"/>
        </w:rPr>
        <w:t>art. 323-1 du Code des douanes</w:t>
      </w:r>
      <w:r>
        <w:rPr>
          <w:rFonts w:ascii="Calibri" w:eastAsia="Calibri" w:hAnsi="Calibri" w:cs="Calibri"/>
          <w:color w:val="1A1A1A"/>
        </w:rPr>
        <w:t xml:space="preserve"> — « </w:t>
      </w:r>
      <w:r>
        <w:rPr>
          <w:rFonts w:ascii="Calibri" w:eastAsia="Calibri" w:hAnsi="Calibri" w:cs="Calibri"/>
          <w:i/>
          <w:iCs/>
          <w:color w:val="1A1A1A"/>
        </w:rPr>
        <w:t>Qu’en cas de flagrant délit douanier puni d’une peine d’emprisonnement et lorsque cette mesure est justifiée par les nécessités de l’enquête douanière</w:t>
      </w:r>
      <w:r>
        <w:rPr>
          <w:rFonts w:ascii="Calibri" w:eastAsia="Calibri" w:hAnsi="Calibri" w:cs="Calibri"/>
          <w:color w:val="1A1A1A"/>
        </w:rPr>
        <w:t xml:space="preserve"> ». Durée maximale de </w:t>
      </w:r>
      <w:r>
        <w:rPr>
          <w:rFonts w:ascii="Calibri" w:eastAsia="Calibri" w:hAnsi="Calibri" w:cs="Calibri"/>
          <w:b/>
          <w:bCs/>
          <w:color w:val="1A1A1A"/>
        </w:rPr>
        <w:t>vingt-quatre heures</w:t>
      </w:r>
      <w:r>
        <w:rPr>
          <w:rFonts w:ascii="Calibri" w:eastAsia="Calibri" w:hAnsi="Calibri" w:cs="Calibri"/>
          <w:color w:val="1A1A1A"/>
        </w:rPr>
        <w:t>, prolongeable de vingt-quatre heures sur autorisation du procureur de la République, chargé de contrôler que les droits de la personne retenue sont assurés. Droits : examen par un médecin, assistance d’un avocat ; garanties de l’</w:t>
      </w:r>
      <w:r>
        <w:rPr>
          <w:rFonts w:ascii="Calibri" w:eastAsia="Calibri" w:hAnsi="Calibri" w:cs="Calibri"/>
          <w:color w:val="1E88E5"/>
        </w:rPr>
        <w:t>art. 323-6</w:t>
      </w:r>
      <w:r>
        <w:rPr>
          <w:rFonts w:ascii="Calibri" w:eastAsia="Calibri" w:hAnsi="Calibri" w:cs="Calibri"/>
          <w:color w:val="1A1A1A"/>
        </w:rPr>
        <w:t>.</w:t>
      </w:r>
    </w:p>
    <w:p w14:paraId="07476004"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Zone d’attente</w:t>
      </w:r>
      <w:r>
        <w:rPr>
          <w:rFonts w:ascii="Calibri" w:eastAsia="Calibri" w:hAnsi="Calibri" w:cs="Calibri"/>
          <w:color w:val="1A1A1A"/>
        </w:rPr>
        <w:t xml:space="preserve"> : instituées par la </w:t>
      </w:r>
      <w:r>
        <w:rPr>
          <w:rFonts w:ascii="Calibri" w:eastAsia="Calibri" w:hAnsi="Calibri" w:cs="Calibri"/>
          <w:color w:val="1E88E5"/>
        </w:rPr>
        <w:t>loi du 6 juillet 1992</w:t>
      </w:r>
      <w:r>
        <w:rPr>
          <w:rFonts w:ascii="Calibri" w:eastAsia="Calibri" w:hAnsi="Calibri" w:cs="Calibri"/>
          <w:color w:val="1A1A1A"/>
        </w:rPr>
        <w:t xml:space="preserve">, situées dans les aéroports, les ports et les gares ferroviaires ; </w:t>
      </w:r>
      <w:r>
        <w:rPr>
          <w:rFonts w:ascii="Calibri" w:eastAsia="Calibri" w:hAnsi="Calibri" w:cs="Calibri"/>
          <w:color w:val="1E88E5"/>
        </w:rPr>
        <w:t>art. L. 342-1 à L. 342-19 du CESEDA</w:t>
      </w:r>
      <w:r>
        <w:rPr>
          <w:rFonts w:ascii="Calibri" w:eastAsia="Calibri" w:hAnsi="Calibri" w:cs="Calibri"/>
          <w:color w:val="1A1A1A"/>
        </w:rPr>
        <w:t xml:space="preserve">. </w:t>
      </w:r>
      <w:r>
        <w:rPr>
          <w:rFonts w:ascii="Calibri" w:eastAsia="Calibri" w:hAnsi="Calibri" w:cs="Calibri"/>
          <w:color w:val="E91E63"/>
        </w:rPr>
        <w:t>Cons. const., déc. n° 92-307 DC, 25 février 1992</w:t>
      </w:r>
      <w:r>
        <w:rPr>
          <w:rFonts w:ascii="Calibri" w:eastAsia="Calibri" w:hAnsi="Calibri" w:cs="Calibri"/>
          <w:color w:val="1A1A1A"/>
        </w:rPr>
        <w:t xml:space="preserve"> : le maintien en zone d’attente affecte la liberté individuelle au sens de l’</w:t>
      </w:r>
      <w:r>
        <w:rPr>
          <w:rFonts w:ascii="Calibri" w:eastAsia="Calibri" w:hAnsi="Calibri" w:cs="Calibri"/>
          <w:color w:val="1E88E5"/>
        </w:rPr>
        <w:t>art. 66 C.</w:t>
      </w:r>
      <w:r>
        <w:rPr>
          <w:rFonts w:ascii="Calibri" w:eastAsia="Calibri" w:hAnsi="Calibri" w:cs="Calibri"/>
          <w:color w:val="1A1A1A"/>
        </w:rPr>
        <w:t xml:space="preserve"> et le législateur doit prévoir l’</w:t>
      </w:r>
      <w:r>
        <w:rPr>
          <w:rFonts w:ascii="Calibri" w:eastAsia="Calibri" w:hAnsi="Calibri" w:cs="Calibri"/>
          <w:b/>
          <w:bCs/>
          <w:color w:val="1A1A1A"/>
        </w:rPr>
        <w:t>intervention du juge judiciaire</w:t>
      </w:r>
      <w:r>
        <w:rPr>
          <w:rFonts w:ascii="Calibri" w:eastAsia="Calibri" w:hAnsi="Calibri" w:cs="Calibri"/>
          <w:color w:val="1A1A1A"/>
        </w:rPr>
        <w:t xml:space="preserve">. Au-delà de </w:t>
      </w:r>
      <w:r>
        <w:rPr>
          <w:rFonts w:ascii="Calibri" w:eastAsia="Calibri" w:hAnsi="Calibri" w:cs="Calibri"/>
          <w:b/>
          <w:bCs/>
          <w:color w:val="1A1A1A"/>
        </w:rPr>
        <w:t>quatre jours</w:t>
      </w:r>
      <w:r>
        <w:rPr>
          <w:rFonts w:ascii="Calibri" w:eastAsia="Calibri" w:hAnsi="Calibri" w:cs="Calibri"/>
          <w:color w:val="1A1A1A"/>
        </w:rPr>
        <w:t xml:space="preserve">, le maintien jusqu’à </w:t>
      </w:r>
      <w:r>
        <w:rPr>
          <w:rFonts w:ascii="Calibri" w:eastAsia="Calibri" w:hAnsi="Calibri" w:cs="Calibri"/>
          <w:b/>
          <w:bCs/>
          <w:color w:val="1A1A1A"/>
        </w:rPr>
        <w:t>huit jours</w:t>
      </w:r>
      <w:r>
        <w:rPr>
          <w:rFonts w:ascii="Calibri" w:eastAsia="Calibri" w:hAnsi="Calibri" w:cs="Calibri"/>
          <w:color w:val="1A1A1A"/>
        </w:rPr>
        <w:t xml:space="preserve"> doit être autorisé par un magistrat du siège, le juge des libertés et de la détention (</w:t>
      </w:r>
      <w:r>
        <w:rPr>
          <w:rFonts w:ascii="Calibri" w:eastAsia="Calibri" w:hAnsi="Calibri" w:cs="Calibri"/>
          <w:color w:val="1E88E5"/>
        </w:rPr>
        <w:t>art. L. 342-1</w:t>
      </w:r>
      <w:r>
        <w:rPr>
          <w:rFonts w:ascii="Calibri" w:eastAsia="Calibri" w:hAnsi="Calibri" w:cs="Calibri"/>
          <w:color w:val="1A1A1A"/>
        </w:rPr>
        <w:t>) ; prolongations exceptionnelles (</w:t>
      </w:r>
      <w:r>
        <w:rPr>
          <w:rFonts w:ascii="Calibri" w:eastAsia="Calibri" w:hAnsi="Calibri" w:cs="Calibri"/>
          <w:color w:val="1E88E5"/>
        </w:rPr>
        <w:t>art. L. 342-4</w:t>
      </w:r>
      <w:r>
        <w:rPr>
          <w:rFonts w:ascii="Calibri" w:eastAsia="Calibri" w:hAnsi="Calibri" w:cs="Calibri"/>
          <w:color w:val="1A1A1A"/>
        </w:rPr>
        <w:t xml:space="preserve">) ; le magistrat statue dans un délai de vingt-quatre heures, ou quarante-huit en cas de nécessités de l’instruction ou « </w:t>
      </w:r>
      <w:r>
        <w:rPr>
          <w:rFonts w:ascii="Calibri" w:eastAsia="Calibri" w:hAnsi="Calibri" w:cs="Calibri"/>
          <w:i/>
          <w:iCs/>
          <w:color w:val="1A1A1A"/>
        </w:rPr>
        <w:t>en cas de placement en zone d’attente simultané d’un nombre important d’étrangers au regard des contraintes du service juridictionnel</w:t>
      </w:r>
      <w:r>
        <w:rPr>
          <w:rFonts w:ascii="Calibri" w:eastAsia="Calibri" w:hAnsi="Calibri" w:cs="Calibri"/>
          <w:color w:val="1A1A1A"/>
        </w:rPr>
        <w:t xml:space="preserve"> » (</w:t>
      </w:r>
      <w:r>
        <w:rPr>
          <w:rFonts w:ascii="Calibri" w:eastAsia="Calibri" w:hAnsi="Calibri" w:cs="Calibri"/>
          <w:color w:val="1E88E5"/>
        </w:rPr>
        <w:t>art. L. 342-5</w:t>
      </w:r>
      <w:r>
        <w:rPr>
          <w:rFonts w:ascii="Calibri" w:eastAsia="Calibri" w:hAnsi="Calibri" w:cs="Calibri"/>
          <w:color w:val="1A1A1A"/>
        </w:rPr>
        <w:t>). Les ordonnances peuvent faire l’objet d’un recours devant la cour d’appel, l’appel n’étant en principe pas suspensif (</w:t>
      </w:r>
      <w:r>
        <w:rPr>
          <w:rFonts w:ascii="Calibri" w:eastAsia="Calibri" w:hAnsi="Calibri" w:cs="Calibri"/>
          <w:color w:val="1E88E5"/>
        </w:rPr>
        <w:t>art. L. 342-13</w:t>
      </w:r>
      <w:r>
        <w:rPr>
          <w:rFonts w:ascii="Calibri" w:eastAsia="Calibri" w:hAnsi="Calibri" w:cs="Calibri"/>
          <w:color w:val="1A1A1A"/>
        </w:rPr>
        <w:t xml:space="preserve">). </w:t>
      </w:r>
      <w:r>
        <w:rPr>
          <w:rFonts w:ascii="Calibri" w:eastAsia="Calibri" w:hAnsi="Calibri" w:cs="Calibri"/>
          <w:color w:val="E91E63"/>
        </w:rPr>
        <w:t>CEDH, 26 avril 2007, Gebremedhin c. France, n° 25389/05</w:t>
      </w:r>
      <w:r>
        <w:rPr>
          <w:rFonts w:ascii="Calibri" w:eastAsia="Calibri" w:hAnsi="Calibri" w:cs="Calibri"/>
          <w:color w:val="1A1A1A"/>
        </w:rPr>
        <w:t xml:space="preserve"> : condamnation de la France pour violation combinée des </w:t>
      </w:r>
      <w:r>
        <w:rPr>
          <w:rFonts w:ascii="Calibri" w:eastAsia="Calibri" w:hAnsi="Calibri" w:cs="Calibri"/>
          <w:color w:val="1E88E5"/>
        </w:rPr>
        <w:t>art. 13 et 3</w:t>
      </w:r>
      <w:r>
        <w:rPr>
          <w:rFonts w:ascii="Calibri" w:eastAsia="Calibri" w:hAnsi="Calibri" w:cs="Calibri"/>
          <w:color w:val="1A1A1A"/>
        </w:rPr>
        <w:t xml:space="preserve"> — l’absence d’effet suspensif de plein droit du recours contre une décision de refus d’accès au territoire faisait peser un risque de torture ou de mauvais traitement.</w:t>
      </w:r>
    </w:p>
    <w:p w14:paraId="583B2762"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Centre de rétention administrative</w:t>
      </w:r>
      <w:r>
        <w:rPr>
          <w:rFonts w:ascii="Calibri" w:eastAsia="Calibri" w:hAnsi="Calibri" w:cs="Calibri"/>
          <w:color w:val="1A1A1A"/>
        </w:rPr>
        <w:t xml:space="preserve"> : existence légale instituée par la </w:t>
      </w:r>
      <w:r>
        <w:rPr>
          <w:rFonts w:ascii="Calibri" w:eastAsia="Calibri" w:hAnsi="Calibri" w:cs="Calibri"/>
          <w:color w:val="1E88E5"/>
        </w:rPr>
        <w:t>loi du 29 octobre 1981</w:t>
      </w:r>
      <w:r>
        <w:rPr>
          <w:rFonts w:ascii="Calibri" w:eastAsia="Calibri" w:hAnsi="Calibri" w:cs="Calibri"/>
          <w:color w:val="1A1A1A"/>
        </w:rPr>
        <w:t xml:space="preserve">. </w:t>
      </w:r>
      <w:r>
        <w:rPr>
          <w:rFonts w:ascii="Calibri" w:eastAsia="Calibri" w:hAnsi="Calibri" w:cs="Calibri"/>
          <w:color w:val="1E88E5"/>
        </w:rPr>
        <w:t>Art. L. 700-1 du CESEDA</w:t>
      </w:r>
      <w:r>
        <w:rPr>
          <w:rFonts w:ascii="Calibri" w:eastAsia="Calibri" w:hAnsi="Calibri" w:cs="Calibri"/>
          <w:color w:val="1A1A1A"/>
        </w:rPr>
        <w:t xml:space="preserve"> : liste des actes que la rétention a vocation à mettre en œuvre (obligation de quitter le territoire français, interdiction de retour, remises aux autorités d’un autre État, décision d’expulsion, peine d’interdiction du territoire français). Le placement ne doit être prononcé que si l’assignation à résidence n’apparaît pas adaptée. </w:t>
      </w:r>
      <w:r>
        <w:rPr>
          <w:rFonts w:ascii="Calibri" w:eastAsia="Calibri" w:hAnsi="Calibri" w:cs="Calibri"/>
          <w:color w:val="1E88E5"/>
        </w:rPr>
        <w:t>Art. L. 741-4</w:t>
      </w:r>
      <w:r>
        <w:rPr>
          <w:rFonts w:ascii="Calibri" w:eastAsia="Calibri" w:hAnsi="Calibri" w:cs="Calibri"/>
          <w:color w:val="1A1A1A"/>
        </w:rPr>
        <w:t xml:space="preserve"> : le placement « </w:t>
      </w:r>
      <w:r>
        <w:rPr>
          <w:rFonts w:ascii="Calibri" w:eastAsia="Calibri" w:hAnsi="Calibri" w:cs="Calibri"/>
          <w:i/>
          <w:iCs/>
          <w:color w:val="1A1A1A"/>
        </w:rPr>
        <w:t>prend en compte l’état de vulnérabilité et tout handicap de l’étranger. Le handicap moteur, cognitif ou psychique et les besoins d’accompagnement de l’étranger sont pris en compte pour déterminer les conditions de son placement en rétention</w:t>
      </w:r>
      <w:r>
        <w:rPr>
          <w:rFonts w:ascii="Calibri" w:eastAsia="Calibri" w:hAnsi="Calibri" w:cs="Calibri"/>
          <w:color w:val="1A1A1A"/>
        </w:rPr>
        <w:t xml:space="preserve"> ». Durée de principe de </w:t>
      </w:r>
      <w:r>
        <w:rPr>
          <w:rFonts w:ascii="Calibri" w:eastAsia="Calibri" w:hAnsi="Calibri" w:cs="Calibri"/>
          <w:b/>
          <w:bCs/>
          <w:color w:val="1A1A1A"/>
        </w:rPr>
        <w:t>48 heures</w:t>
      </w:r>
      <w:r>
        <w:rPr>
          <w:rFonts w:ascii="Calibri" w:eastAsia="Calibri" w:hAnsi="Calibri" w:cs="Calibri"/>
          <w:color w:val="1A1A1A"/>
        </w:rPr>
        <w:t xml:space="preserve">, prolongation contrôlée par le juge des libertés et de la détention pour </w:t>
      </w:r>
      <w:r>
        <w:rPr>
          <w:rFonts w:ascii="Calibri" w:eastAsia="Calibri" w:hAnsi="Calibri" w:cs="Calibri"/>
          <w:b/>
          <w:bCs/>
          <w:color w:val="1A1A1A"/>
        </w:rPr>
        <w:t>28 jours</w:t>
      </w:r>
      <w:r>
        <w:rPr>
          <w:rFonts w:ascii="Calibri" w:eastAsia="Calibri" w:hAnsi="Calibri" w:cs="Calibri"/>
          <w:color w:val="1A1A1A"/>
        </w:rPr>
        <w:t xml:space="preserve">, puis maintiens successifs dans la limite totale de </w:t>
      </w:r>
      <w:r>
        <w:rPr>
          <w:rFonts w:ascii="Calibri" w:eastAsia="Calibri" w:hAnsi="Calibri" w:cs="Calibri"/>
          <w:b/>
          <w:bCs/>
          <w:color w:val="1A1A1A"/>
        </w:rPr>
        <w:t>90 jours</w:t>
      </w:r>
      <w:r>
        <w:rPr>
          <w:rFonts w:ascii="Calibri" w:eastAsia="Calibri" w:hAnsi="Calibri" w:cs="Calibri"/>
          <w:color w:val="1A1A1A"/>
        </w:rPr>
        <w:t>.</w:t>
      </w:r>
    </w:p>
    <w:p w14:paraId="7062C1B3"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lastRenderedPageBreak/>
        <w:t xml:space="preserve">★ </w:t>
      </w:r>
      <w:r w:rsidRPr="000302BD">
        <w:rPr>
          <w:rFonts w:ascii="Calibri" w:eastAsia="Calibri" w:hAnsi="Calibri" w:cs="Calibri"/>
          <w:b/>
          <w:bCs/>
          <w:color w:val="1A1A1A"/>
          <w:highlight w:val="yellow"/>
        </w:rPr>
        <w:t>Actualité</w:t>
      </w:r>
      <w:r>
        <w:rPr>
          <w:rFonts w:ascii="Calibri" w:eastAsia="Calibri" w:hAnsi="Calibri" w:cs="Calibri"/>
          <w:b/>
          <w:bCs/>
          <w:color w:val="1A1A1A"/>
        </w:rPr>
        <w:t xml:space="preserve"> — jusqu’où peut aller la rétention administrative ?</w:t>
      </w:r>
      <w:r>
        <w:rPr>
          <w:rFonts w:ascii="Calibri" w:eastAsia="Calibri" w:hAnsi="Calibri" w:cs="Calibri"/>
          <w:color w:val="1A1A1A"/>
        </w:rPr>
        <w:t xml:space="preserve"> La </w:t>
      </w:r>
      <w:r>
        <w:rPr>
          <w:rFonts w:ascii="Calibri" w:eastAsia="Calibri" w:hAnsi="Calibri" w:cs="Calibri"/>
          <w:color w:val="1E88E5"/>
        </w:rPr>
        <w:t>loi du 27 juillet 2026</w:t>
      </w:r>
      <w:r>
        <w:rPr>
          <w:rFonts w:ascii="Calibri" w:eastAsia="Calibri" w:hAnsi="Calibri" w:cs="Calibri"/>
          <w:color w:val="1A1A1A"/>
        </w:rPr>
        <w:t xml:space="preserve"> permet désormais, sous certaines conditions, de </w:t>
      </w:r>
      <w:r>
        <w:rPr>
          <w:rFonts w:ascii="Calibri" w:eastAsia="Calibri" w:hAnsi="Calibri" w:cs="Calibri"/>
          <w:b/>
          <w:bCs/>
          <w:color w:val="1A1A1A"/>
        </w:rPr>
        <w:t>réitérer plusieurs placements</w:t>
      </w:r>
      <w:r>
        <w:rPr>
          <w:rFonts w:ascii="Calibri" w:eastAsia="Calibri" w:hAnsi="Calibri" w:cs="Calibri"/>
          <w:color w:val="1A1A1A"/>
        </w:rPr>
        <w:t xml:space="preserve"> en rétention pour l’exécution d’une même mesure d’éloignement : un étranger peut faire l’objet de </w:t>
      </w:r>
      <w:r w:rsidRPr="006F59AA">
        <w:rPr>
          <w:rFonts w:ascii="Calibri" w:eastAsia="Calibri" w:hAnsi="Calibri" w:cs="Calibri"/>
          <w:b/>
          <w:bCs/>
          <w:color w:val="1A1A1A"/>
          <w:highlight w:val="yellow"/>
        </w:rPr>
        <w:t>cinq placements successifs</w:t>
      </w:r>
      <w:r w:rsidRPr="006F59AA">
        <w:rPr>
          <w:rFonts w:ascii="Calibri" w:eastAsia="Calibri" w:hAnsi="Calibri" w:cs="Calibri"/>
          <w:color w:val="1A1A1A"/>
          <w:highlight w:val="yellow"/>
        </w:rPr>
        <w:t xml:space="preserve"> au maximum</w:t>
      </w:r>
      <w:r>
        <w:rPr>
          <w:rFonts w:ascii="Calibri" w:eastAsia="Calibri" w:hAnsi="Calibri" w:cs="Calibri"/>
          <w:color w:val="1A1A1A"/>
        </w:rPr>
        <w:t xml:space="preserve">, pour une durée cumulée ne pouvant en principe excéder </w:t>
      </w:r>
      <w:r>
        <w:rPr>
          <w:rFonts w:ascii="Calibri" w:eastAsia="Calibri" w:hAnsi="Calibri" w:cs="Calibri"/>
          <w:b/>
          <w:bCs/>
          <w:color w:val="1A1A1A"/>
        </w:rPr>
        <w:t>360 jours</w:t>
      </w:r>
      <w:r>
        <w:rPr>
          <w:rFonts w:ascii="Calibri" w:eastAsia="Calibri" w:hAnsi="Calibri" w:cs="Calibri"/>
          <w:color w:val="1A1A1A"/>
        </w:rPr>
        <w:t xml:space="preserve">, portée exceptionnellement à </w:t>
      </w:r>
      <w:r>
        <w:rPr>
          <w:rFonts w:ascii="Calibri" w:eastAsia="Calibri" w:hAnsi="Calibri" w:cs="Calibri"/>
          <w:b/>
          <w:bCs/>
          <w:color w:val="1A1A1A"/>
        </w:rPr>
        <w:t>540 jours</w:t>
      </w:r>
      <w:r>
        <w:rPr>
          <w:rFonts w:ascii="Calibri" w:eastAsia="Calibri" w:hAnsi="Calibri" w:cs="Calibri"/>
          <w:color w:val="1A1A1A"/>
        </w:rPr>
        <w:t xml:space="preserve"> pour certaines personnes représentant les menaces les plus graves pour l’ordre public. Le Conseil constitutionnel a jugé la réforme conforme à l’</w:t>
      </w:r>
      <w:r>
        <w:rPr>
          <w:rFonts w:ascii="Calibri" w:eastAsia="Calibri" w:hAnsi="Calibri" w:cs="Calibri"/>
          <w:color w:val="1E88E5"/>
        </w:rPr>
        <w:t>art. 66 C.</w:t>
      </w:r>
      <w:r>
        <w:rPr>
          <w:rFonts w:ascii="Calibri" w:eastAsia="Calibri" w:hAnsi="Calibri" w:cs="Calibri"/>
          <w:color w:val="1A1A1A"/>
        </w:rPr>
        <w:t xml:space="preserve"> : chaque nouveau placement doit être spécialement motivé, supposer une menace persistante pour l’ordre public, une soustraction aux mesures de surveillance ou des circonstances nouvelles, et une </w:t>
      </w:r>
      <w:r>
        <w:rPr>
          <w:rFonts w:ascii="Calibri" w:eastAsia="Calibri" w:hAnsi="Calibri" w:cs="Calibri"/>
          <w:b/>
          <w:bCs/>
          <w:color w:val="1A1A1A"/>
        </w:rPr>
        <w:t>perspective raisonnable d’éloignement</w:t>
      </w:r>
      <w:r>
        <w:rPr>
          <w:rFonts w:ascii="Calibri" w:eastAsia="Calibri" w:hAnsi="Calibri" w:cs="Calibri"/>
          <w:color w:val="1A1A1A"/>
        </w:rPr>
        <w:t xml:space="preserve"> doit toujours subsister ; surtout, le magistrat du siège doit contrôler, en tenant compte des périodes de rétention antérieures, que la privation de liberté « </w:t>
      </w:r>
      <w:r>
        <w:rPr>
          <w:rFonts w:ascii="Calibri" w:eastAsia="Calibri" w:hAnsi="Calibri" w:cs="Calibri"/>
          <w:i/>
          <w:iCs/>
          <w:color w:val="1A1A1A"/>
        </w:rPr>
        <w:t>n’excède pas la rigueur nécessaire</w:t>
      </w:r>
      <w:r>
        <w:rPr>
          <w:rFonts w:ascii="Calibri" w:eastAsia="Calibri" w:hAnsi="Calibri" w:cs="Calibri"/>
          <w:color w:val="1A1A1A"/>
        </w:rPr>
        <w:t xml:space="preserve"> » (</w:t>
      </w:r>
      <w:r>
        <w:rPr>
          <w:rFonts w:ascii="Calibri" w:eastAsia="Calibri" w:hAnsi="Calibri" w:cs="Calibri"/>
          <w:color w:val="E91E63"/>
        </w:rPr>
        <w:t>Cons. const., déc. n° 2026-906 DC, 23 juillet 2026</w:t>
      </w:r>
      <w:r>
        <w:rPr>
          <w:rFonts w:ascii="Calibri" w:eastAsia="Calibri" w:hAnsi="Calibri" w:cs="Calibri"/>
          <w:color w:val="1A1A1A"/>
        </w:rPr>
        <w:t xml:space="preserve">). </w:t>
      </w:r>
      <w:r w:rsidRPr="006F59AA">
        <w:rPr>
          <w:rFonts w:ascii="Calibri" w:eastAsia="Calibri" w:hAnsi="Calibri" w:cs="Calibri"/>
          <w:b/>
          <w:bCs/>
          <w:color w:val="1A1A1A"/>
          <w:highlight w:val="yellow"/>
        </w:rPr>
        <w:t>À retenir</w:t>
      </w:r>
      <w:r>
        <w:rPr>
          <w:rFonts w:ascii="Calibri" w:eastAsia="Calibri" w:hAnsi="Calibri" w:cs="Calibri"/>
          <w:color w:val="1A1A1A"/>
        </w:rPr>
        <w:t xml:space="preserve"> : la décision illustre directement la fonction de l’</w:t>
      </w:r>
      <w:r>
        <w:rPr>
          <w:rFonts w:ascii="Calibri" w:eastAsia="Calibri" w:hAnsi="Calibri" w:cs="Calibri"/>
          <w:color w:val="1E88E5"/>
        </w:rPr>
        <w:t>art. 66 C.</w:t>
      </w:r>
      <w:r>
        <w:rPr>
          <w:rFonts w:ascii="Calibri" w:eastAsia="Calibri" w:hAnsi="Calibri" w:cs="Calibri"/>
          <w:color w:val="1A1A1A"/>
        </w:rPr>
        <w:t xml:space="preserve"> — même lorsqu’il admet un régime particulièrement restrictif, le Conseil exige que toute privation de liberté demeure nécessaire, proportionnée et placée sous le contrôle effectif du juge judiciaire.</w:t>
      </w:r>
    </w:p>
    <w:p w14:paraId="17ADEDD6" w14:textId="77777777" w:rsidR="00520D98" w:rsidRDefault="00000000">
      <w:pPr>
        <w:pStyle w:val="Titre3"/>
        <w:spacing w:before="200" w:after="90"/>
      </w:pPr>
      <w:r>
        <w:rPr>
          <w:rFonts w:ascii="Calibri" w:eastAsia="Calibri" w:hAnsi="Calibri" w:cs="Calibri"/>
          <w:b/>
          <w:bCs/>
          <w:i/>
          <w:iCs/>
          <w:color w:val="5A5A5A"/>
          <w:sz w:val="21"/>
          <w:szCs w:val="21"/>
        </w:rPr>
        <w:t>2.5. L’hospitalisation psychiatrique sans consentement et la cellule de dégrisement</w:t>
      </w:r>
    </w:p>
    <w:p w14:paraId="0689DD53"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Hospitalisation sans consentement</w:t>
      </w:r>
      <w:r>
        <w:rPr>
          <w:rFonts w:ascii="Calibri" w:eastAsia="Calibri" w:hAnsi="Calibri" w:cs="Calibri"/>
          <w:color w:val="1A1A1A"/>
        </w:rPr>
        <w:t xml:space="preserve"> : décidée d’office, à la demande d’un tiers, ou résultant d’un péril imminent pour la santé de la personne ; elle peut aussi avoir lieu à la suite d’une intervention judiciaire sur le fondement du Code de procédure pénale (déclaration d’irresponsabilité pénale, ou état de santé mentale d’une personne incarcérée ne permettant pas son maintien en détention). </w:t>
      </w:r>
      <w:r>
        <w:rPr>
          <w:rFonts w:ascii="Calibri" w:eastAsia="Calibri" w:hAnsi="Calibri" w:cs="Calibri"/>
          <w:color w:val="E91E63"/>
        </w:rPr>
        <w:t>CE, 16 juillet 2012, Centre hospitalier spécialisé Guillaume Régnier, n° 360793</w:t>
      </w:r>
      <w:r>
        <w:rPr>
          <w:rFonts w:ascii="Calibri" w:eastAsia="Calibri" w:hAnsi="Calibri" w:cs="Calibri"/>
          <w:color w:val="1A1A1A"/>
        </w:rPr>
        <w:t xml:space="preserve"> : les décisions prises par les médecins lors d’une telle hospitalisation relèvent de la compétence du </w:t>
      </w:r>
      <w:r>
        <w:rPr>
          <w:rFonts w:ascii="Calibri" w:eastAsia="Calibri" w:hAnsi="Calibri" w:cs="Calibri"/>
          <w:b/>
          <w:bCs/>
          <w:color w:val="1A1A1A"/>
        </w:rPr>
        <w:t>juge judiciaire</w:t>
      </w:r>
      <w:r>
        <w:rPr>
          <w:rFonts w:ascii="Calibri" w:eastAsia="Calibri" w:hAnsi="Calibri" w:cs="Calibri"/>
          <w:color w:val="1A1A1A"/>
        </w:rPr>
        <w:t xml:space="preserve">, puisqu’elles « </w:t>
      </w:r>
      <w:r>
        <w:rPr>
          <w:rFonts w:ascii="Calibri" w:eastAsia="Calibri" w:hAnsi="Calibri" w:cs="Calibri"/>
          <w:i/>
          <w:iCs/>
          <w:color w:val="1A1A1A"/>
        </w:rPr>
        <w:t>participent à la prise en charge de patients faisant l’objet d’une mesure d’admission en soins psychiatriques sans leur consentement</w:t>
      </w:r>
      <w:r>
        <w:rPr>
          <w:rFonts w:ascii="Calibri" w:eastAsia="Calibri" w:hAnsi="Calibri" w:cs="Calibri"/>
          <w:color w:val="1A1A1A"/>
        </w:rPr>
        <w:t xml:space="preserve"> ». Contrôle du juge judiciaire sur les demandes de sortie ; la prolongation au-delà de </w:t>
      </w:r>
      <w:r>
        <w:rPr>
          <w:rFonts w:ascii="Calibri" w:eastAsia="Calibri" w:hAnsi="Calibri" w:cs="Calibri"/>
          <w:b/>
          <w:bCs/>
          <w:color w:val="1A1A1A"/>
        </w:rPr>
        <w:t>douze jours</w:t>
      </w:r>
      <w:r>
        <w:rPr>
          <w:rFonts w:ascii="Calibri" w:eastAsia="Calibri" w:hAnsi="Calibri" w:cs="Calibri"/>
          <w:color w:val="1A1A1A"/>
        </w:rPr>
        <w:t xml:space="preserve"> nécessite l’intervention du juge des libertés et de la détention. Isolement et contention : </w:t>
      </w:r>
      <w:r>
        <w:rPr>
          <w:rFonts w:ascii="Calibri" w:eastAsia="Calibri" w:hAnsi="Calibri" w:cs="Calibri"/>
          <w:color w:val="1E88E5"/>
        </w:rPr>
        <w:t>art. L. 3222-5-1 CSP</w:t>
      </w:r>
      <w:r>
        <w:rPr>
          <w:rFonts w:ascii="Calibri" w:eastAsia="Calibri" w:hAnsi="Calibri" w:cs="Calibri"/>
          <w:color w:val="1A1A1A"/>
        </w:rPr>
        <w:t xml:space="preserve"> ; droits reconnus au patient : </w:t>
      </w:r>
      <w:r>
        <w:rPr>
          <w:rFonts w:ascii="Calibri" w:eastAsia="Calibri" w:hAnsi="Calibri" w:cs="Calibri"/>
          <w:color w:val="1E88E5"/>
        </w:rPr>
        <w:t>art. L. 3211-3 CSP</w:t>
      </w:r>
      <w:r>
        <w:rPr>
          <w:rFonts w:ascii="Calibri" w:eastAsia="Calibri" w:hAnsi="Calibri" w:cs="Calibri"/>
          <w:color w:val="1A1A1A"/>
        </w:rPr>
        <w:t xml:space="preserve"> (conseil d’un médecin ou d’un avocat de son choix, émettre et recevoir des courriers, exercice du droit de vote, pratique d’activités religieuses ou philosophiques).</w:t>
      </w:r>
    </w:p>
    <w:p w14:paraId="71FC5D91"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744885">
        <w:rPr>
          <w:rFonts w:ascii="Calibri" w:eastAsia="Calibri" w:hAnsi="Calibri" w:cs="Calibri"/>
          <w:b/>
          <w:bCs/>
          <w:color w:val="1A1A1A"/>
          <w:highlight w:val="yellow"/>
        </w:rPr>
        <w:t>Actualité</w:t>
      </w:r>
      <w:r>
        <w:rPr>
          <w:rFonts w:ascii="Calibri" w:eastAsia="Calibri" w:hAnsi="Calibri" w:cs="Calibri"/>
          <w:b/>
          <w:bCs/>
          <w:color w:val="1A1A1A"/>
        </w:rPr>
        <w:t xml:space="preserve"> — l’injonction d’examen psychiatrique à finalité antiterroriste</w:t>
      </w:r>
      <w:r>
        <w:rPr>
          <w:rFonts w:ascii="Calibri" w:eastAsia="Calibri" w:hAnsi="Calibri" w:cs="Calibri"/>
          <w:color w:val="1A1A1A"/>
        </w:rPr>
        <w:t xml:space="preserve"> : la </w:t>
      </w:r>
      <w:r>
        <w:rPr>
          <w:rFonts w:ascii="Calibri" w:eastAsia="Calibri" w:hAnsi="Calibri" w:cs="Calibri"/>
          <w:color w:val="1E88E5"/>
        </w:rPr>
        <w:t>loi du 27 juillet 2026</w:t>
      </w:r>
      <w:r>
        <w:rPr>
          <w:rFonts w:ascii="Calibri" w:eastAsia="Calibri" w:hAnsi="Calibri" w:cs="Calibri"/>
          <w:color w:val="1A1A1A"/>
        </w:rPr>
        <w:t xml:space="preserve"> institue une procédure permettant au préfet d’ordonner, sous certaines conditions, à une personne de se soumettre à un examen psychiatrique lorsqu’il existe des raisons sérieuses de penser que son comportement constitue une </w:t>
      </w:r>
      <w:r>
        <w:rPr>
          <w:rFonts w:ascii="Calibri" w:eastAsia="Calibri" w:hAnsi="Calibri" w:cs="Calibri"/>
          <w:b/>
          <w:bCs/>
          <w:color w:val="1A1A1A"/>
        </w:rPr>
        <w:t>menace grave pour l’ordre et la sécurité publics</w:t>
      </w:r>
      <w:r>
        <w:rPr>
          <w:rFonts w:ascii="Calibri" w:eastAsia="Calibri" w:hAnsi="Calibri" w:cs="Calibri"/>
          <w:color w:val="1A1A1A"/>
        </w:rPr>
        <w:t xml:space="preserve"> en lien avec une adhésion à des théories incitant au terrorisme, et que ses agissements sont susceptibles d’être liés à des troubles mentaux (</w:t>
      </w:r>
      <w:r>
        <w:rPr>
          <w:rFonts w:ascii="Calibri" w:eastAsia="Calibri" w:hAnsi="Calibri" w:cs="Calibri"/>
          <w:color w:val="1E88E5"/>
        </w:rPr>
        <w:t>art. 1er de la loi, codifié à l’art. L. 229-7 du Code de la sécurité intérieure</w:t>
      </w:r>
      <w:r>
        <w:rPr>
          <w:rFonts w:ascii="Calibri" w:eastAsia="Calibri" w:hAnsi="Calibri" w:cs="Calibri"/>
          <w:color w:val="1A1A1A"/>
        </w:rPr>
        <w:t xml:space="preserve">). Le Conseil constitutionnel considère que cette injonction porte atteinte à la </w:t>
      </w:r>
      <w:r>
        <w:rPr>
          <w:rFonts w:ascii="Calibri" w:eastAsia="Calibri" w:hAnsi="Calibri" w:cs="Calibri"/>
          <w:b/>
          <w:bCs/>
          <w:color w:val="1A1A1A"/>
        </w:rPr>
        <w:t>liberté personnelle</w:t>
      </w:r>
      <w:r>
        <w:rPr>
          <w:rFonts w:ascii="Calibri" w:eastAsia="Calibri" w:hAnsi="Calibri" w:cs="Calibri"/>
          <w:color w:val="1A1A1A"/>
        </w:rPr>
        <w:t xml:space="preserve">, notamment parce qu’elle déroge au principe de libre consentement aux soins, mais la valide au regard des garanties instituées et des objectifs de prévention des atteintes à l’ordre public et de protection de la santé. Si la personne refuse de se soumettre à l’examen, le recours à la force publique et la visite de son domicile sont soumis à l’autorisation d’un magistrat du siège ; surtout, </w:t>
      </w:r>
      <w:r w:rsidRPr="00744885">
        <w:rPr>
          <w:rFonts w:ascii="Calibri" w:eastAsia="Calibri" w:hAnsi="Calibri" w:cs="Calibri"/>
          <w:color w:val="1A1A1A"/>
          <w:highlight w:val="yellow"/>
        </w:rPr>
        <w:t xml:space="preserve">la contrainte </w:t>
      </w:r>
      <w:r w:rsidRPr="00744885">
        <w:rPr>
          <w:rFonts w:ascii="Calibri" w:eastAsia="Calibri" w:hAnsi="Calibri" w:cs="Calibri"/>
          <w:b/>
          <w:bCs/>
          <w:color w:val="1A1A1A"/>
          <w:highlight w:val="yellow"/>
        </w:rPr>
        <w:t>ne saurait excéder douze heures</w:t>
      </w:r>
      <w:r>
        <w:rPr>
          <w:rFonts w:ascii="Calibri" w:eastAsia="Calibri" w:hAnsi="Calibri" w:cs="Calibri"/>
          <w:color w:val="1A1A1A"/>
        </w:rPr>
        <w:t>, sous peine de devenir une véritable privation de liberté relevant de l’</w:t>
      </w:r>
      <w:r>
        <w:rPr>
          <w:rFonts w:ascii="Calibri" w:eastAsia="Calibri" w:hAnsi="Calibri" w:cs="Calibri"/>
          <w:color w:val="1E88E5"/>
        </w:rPr>
        <w:t>art. 66 C.</w:t>
      </w:r>
      <w:r>
        <w:rPr>
          <w:rFonts w:ascii="Calibri" w:eastAsia="Calibri" w:hAnsi="Calibri" w:cs="Calibri"/>
          <w:color w:val="1A1A1A"/>
        </w:rPr>
        <w:t xml:space="preserve"> (</w:t>
      </w:r>
      <w:r>
        <w:rPr>
          <w:rFonts w:ascii="Calibri" w:eastAsia="Calibri" w:hAnsi="Calibri" w:cs="Calibri"/>
          <w:color w:val="E91E63"/>
        </w:rPr>
        <w:t>Cons. const., 2026-906 DC</w:t>
      </w:r>
      <w:r>
        <w:rPr>
          <w:rFonts w:ascii="Calibri" w:eastAsia="Calibri" w:hAnsi="Calibri" w:cs="Calibri"/>
          <w:color w:val="1A1A1A"/>
        </w:rPr>
        <w:t>).</w:t>
      </w:r>
    </w:p>
    <w:p w14:paraId="799E682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Cellule de dégrisement</w:t>
      </w:r>
      <w:r>
        <w:rPr>
          <w:rFonts w:ascii="Calibri" w:eastAsia="Calibri" w:hAnsi="Calibri" w:cs="Calibri"/>
          <w:color w:val="1A1A1A"/>
        </w:rPr>
        <w:t xml:space="preserve"> : </w:t>
      </w:r>
      <w:r>
        <w:rPr>
          <w:rFonts w:ascii="Calibri" w:eastAsia="Calibri" w:hAnsi="Calibri" w:cs="Calibri"/>
          <w:color w:val="1E88E5"/>
        </w:rPr>
        <w:t>art. L. 3341-1 CSP</w:t>
      </w:r>
      <w:r>
        <w:rPr>
          <w:rFonts w:ascii="Calibri" w:eastAsia="Calibri" w:hAnsi="Calibri" w:cs="Calibri"/>
          <w:color w:val="1A1A1A"/>
        </w:rPr>
        <w:t xml:space="preserve"> — placement d’une personne en état d’ivresse dans les lieux publics dans un local de la police nationale ou de la gendarmerie jusqu’à ce qu’elle « </w:t>
      </w:r>
      <w:r>
        <w:rPr>
          <w:rFonts w:ascii="Calibri" w:eastAsia="Calibri" w:hAnsi="Calibri" w:cs="Calibri"/>
          <w:i/>
          <w:iCs/>
          <w:color w:val="1A1A1A"/>
        </w:rPr>
        <w:t>ait retrouvé la raison</w:t>
      </w:r>
      <w:r>
        <w:rPr>
          <w:rFonts w:ascii="Calibri" w:eastAsia="Calibri" w:hAnsi="Calibri" w:cs="Calibri"/>
          <w:color w:val="1A1A1A"/>
        </w:rPr>
        <w:t xml:space="preserve"> » ; l’état d’ivresse manifeste dans les lieux publics est sanctionné d’une amende de contravention de 2e classe (</w:t>
      </w:r>
      <w:r>
        <w:rPr>
          <w:rFonts w:ascii="Calibri" w:eastAsia="Calibri" w:hAnsi="Calibri" w:cs="Calibri"/>
          <w:color w:val="1E88E5"/>
        </w:rPr>
        <w:t>art. R. 3353-1 CSP</w:t>
      </w:r>
      <w:r>
        <w:rPr>
          <w:rFonts w:ascii="Calibri" w:eastAsia="Calibri" w:hAnsi="Calibri" w:cs="Calibri"/>
          <w:color w:val="1A1A1A"/>
        </w:rPr>
        <w:t xml:space="preserve">). </w:t>
      </w:r>
      <w:r>
        <w:rPr>
          <w:rFonts w:ascii="Calibri" w:eastAsia="Calibri" w:hAnsi="Calibri" w:cs="Calibri"/>
          <w:color w:val="E91E63"/>
        </w:rPr>
        <w:t>CEDH, 4 avril 2000, Witold Litwa c. Pologne, n° 26629/95</w:t>
      </w:r>
      <w:r>
        <w:rPr>
          <w:rFonts w:ascii="Calibri" w:eastAsia="Calibri" w:hAnsi="Calibri" w:cs="Calibri"/>
          <w:color w:val="1A1A1A"/>
        </w:rPr>
        <w:t xml:space="preserve"> : le placement en dégrisement constitue une </w:t>
      </w:r>
      <w:r>
        <w:rPr>
          <w:rFonts w:ascii="Calibri" w:eastAsia="Calibri" w:hAnsi="Calibri" w:cs="Calibri"/>
          <w:b/>
          <w:bCs/>
          <w:color w:val="1A1A1A"/>
        </w:rPr>
        <w:t>privation de liberté</w:t>
      </w:r>
      <w:r>
        <w:rPr>
          <w:rFonts w:ascii="Calibri" w:eastAsia="Calibri" w:hAnsi="Calibri" w:cs="Calibri"/>
          <w:color w:val="1A1A1A"/>
        </w:rPr>
        <w:t xml:space="preserve"> au sens de l’</w:t>
      </w:r>
      <w:r>
        <w:rPr>
          <w:rFonts w:ascii="Calibri" w:eastAsia="Calibri" w:hAnsi="Calibri" w:cs="Calibri"/>
          <w:color w:val="1E88E5"/>
        </w:rPr>
        <w:t>art. 5 § 1</w:t>
      </w:r>
      <w:r>
        <w:rPr>
          <w:rFonts w:ascii="Calibri" w:eastAsia="Calibri" w:hAnsi="Calibri" w:cs="Calibri"/>
          <w:color w:val="1A1A1A"/>
        </w:rPr>
        <w:t xml:space="preserve">. Une faute commise par un agent dans le placement engage la responsabilité de la puissance publique devant le </w:t>
      </w:r>
      <w:r>
        <w:rPr>
          <w:rFonts w:ascii="Calibri" w:eastAsia="Calibri" w:hAnsi="Calibri" w:cs="Calibri"/>
          <w:b/>
          <w:bCs/>
          <w:color w:val="1A1A1A"/>
        </w:rPr>
        <w:t>tribunal administratif</w:t>
      </w:r>
      <w:r>
        <w:rPr>
          <w:rFonts w:ascii="Calibri" w:eastAsia="Calibri" w:hAnsi="Calibri" w:cs="Calibri"/>
          <w:color w:val="1A1A1A"/>
        </w:rPr>
        <w:t>, s’agissant d’une opération de police administrative (</w:t>
      </w:r>
      <w:r>
        <w:rPr>
          <w:rFonts w:ascii="Calibri" w:eastAsia="Calibri" w:hAnsi="Calibri" w:cs="Calibri"/>
          <w:color w:val="E91E63"/>
        </w:rPr>
        <w:t>T. confl., 18 juin 2007, n° C3620</w:t>
      </w:r>
      <w:r>
        <w:rPr>
          <w:rFonts w:ascii="Calibri" w:eastAsia="Calibri" w:hAnsi="Calibri" w:cs="Calibri"/>
          <w:color w:val="1A1A1A"/>
        </w:rPr>
        <w:t xml:space="preserve">) ; le Conseil d’État a d’ailleurs reconnu, par un </w:t>
      </w:r>
      <w:r w:rsidRPr="00744885">
        <w:rPr>
          <w:rFonts w:ascii="Calibri" w:eastAsia="Calibri" w:hAnsi="Calibri" w:cs="Calibri"/>
          <w:color w:val="E91D62"/>
        </w:rPr>
        <w:t>arrêt du 31 décembre 2024</w:t>
      </w:r>
      <w:r>
        <w:rPr>
          <w:rFonts w:ascii="Calibri" w:eastAsia="Calibri" w:hAnsi="Calibri" w:cs="Calibri"/>
          <w:color w:val="1A1A1A"/>
        </w:rPr>
        <w:t xml:space="preserve">, la </w:t>
      </w:r>
      <w:r w:rsidRPr="00744885">
        <w:rPr>
          <w:rFonts w:ascii="Calibri" w:eastAsia="Calibri" w:hAnsi="Calibri" w:cs="Calibri"/>
          <w:color w:val="1A1A1A"/>
          <w:highlight w:val="yellow"/>
        </w:rPr>
        <w:t>responsabilité de l’État pour faute de service des services de la gendarmerie du fait de l’</w:t>
      </w:r>
      <w:r w:rsidRPr="00744885">
        <w:rPr>
          <w:rFonts w:ascii="Calibri" w:eastAsia="Calibri" w:hAnsi="Calibri" w:cs="Calibri"/>
          <w:b/>
          <w:bCs/>
          <w:color w:val="1A1A1A"/>
          <w:highlight w:val="yellow"/>
        </w:rPr>
        <w:t>abstention</w:t>
      </w:r>
      <w:r w:rsidRPr="00744885">
        <w:rPr>
          <w:rFonts w:ascii="Calibri" w:eastAsia="Calibri" w:hAnsi="Calibri" w:cs="Calibri"/>
          <w:color w:val="1A1A1A"/>
          <w:highlight w:val="yellow"/>
        </w:rPr>
        <w:t xml:space="preserve"> d’un placement en cellule de dégrisement d’une personne décédée après avoir circulé à contresens en état d’ivresse</w:t>
      </w:r>
      <w:r>
        <w:rPr>
          <w:rFonts w:ascii="Calibri" w:eastAsia="Calibri" w:hAnsi="Calibri" w:cs="Calibri"/>
          <w:color w:val="1A1A1A"/>
        </w:rPr>
        <w:t xml:space="preserve">. </w:t>
      </w:r>
      <w:r>
        <w:rPr>
          <w:rFonts w:ascii="Calibri" w:eastAsia="Calibri" w:hAnsi="Calibri" w:cs="Calibri"/>
          <w:color w:val="E91E63"/>
        </w:rPr>
        <w:t>Cons. const., déc. n° 2012-253 QPC, 8 juin 2012, Mickaël D. [Ivresse publique]</w:t>
      </w:r>
      <w:r>
        <w:rPr>
          <w:rFonts w:ascii="Calibri" w:eastAsia="Calibri" w:hAnsi="Calibri" w:cs="Calibri"/>
          <w:color w:val="1A1A1A"/>
        </w:rPr>
        <w:t xml:space="preserve"> : conformité à l’</w:t>
      </w:r>
      <w:r>
        <w:rPr>
          <w:rFonts w:ascii="Calibri" w:eastAsia="Calibri" w:hAnsi="Calibri" w:cs="Calibri"/>
          <w:color w:val="1E88E5"/>
        </w:rPr>
        <w:t>art. 66 C.</w:t>
      </w:r>
      <w:r>
        <w:rPr>
          <w:rFonts w:ascii="Calibri" w:eastAsia="Calibri" w:hAnsi="Calibri" w:cs="Calibri"/>
          <w:color w:val="1A1A1A"/>
        </w:rPr>
        <w:t xml:space="preserve"> Le Conseil d’État relève toutefois qu’« </w:t>
      </w:r>
      <w:r>
        <w:rPr>
          <w:rFonts w:ascii="Calibri" w:eastAsia="Calibri" w:hAnsi="Calibri" w:cs="Calibri"/>
          <w:i/>
          <w:iCs/>
          <w:color w:val="1A1A1A"/>
        </w:rPr>
        <w:t>eu égard à la situation particulière des personnes gardées à vue ou retenues dans un local de dégrisement et notamment à leur situation d’entière dépendance, il appartient à l’administration de prendre les mesures propres à assurer le respect de leur dignité</w:t>
      </w:r>
      <w:r>
        <w:rPr>
          <w:rFonts w:ascii="Calibri" w:eastAsia="Calibri" w:hAnsi="Calibri" w:cs="Calibri"/>
          <w:color w:val="1A1A1A"/>
        </w:rPr>
        <w:t xml:space="preserve"> » (</w:t>
      </w:r>
      <w:r>
        <w:rPr>
          <w:rFonts w:ascii="Calibri" w:eastAsia="Calibri" w:hAnsi="Calibri" w:cs="Calibri"/>
          <w:color w:val="E91E63"/>
        </w:rPr>
        <w:t>CE, 10e et 9e ch., 29 décembre 2023, n° 461605</w:t>
      </w:r>
      <w:r>
        <w:rPr>
          <w:rFonts w:ascii="Calibri" w:eastAsia="Calibri" w:hAnsi="Calibri" w:cs="Calibri"/>
          <w:color w:val="1A1A1A"/>
        </w:rPr>
        <w:t>).</w:t>
      </w:r>
    </w:p>
    <w:p w14:paraId="305D66E7" w14:textId="77777777" w:rsidR="00744885" w:rsidRDefault="00744885">
      <w:pPr>
        <w:pStyle w:val="Titre2"/>
        <w:spacing w:before="280" w:after="120"/>
        <w:rPr>
          <w:rFonts w:ascii="Calibri" w:eastAsia="Calibri" w:hAnsi="Calibri" w:cs="Calibri"/>
          <w:b/>
          <w:bCs/>
          <w:color w:val="1A1A1A"/>
          <w:sz w:val="24"/>
          <w:szCs w:val="24"/>
        </w:rPr>
      </w:pPr>
    </w:p>
    <w:p w14:paraId="0CD52AC0" w14:textId="77777777" w:rsidR="00744885" w:rsidRDefault="00744885">
      <w:pPr>
        <w:pStyle w:val="Titre2"/>
        <w:spacing w:before="280" w:after="120"/>
        <w:rPr>
          <w:rFonts w:ascii="Calibri" w:eastAsia="Calibri" w:hAnsi="Calibri" w:cs="Calibri"/>
          <w:b/>
          <w:bCs/>
          <w:color w:val="1A1A1A"/>
          <w:sz w:val="24"/>
          <w:szCs w:val="24"/>
        </w:rPr>
      </w:pPr>
    </w:p>
    <w:p w14:paraId="4D0E9056" w14:textId="0A41793F" w:rsidR="00520D98" w:rsidRDefault="00000000">
      <w:pPr>
        <w:pStyle w:val="Titre2"/>
        <w:spacing w:before="280" w:after="120"/>
      </w:pPr>
      <w:r>
        <w:rPr>
          <w:rFonts w:ascii="Calibri" w:eastAsia="Calibri" w:hAnsi="Calibri" w:cs="Calibri"/>
          <w:b/>
          <w:bCs/>
          <w:color w:val="1A1A1A"/>
          <w:sz w:val="24"/>
          <w:szCs w:val="24"/>
        </w:rPr>
        <w:lastRenderedPageBreak/>
        <w:t>3. Dispositif « Grand Oral »</w:t>
      </w:r>
    </w:p>
    <w:p w14:paraId="42C409EF" w14:textId="77777777" w:rsidR="00520D98" w:rsidRDefault="00000000">
      <w:pPr>
        <w:pStyle w:val="Titre3"/>
        <w:spacing w:before="200" w:after="90"/>
      </w:pPr>
      <w:r>
        <w:rPr>
          <w:rFonts w:ascii="Calibri" w:eastAsia="Calibri" w:hAnsi="Calibri" w:cs="Calibri"/>
          <w:b/>
          <w:bCs/>
          <w:i/>
          <w:iCs/>
          <w:color w:val="5A5A5A"/>
          <w:sz w:val="21"/>
          <w:szCs w:val="21"/>
        </w:rPr>
        <w:t>3.1. Trois relances / questions pièges</w:t>
      </w:r>
    </w:p>
    <w:p w14:paraId="75BDF5BB"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Le parquet est-il une autorité judiciaire ? »</w:t>
      </w:r>
      <w:r>
        <w:rPr>
          <w:rFonts w:ascii="Calibri" w:eastAsia="Calibri" w:hAnsi="Calibri" w:cs="Calibri"/>
          <w:color w:val="1A1A1A"/>
        </w:rPr>
        <w:t xml:space="preserve"> — Divergence à exposer comme telle : oui pour le Conseil constitutionnel (</w:t>
      </w:r>
      <w:r>
        <w:rPr>
          <w:rFonts w:ascii="Calibri" w:eastAsia="Calibri" w:hAnsi="Calibri" w:cs="Calibri"/>
          <w:color w:val="E91E63"/>
        </w:rPr>
        <w:t>2019-778 DC</w:t>
      </w:r>
      <w:r>
        <w:rPr>
          <w:rFonts w:ascii="Calibri" w:eastAsia="Calibri" w:hAnsi="Calibri" w:cs="Calibri"/>
          <w:color w:val="1A1A1A"/>
        </w:rPr>
        <w:t>), non pour la Cour européenne au sens de l’</w:t>
      </w:r>
      <w:r>
        <w:rPr>
          <w:rFonts w:ascii="Calibri" w:eastAsia="Calibri" w:hAnsi="Calibri" w:cs="Calibri"/>
          <w:color w:val="1E88E5"/>
        </w:rPr>
        <w:t>art. 5 § 3</w:t>
      </w:r>
      <w:r>
        <w:rPr>
          <w:rFonts w:ascii="Calibri" w:eastAsia="Calibri" w:hAnsi="Calibri" w:cs="Calibri"/>
          <w:color w:val="1A1A1A"/>
        </w:rPr>
        <w:t xml:space="preserve"> (</w:t>
      </w:r>
      <w:r>
        <w:rPr>
          <w:rFonts w:ascii="Calibri" w:eastAsia="Calibri" w:hAnsi="Calibri" w:cs="Calibri"/>
          <w:color w:val="E91E63"/>
        </w:rPr>
        <w:t>Moulin c. France</w:t>
      </w:r>
      <w:r>
        <w:rPr>
          <w:rFonts w:ascii="Calibri" w:eastAsia="Calibri" w:hAnsi="Calibri" w:cs="Calibri"/>
          <w:color w:val="1A1A1A"/>
        </w:rPr>
        <w:t xml:space="preserve"> ; </w:t>
      </w:r>
      <w:r>
        <w:rPr>
          <w:rFonts w:ascii="Calibri" w:eastAsia="Calibri" w:hAnsi="Calibri" w:cs="Calibri"/>
          <w:color w:val="E91E63"/>
        </w:rPr>
        <w:t>Cass. crim., 15 décembre 2010</w:t>
      </w:r>
      <w:r>
        <w:rPr>
          <w:rFonts w:ascii="Calibri" w:eastAsia="Calibri" w:hAnsi="Calibri" w:cs="Calibri"/>
          <w:color w:val="1A1A1A"/>
        </w:rPr>
        <w:t>), faute d’indépendance et d’impartialité et en raison de sa qualité de partie poursuivante.</w:t>
      </w:r>
    </w:p>
    <w:p w14:paraId="1388F3F5"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Quelle différence entre la rétention de sûreté et une peine ? »</w:t>
      </w:r>
      <w:r>
        <w:rPr>
          <w:rFonts w:ascii="Calibri" w:eastAsia="Calibri" w:hAnsi="Calibri" w:cs="Calibri"/>
          <w:color w:val="1A1A1A"/>
        </w:rPr>
        <w:t xml:space="preserve"> — La rétention de sûreté n’est ni une peine ni une sanction ayant le caractère d’une punition (</w:t>
      </w:r>
      <w:r>
        <w:rPr>
          <w:rFonts w:ascii="Calibri" w:eastAsia="Calibri" w:hAnsi="Calibri" w:cs="Calibri"/>
          <w:color w:val="E91E63"/>
        </w:rPr>
        <w:t>2008-562 DC</w:t>
      </w:r>
      <w:r>
        <w:rPr>
          <w:rFonts w:ascii="Calibri" w:eastAsia="Calibri" w:hAnsi="Calibri" w:cs="Calibri"/>
          <w:color w:val="1A1A1A"/>
        </w:rPr>
        <w:t xml:space="preserve">) : c’est une mesure administrative fondée sur la </w:t>
      </w:r>
      <w:r>
        <w:rPr>
          <w:rFonts w:ascii="Calibri" w:eastAsia="Calibri" w:hAnsi="Calibri" w:cs="Calibri"/>
          <w:b/>
          <w:bCs/>
          <w:color w:val="1A1A1A"/>
        </w:rPr>
        <w:t>dangerosité</w:t>
      </w:r>
      <w:r>
        <w:rPr>
          <w:rFonts w:ascii="Calibri" w:eastAsia="Calibri" w:hAnsi="Calibri" w:cs="Calibri"/>
          <w:color w:val="1A1A1A"/>
        </w:rPr>
        <w:t>, non sur la culpabilité. Conséquence pratique : la non-rétroactivité ne s’y applique pas automatiquement, d’où la réserve expresse de la décision de 2026.</w:t>
      </w:r>
    </w:p>
    <w:p w14:paraId="0803BC93"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Jusqu’à quelle durée peut-on retenir un étranger ? »</w:t>
      </w:r>
      <w:r>
        <w:rPr>
          <w:rFonts w:ascii="Calibri" w:eastAsia="Calibri" w:hAnsi="Calibri" w:cs="Calibri"/>
          <w:color w:val="1A1A1A"/>
        </w:rPr>
        <w:t xml:space="preserve"> — 48 heures, puis 28 jours sur décision du JLD, puis maintiens successifs dans la limite de 90 jours ; et, depuis 2026, jusqu’à cinq placements successifs pour une même mesure d’éloignement, dans la limite cumulée de 360 jours, portée exceptionnellement à 540 jours. Mentionner impérativement la condition de la </w:t>
      </w:r>
      <w:r>
        <w:rPr>
          <w:rFonts w:ascii="Calibri" w:eastAsia="Calibri" w:hAnsi="Calibri" w:cs="Calibri"/>
          <w:b/>
          <w:bCs/>
          <w:color w:val="1A1A1A"/>
        </w:rPr>
        <w:t>perspective raisonnable d’éloignement</w:t>
      </w:r>
      <w:r>
        <w:rPr>
          <w:rFonts w:ascii="Calibri" w:eastAsia="Calibri" w:hAnsi="Calibri" w:cs="Calibri"/>
          <w:color w:val="1A1A1A"/>
        </w:rPr>
        <w:t>.</w:t>
      </w:r>
    </w:p>
    <w:p w14:paraId="1265FA38" w14:textId="77777777" w:rsidR="00520D98" w:rsidRDefault="00000000">
      <w:pPr>
        <w:pStyle w:val="Titre3"/>
        <w:spacing w:before="200" w:after="90"/>
      </w:pPr>
      <w:r>
        <w:rPr>
          <w:rFonts w:ascii="Calibri" w:eastAsia="Calibri" w:hAnsi="Calibri" w:cs="Calibri"/>
          <w:b/>
          <w:bCs/>
          <w:i/>
          <w:iCs/>
          <w:color w:val="5A5A5A"/>
          <w:sz w:val="21"/>
          <w:szCs w:val="21"/>
        </w:rPr>
        <w:t>3.2. Sujets d’exposé rattachables</w:t>
      </w:r>
    </w:p>
    <w:p w14:paraId="6D3CED44"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Soutenez que l’enfermement des mineurs est contraire aux droits humains » (sujet d’argumentation expressément proposé par le fascicule).</w:t>
      </w:r>
    </w:p>
    <w:p w14:paraId="55672903"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L’article 66 de la Constitution » ; « L’</w:t>
      </w:r>
      <w:r>
        <w:rPr>
          <w:rFonts w:ascii="Calibri" w:eastAsia="Calibri" w:hAnsi="Calibri" w:cs="Calibri"/>
          <w:i/>
          <w:iCs/>
          <w:color w:val="1A1A1A"/>
        </w:rPr>
        <w:t>habeas corpus</w:t>
      </w:r>
      <w:r>
        <w:rPr>
          <w:rFonts w:ascii="Calibri" w:eastAsia="Calibri" w:hAnsi="Calibri" w:cs="Calibri"/>
          <w:color w:val="1A1A1A"/>
        </w:rPr>
        <w:t xml:space="preserve"> en droit français ».</w:t>
      </w:r>
    </w:p>
    <w:p w14:paraId="719D33B9"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La rétention administrative » ; « Le juge des libertés et de la détention ».</w:t>
      </w:r>
    </w:p>
    <w:p w14:paraId="36D64608"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Privation de liberté et dangerosité » ; « Les mesures de sûreté sont-elles des peines ? ».</w:t>
      </w:r>
    </w:p>
    <w:p w14:paraId="5549641E" w14:textId="77777777" w:rsidR="00520D98" w:rsidRDefault="00000000">
      <w:pPr>
        <w:pStyle w:val="Titre3"/>
        <w:spacing w:before="200" w:after="90"/>
      </w:pPr>
      <w:r>
        <w:rPr>
          <w:rFonts w:ascii="Calibri" w:eastAsia="Calibri" w:hAnsi="Calibri" w:cs="Calibri"/>
          <w:b/>
          <w:bCs/>
          <w:i/>
          <w:iCs/>
          <w:color w:val="5A5A5A"/>
          <w:sz w:val="21"/>
          <w:szCs w:val="21"/>
        </w:rPr>
        <w:t>3.3. Angles morts — en question / réponse</w:t>
      </w:r>
    </w:p>
    <w:p w14:paraId="7B92AA1D"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La liste des motifs de privation de liberté de l’article 5 est-elle indicative ?</w:t>
      </w:r>
      <w:r>
        <w:rPr>
          <w:rFonts w:ascii="Calibri" w:eastAsia="Calibri" w:hAnsi="Calibri" w:cs="Calibri"/>
          <w:color w:val="1A1A1A"/>
        </w:rPr>
        <w:t xml:space="preserve"> — Non : </w:t>
      </w:r>
      <w:r>
        <w:rPr>
          <w:rFonts w:ascii="Calibri" w:eastAsia="Calibri" w:hAnsi="Calibri" w:cs="Calibri"/>
          <w:b/>
          <w:bCs/>
          <w:color w:val="1A1A1A"/>
        </w:rPr>
        <w:t>exhaustive</w:t>
      </w:r>
      <w:r>
        <w:rPr>
          <w:rFonts w:ascii="Calibri" w:eastAsia="Calibri" w:hAnsi="Calibri" w:cs="Calibri"/>
          <w:color w:val="1A1A1A"/>
        </w:rPr>
        <w:t xml:space="preserve"> et d’interprétation </w:t>
      </w:r>
      <w:r>
        <w:rPr>
          <w:rFonts w:ascii="Calibri" w:eastAsia="Calibri" w:hAnsi="Calibri" w:cs="Calibri"/>
          <w:b/>
          <w:bCs/>
          <w:color w:val="1A1A1A"/>
        </w:rPr>
        <w:t>étroite</w:t>
      </w:r>
      <w:r>
        <w:rPr>
          <w:rFonts w:ascii="Calibri" w:eastAsia="Calibri" w:hAnsi="Calibri" w:cs="Calibri"/>
          <w:color w:val="1A1A1A"/>
        </w:rPr>
        <w:t xml:space="preserve"> (</w:t>
      </w:r>
      <w:r>
        <w:rPr>
          <w:rFonts w:ascii="Calibri" w:eastAsia="Calibri" w:hAnsi="Calibri" w:cs="Calibri"/>
          <w:color w:val="E91E63"/>
        </w:rPr>
        <w:t>Quinn c. France</w:t>
      </w:r>
      <w:r>
        <w:rPr>
          <w:rFonts w:ascii="Calibri" w:eastAsia="Calibri" w:hAnsi="Calibri" w:cs="Calibri"/>
          <w:color w:val="1A1A1A"/>
        </w:rPr>
        <w:t>).</w:t>
      </w:r>
    </w:p>
    <w:p w14:paraId="449504DC"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Qui prolonge la garde à vue au-delà de 48 heures ?</w:t>
      </w:r>
      <w:r>
        <w:rPr>
          <w:rFonts w:ascii="Calibri" w:eastAsia="Calibri" w:hAnsi="Calibri" w:cs="Calibri"/>
          <w:color w:val="1A1A1A"/>
        </w:rPr>
        <w:t xml:space="preserve"> — Le </w:t>
      </w:r>
      <w:r>
        <w:rPr>
          <w:rFonts w:ascii="Calibri" w:eastAsia="Calibri" w:hAnsi="Calibri" w:cs="Calibri"/>
          <w:b/>
          <w:bCs/>
          <w:color w:val="1A1A1A"/>
        </w:rPr>
        <w:t>juge des libertés et de la détention</w:t>
      </w:r>
      <w:r>
        <w:rPr>
          <w:rFonts w:ascii="Calibri" w:eastAsia="Calibri" w:hAnsi="Calibri" w:cs="Calibri"/>
          <w:color w:val="1A1A1A"/>
        </w:rPr>
        <w:t xml:space="preserve"> ou le juge d’instruction, par décision écrite et motivée (</w:t>
      </w:r>
      <w:r>
        <w:rPr>
          <w:rFonts w:ascii="Calibri" w:eastAsia="Calibri" w:hAnsi="Calibri" w:cs="Calibri"/>
          <w:color w:val="1E88E5"/>
        </w:rPr>
        <w:t>art. 706-88 CPP</w:t>
      </w:r>
      <w:r>
        <w:rPr>
          <w:rFonts w:ascii="Calibri" w:eastAsia="Calibri" w:hAnsi="Calibri" w:cs="Calibri"/>
          <w:color w:val="1A1A1A"/>
        </w:rPr>
        <w:t>). La première prolongation relève du procureur de la République.</w:t>
      </w:r>
    </w:p>
    <w:p w14:paraId="23E83C2C"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Quel est le seuil de peine encourue pour la détention provisoire ?</w:t>
      </w:r>
      <w:r>
        <w:rPr>
          <w:rFonts w:ascii="Calibri" w:eastAsia="Calibri" w:hAnsi="Calibri" w:cs="Calibri"/>
          <w:color w:val="1A1A1A"/>
        </w:rPr>
        <w:t xml:space="preserve"> — Une peine criminelle, ou une peine correctionnelle </w:t>
      </w:r>
      <w:r>
        <w:rPr>
          <w:rFonts w:ascii="Calibri" w:eastAsia="Calibri" w:hAnsi="Calibri" w:cs="Calibri"/>
          <w:b/>
          <w:bCs/>
          <w:color w:val="1A1A1A"/>
        </w:rPr>
        <w:t>égale ou supérieure à trois ans</w:t>
      </w:r>
      <w:r>
        <w:rPr>
          <w:rFonts w:ascii="Calibri" w:eastAsia="Calibri" w:hAnsi="Calibri" w:cs="Calibri"/>
          <w:color w:val="1A1A1A"/>
        </w:rPr>
        <w:t xml:space="preserve"> d’emprisonnement (</w:t>
      </w:r>
      <w:r>
        <w:rPr>
          <w:rFonts w:ascii="Calibri" w:eastAsia="Calibri" w:hAnsi="Calibri" w:cs="Calibri"/>
          <w:color w:val="1E88E5"/>
        </w:rPr>
        <w:t>art. 143-1 CPP</w:t>
      </w:r>
      <w:r>
        <w:rPr>
          <w:rFonts w:ascii="Calibri" w:eastAsia="Calibri" w:hAnsi="Calibri" w:cs="Calibri"/>
          <w:color w:val="1A1A1A"/>
        </w:rPr>
        <w:t>).</w:t>
      </w:r>
    </w:p>
    <w:p w14:paraId="1F592C11"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Au-delà de combien de jours le juge judiciaire intervient-il en zone d’attente ?</w:t>
      </w:r>
      <w:r>
        <w:rPr>
          <w:rFonts w:ascii="Calibri" w:eastAsia="Calibri" w:hAnsi="Calibri" w:cs="Calibri"/>
          <w:color w:val="1A1A1A"/>
        </w:rPr>
        <w:t xml:space="preserve"> — Au-delà de </w:t>
      </w:r>
      <w:r>
        <w:rPr>
          <w:rFonts w:ascii="Calibri" w:eastAsia="Calibri" w:hAnsi="Calibri" w:cs="Calibri"/>
          <w:b/>
          <w:bCs/>
          <w:color w:val="1A1A1A"/>
        </w:rPr>
        <w:t>quatre jours</w:t>
      </w:r>
      <w:r>
        <w:rPr>
          <w:rFonts w:ascii="Calibri" w:eastAsia="Calibri" w:hAnsi="Calibri" w:cs="Calibri"/>
          <w:color w:val="1A1A1A"/>
        </w:rPr>
        <w:t xml:space="preserve"> ; il autorise alors le maintien jusqu’à huit jours (</w:t>
      </w:r>
      <w:r>
        <w:rPr>
          <w:rFonts w:ascii="Calibri" w:eastAsia="Calibri" w:hAnsi="Calibri" w:cs="Calibri"/>
          <w:color w:val="1E88E5"/>
        </w:rPr>
        <w:t>art. L. 342-1 CESEDA</w:t>
      </w:r>
      <w:r>
        <w:rPr>
          <w:rFonts w:ascii="Calibri" w:eastAsia="Calibri" w:hAnsi="Calibri" w:cs="Calibri"/>
          <w:color w:val="1A1A1A"/>
        </w:rPr>
        <w:t>).</w:t>
      </w:r>
    </w:p>
    <w:p w14:paraId="3AFC57FA"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Le placement en cellule de dégrisement est-il une privation de liberté ?</w:t>
      </w:r>
      <w:r>
        <w:rPr>
          <w:rFonts w:ascii="Calibri" w:eastAsia="Calibri" w:hAnsi="Calibri" w:cs="Calibri"/>
          <w:color w:val="1A1A1A"/>
        </w:rPr>
        <w:t xml:space="preserve"> — Oui, au sens de l’</w:t>
      </w:r>
      <w:r>
        <w:rPr>
          <w:rFonts w:ascii="Calibri" w:eastAsia="Calibri" w:hAnsi="Calibri" w:cs="Calibri"/>
          <w:color w:val="1E88E5"/>
        </w:rPr>
        <w:t>art. 5 § 1</w:t>
      </w:r>
      <w:r>
        <w:rPr>
          <w:rFonts w:ascii="Calibri" w:eastAsia="Calibri" w:hAnsi="Calibri" w:cs="Calibri"/>
          <w:color w:val="1A1A1A"/>
        </w:rPr>
        <w:t xml:space="preserve"> (</w:t>
      </w:r>
      <w:r>
        <w:rPr>
          <w:rFonts w:ascii="Calibri" w:eastAsia="Calibri" w:hAnsi="Calibri" w:cs="Calibri"/>
          <w:color w:val="E91E63"/>
        </w:rPr>
        <w:t>Witold Litwa c. Pologne</w:t>
      </w:r>
      <w:r>
        <w:rPr>
          <w:rFonts w:ascii="Calibri" w:eastAsia="Calibri" w:hAnsi="Calibri" w:cs="Calibri"/>
          <w:color w:val="1A1A1A"/>
        </w:rPr>
        <w:t>), quoique conforme à l’</w:t>
      </w:r>
      <w:r>
        <w:rPr>
          <w:rFonts w:ascii="Calibri" w:eastAsia="Calibri" w:hAnsi="Calibri" w:cs="Calibri"/>
          <w:color w:val="1E88E5"/>
        </w:rPr>
        <w:t>art. 66 C.</w:t>
      </w:r>
      <w:r>
        <w:rPr>
          <w:rFonts w:ascii="Calibri" w:eastAsia="Calibri" w:hAnsi="Calibri" w:cs="Calibri"/>
          <w:color w:val="1A1A1A"/>
        </w:rPr>
        <w:t xml:space="preserve"> (</w:t>
      </w:r>
      <w:r>
        <w:rPr>
          <w:rFonts w:ascii="Calibri" w:eastAsia="Calibri" w:hAnsi="Calibri" w:cs="Calibri"/>
          <w:color w:val="E91E63"/>
        </w:rPr>
        <w:t>2012-253 QPC</w:t>
      </w:r>
      <w:r>
        <w:rPr>
          <w:rFonts w:ascii="Calibri" w:eastAsia="Calibri" w:hAnsi="Calibri" w:cs="Calibri"/>
          <w:color w:val="1A1A1A"/>
        </w:rPr>
        <w:t xml:space="preserve">). Le contentieux de la faute relève du juge </w:t>
      </w:r>
      <w:r>
        <w:rPr>
          <w:rFonts w:ascii="Calibri" w:eastAsia="Calibri" w:hAnsi="Calibri" w:cs="Calibri"/>
          <w:b/>
          <w:bCs/>
          <w:color w:val="1A1A1A"/>
        </w:rPr>
        <w:t>administratif</w:t>
      </w:r>
      <w:r>
        <w:rPr>
          <w:rFonts w:ascii="Calibri" w:eastAsia="Calibri" w:hAnsi="Calibri" w:cs="Calibri"/>
          <w:color w:val="1A1A1A"/>
        </w:rPr>
        <w:t xml:space="preserve"> (police administrative).</w:t>
      </w:r>
    </w:p>
    <w:p w14:paraId="7DC7D674"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Que sanctionne l’article 432-4 du Code pénal ?</w:t>
      </w:r>
      <w:r>
        <w:rPr>
          <w:rFonts w:ascii="Calibri" w:eastAsia="Calibri" w:hAnsi="Calibri" w:cs="Calibri"/>
          <w:color w:val="1A1A1A"/>
        </w:rPr>
        <w:t xml:space="preserve"> — L’acte attentatoire à la liberté individuelle ordonné ou accompli par une personne dépositaire de l’autorité publique : jusqu’à sept ans et 100 000 euros, peines aggravées au-delà de sept jours de privation arbitraire.</w:t>
      </w:r>
    </w:p>
    <w:p w14:paraId="767B08AA" w14:textId="77777777" w:rsidR="00520D98" w:rsidRDefault="00000000">
      <w:r>
        <w:br w:type="page"/>
      </w:r>
    </w:p>
    <w:p w14:paraId="69084A95" w14:textId="77777777" w:rsidR="00520D98"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31 — LE DROIT À UN PROCÈS ÉQUITABLE ET LE DROIT À UN RECOURS EFFECTIF</w:t>
      </w:r>
    </w:p>
    <w:p w14:paraId="7E221476" w14:textId="77777777" w:rsidR="00520D98" w:rsidRDefault="00000000">
      <w:pPr>
        <w:pStyle w:val="Titre2"/>
        <w:spacing w:before="280" w:after="120"/>
      </w:pPr>
      <w:r>
        <w:rPr>
          <w:rFonts w:ascii="Calibri" w:eastAsia="Calibri" w:hAnsi="Calibri" w:cs="Calibri"/>
          <w:b/>
          <w:bCs/>
          <w:color w:val="1A1A1A"/>
          <w:sz w:val="24"/>
          <w:szCs w:val="24"/>
        </w:rPr>
        <w:t>◆ FICHE-MÉMOIRE — à réviser en trois minutes</w:t>
      </w:r>
    </w:p>
    <w:p w14:paraId="7C77E701" w14:textId="77777777" w:rsidR="00520D98" w:rsidRDefault="00000000">
      <w:pPr>
        <w:pStyle w:val="Titre3"/>
        <w:spacing w:before="200" w:after="90"/>
      </w:pPr>
      <w:r>
        <w:rPr>
          <w:rFonts w:ascii="Calibri" w:eastAsia="Calibri" w:hAnsi="Calibri" w:cs="Calibri"/>
          <w:b/>
          <w:bCs/>
          <w:i/>
          <w:iCs/>
          <w:color w:val="5A5A5A"/>
          <w:sz w:val="21"/>
          <w:szCs w:val="21"/>
        </w:rPr>
        <w:t>Accroche</w:t>
      </w:r>
    </w:p>
    <w:p w14:paraId="1EE60009"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Près de </w:t>
      </w:r>
      <w:r>
        <w:rPr>
          <w:rFonts w:ascii="Calibri" w:eastAsia="Calibri" w:hAnsi="Calibri" w:cs="Calibri"/>
          <w:b/>
          <w:bCs/>
          <w:color w:val="1A1A1A"/>
        </w:rPr>
        <w:t>40 % des arrêts</w:t>
      </w:r>
      <w:r>
        <w:rPr>
          <w:rFonts w:ascii="Calibri" w:eastAsia="Calibri" w:hAnsi="Calibri" w:cs="Calibri"/>
          <w:color w:val="1A1A1A"/>
        </w:rPr>
        <w:t xml:space="preserve"> de la Cour européenne concernent l’</w:t>
      </w:r>
      <w:r>
        <w:rPr>
          <w:rFonts w:ascii="Calibri" w:eastAsia="Calibri" w:hAnsi="Calibri" w:cs="Calibri"/>
          <w:color w:val="1E88E5"/>
        </w:rPr>
        <w:t>art. 6</w:t>
      </w:r>
      <w:r>
        <w:rPr>
          <w:rFonts w:ascii="Calibri" w:eastAsia="Calibri" w:hAnsi="Calibri" w:cs="Calibri"/>
          <w:color w:val="1A1A1A"/>
        </w:rPr>
        <w:t xml:space="preserve">. Aucun autre droit n’a autant façonné la procédure des États parties : les droits procéduraux sont le </w:t>
      </w:r>
      <w:r>
        <w:rPr>
          <w:rFonts w:ascii="Calibri" w:eastAsia="Calibri" w:hAnsi="Calibri" w:cs="Calibri"/>
          <w:b/>
          <w:bCs/>
          <w:color w:val="1A1A1A"/>
        </w:rPr>
        <w:t>pilier de l’État de droit</w:t>
      </w:r>
      <w:r>
        <w:rPr>
          <w:rFonts w:ascii="Calibri" w:eastAsia="Calibri" w:hAnsi="Calibri" w:cs="Calibri"/>
          <w:color w:val="1A1A1A"/>
        </w:rPr>
        <w:t>, en ce qu’ils permettent de lutter contre l’arbitraire et de redresser les violations de tous les autres droits.</w:t>
      </w:r>
    </w:p>
    <w:p w14:paraId="789C17AF"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w:t>
      </w:r>
      <w:r>
        <w:rPr>
          <w:rFonts w:ascii="Calibri" w:eastAsia="Calibri" w:hAnsi="Calibri" w:cs="Calibri"/>
          <w:color w:val="E91E63"/>
        </w:rPr>
        <w:t>CEDH, GC, 10 juillet 2025, Semenya c. Suisse, n° 10934/21</w:t>
      </w:r>
      <w:r>
        <w:rPr>
          <w:rFonts w:ascii="Calibri" w:eastAsia="Calibri" w:hAnsi="Calibri" w:cs="Calibri"/>
          <w:color w:val="1A1A1A"/>
        </w:rPr>
        <w:t xml:space="preserve"> — plus l’arbitrage est contraint, plus l’exigence d’un contrôle juridictionnel étatique effectif est forte. Un mécanisme d’arbitrage privé ne peut soustraire entièrement au juge un litige mettant en cause des droits fondamentaux.</w:t>
      </w:r>
    </w:p>
    <w:p w14:paraId="17457A2E" w14:textId="77777777" w:rsidR="00520D98" w:rsidRDefault="00000000">
      <w:pPr>
        <w:pStyle w:val="Titre3"/>
        <w:spacing w:before="200" w:after="90"/>
      </w:pPr>
      <w:r>
        <w:rPr>
          <w:rFonts w:ascii="Calibri" w:eastAsia="Calibri" w:hAnsi="Calibri" w:cs="Calibri"/>
          <w:b/>
          <w:bCs/>
          <w:i/>
          <w:iCs/>
          <w:color w:val="5A5A5A"/>
          <w:sz w:val="21"/>
          <w:szCs w:val="21"/>
        </w:rPr>
        <w:t>Définition en trois lignes</w:t>
      </w:r>
    </w:p>
    <w:p w14:paraId="5F6CF5E0" w14:textId="77777777" w:rsidR="00520D98" w:rsidRDefault="00000000">
      <w:pPr>
        <w:pStyle w:val="Paragraphedeliste"/>
        <w:numPr>
          <w:ilvl w:val="0"/>
          <w:numId w:val="2"/>
        </w:numPr>
        <w:spacing w:after="70" w:line="264" w:lineRule="auto"/>
        <w:jc w:val="both"/>
      </w:pPr>
      <w:r>
        <w:rPr>
          <w:rFonts w:ascii="Calibri" w:eastAsia="Calibri" w:hAnsi="Calibri" w:cs="Calibri"/>
          <w:color w:val="1E88E5"/>
        </w:rPr>
        <w:t>Art. 6 CEDH</w:t>
      </w:r>
      <w:r>
        <w:rPr>
          <w:rFonts w:ascii="Calibri" w:eastAsia="Calibri" w:hAnsi="Calibri" w:cs="Calibri"/>
          <w:color w:val="1A1A1A"/>
        </w:rPr>
        <w:t xml:space="preserve"> (procès équitable) et </w:t>
      </w:r>
      <w:r>
        <w:rPr>
          <w:rFonts w:ascii="Calibri" w:eastAsia="Calibri" w:hAnsi="Calibri" w:cs="Calibri"/>
          <w:color w:val="1E88E5"/>
        </w:rPr>
        <w:t>art. 13</w:t>
      </w:r>
      <w:r>
        <w:rPr>
          <w:rFonts w:ascii="Calibri" w:eastAsia="Calibri" w:hAnsi="Calibri" w:cs="Calibri"/>
          <w:color w:val="1A1A1A"/>
        </w:rPr>
        <w:t xml:space="preserve"> (recours effectif), complétés par l’</w:t>
      </w:r>
      <w:r>
        <w:rPr>
          <w:rFonts w:ascii="Calibri" w:eastAsia="Calibri" w:hAnsi="Calibri" w:cs="Calibri"/>
          <w:color w:val="1E88E5"/>
        </w:rPr>
        <w:t>art. 2 du Protocole n° 7</w:t>
      </w:r>
      <w:r>
        <w:rPr>
          <w:rFonts w:ascii="Calibri" w:eastAsia="Calibri" w:hAnsi="Calibri" w:cs="Calibri"/>
          <w:color w:val="1A1A1A"/>
        </w:rPr>
        <w:t xml:space="preserve"> (double degré de juridiction en matière pénale). Le </w:t>
      </w:r>
      <w:r>
        <w:rPr>
          <w:rFonts w:ascii="Calibri" w:eastAsia="Calibri" w:hAnsi="Calibri" w:cs="Calibri"/>
          <w:b/>
          <w:bCs/>
          <w:color w:val="1A1A1A"/>
        </w:rPr>
        <w:t>recours effectif</w:t>
      </w:r>
      <w:r>
        <w:rPr>
          <w:rFonts w:ascii="Calibri" w:eastAsia="Calibri" w:hAnsi="Calibri" w:cs="Calibri"/>
          <w:color w:val="1A1A1A"/>
        </w:rPr>
        <w:t xml:space="preserve"> recouvre le droit d’accès à une voie de droit ; le </w:t>
      </w:r>
      <w:r>
        <w:rPr>
          <w:rFonts w:ascii="Calibri" w:eastAsia="Calibri" w:hAnsi="Calibri" w:cs="Calibri"/>
          <w:b/>
          <w:bCs/>
          <w:color w:val="1A1A1A"/>
        </w:rPr>
        <w:t>procès équitable</w:t>
      </w:r>
      <w:r>
        <w:rPr>
          <w:rFonts w:ascii="Calibri" w:eastAsia="Calibri" w:hAnsi="Calibri" w:cs="Calibri"/>
          <w:color w:val="1A1A1A"/>
        </w:rPr>
        <w:t xml:space="preserve"> correspond aux garanties procédurales tenant à l’équité globale du procès.</w:t>
      </w:r>
    </w:p>
    <w:p w14:paraId="722170EF"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Articulation</w:t>
      </w:r>
      <w:r>
        <w:rPr>
          <w:rFonts w:ascii="Calibri" w:eastAsia="Calibri" w:hAnsi="Calibri" w:cs="Calibri"/>
          <w:color w:val="1A1A1A"/>
        </w:rPr>
        <w:t xml:space="preserve"> : la Cour considère l’</w:t>
      </w:r>
      <w:r>
        <w:rPr>
          <w:rFonts w:ascii="Calibri" w:eastAsia="Calibri" w:hAnsi="Calibri" w:cs="Calibri"/>
          <w:color w:val="1E88E5"/>
        </w:rPr>
        <w:t>art. 6</w:t>
      </w:r>
      <w:r>
        <w:rPr>
          <w:rFonts w:ascii="Calibri" w:eastAsia="Calibri" w:hAnsi="Calibri" w:cs="Calibri"/>
          <w:color w:val="1A1A1A"/>
        </w:rPr>
        <w:t xml:space="preserve"> comme une </w:t>
      </w:r>
      <w:r>
        <w:rPr>
          <w:rFonts w:ascii="Calibri" w:eastAsia="Calibri" w:hAnsi="Calibri" w:cs="Calibri"/>
          <w:b/>
          <w:bCs/>
          <w:i/>
          <w:iCs/>
          <w:color w:val="1A1A1A"/>
        </w:rPr>
        <w:t>lex specialis</w:t>
      </w:r>
      <w:r>
        <w:rPr>
          <w:rFonts w:ascii="Calibri" w:eastAsia="Calibri" w:hAnsi="Calibri" w:cs="Calibri"/>
          <w:color w:val="1A1A1A"/>
        </w:rPr>
        <w:t xml:space="preserve"> du droit au recours effectif, dont les exigences plus strictes </w:t>
      </w:r>
      <w:r>
        <w:rPr>
          <w:rFonts w:ascii="Calibri" w:eastAsia="Calibri" w:hAnsi="Calibri" w:cs="Calibri"/>
          <w:b/>
          <w:bCs/>
          <w:color w:val="1A1A1A"/>
        </w:rPr>
        <w:t>absorbent</w:t>
      </w:r>
      <w:r>
        <w:rPr>
          <w:rFonts w:ascii="Calibri" w:eastAsia="Calibri" w:hAnsi="Calibri" w:cs="Calibri"/>
          <w:color w:val="1A1A1A"/>
        </w:rPr>
        <w:t xml:space="preserve"> l’</w:t>
      </w:r>
      <w:r>
        <w:rPr>
          <w:rFonts w:ascii="Calibri" w:eastAsia="Calibri" w:hAnsi="Calibri" w:cs="Calibri"/>
          <w:color w:val="1E88E5"/>
        </w:rPr>
        <w:t>art. 13</w:t>
      </w:r>
      <w:r>
        <w:rPr>
          <w:rFonts w:ascii="Calibri" w:eastAsia="Calibri" w:hAnsi="Calibri" w:cs="Calibri"/>
          <w:color w:val="1A1A1A"/>
        </w:rPr>
        <w:t xml:space="preserve"> lorsque ses conditions d’applicabilité sont remplies — </w:t>
      </w:r>
      <w:r>
        <w:rPr>
          <w:rFonts w:ascii="Calibri" w:eastAsia="Calibri" w:hAnsi="Calibri" w:cs="Calibri"/>
          <w:b/>
          <w:bCs/>
          <w:color w:val="1A1A1A"/>
        </w:rPr>
        <w:t>à l’exception du délai raisonnable</w:t>
      </w:r>
      <w:r>
        <w:rPr>
          <w:rFonts w:ascii="Calibri" w:eastAsia="Calibri" w:hAnsi="Calibri" w:cs="Calibri"/>
          <w:color w:val="1A1A1A"/>
        </w:rPr>
        <w:t xml:space="preserve"> (</w:t>
      </w:r>
      <w:r>
        <w:rPr>
          <w:rFonts w:ascii="Calibri" w:eastAsia="Calibri" w:hAnsi="Calibri" w:cs="Calibri"/>
          <w:color w:val="E91E63"/>
        </w:rPr>
        <w:t>CEDH, GC, 26 octobre 2000, Kudla c. Pologne, n° 30210/96</w:t>
      </w:r>
      <w:r>
        <w:rPr>
          <w:rFonts w:ascii="Calibri" w:eastAsia="Calibri" w:hAnsi="Calibri" w:cs="Calibri"/>
          <w:color w:val="1A1A1A"/>
        </w:rPr>
        <w:t>). L’</w:t>
      </w:r>
      <w:r>
        <w:rPr>
          <w:rFonts w:ascii="Calibri" w:eastAsia="Calibri" w:hAnsi="Calibri" w:cs="Calibri"/>
          <w:color w:val="1E88E5"/>
        </w:rPr>
        <w:t>art. 13</w:t>
      </w:r>
      <w:r>
        <w:rPr>
          <w:rFonts w:ascii="Calibri" w:eastAsia="Calibri" w:hAnsi="Calibri" w:cs="Calibri"/>
          <w:color w:val="1A1A1A"/>
        </w:rPr>
        <w:t xml:space="preserve"> n’a pas d’existence propre : il doit être invoqué </w:t>
      </w:r>
      <w:r>
        <w:rPr>
          <w:rFonts w:ascii="Calibri" w:eastAsia="Calibri" w:hAnsi="Calibri" w:cs="Calibri"/>
          <w:b/>
          <w:bCs/>
          <w:color w:val="1A1A1A"/>
        </w:rPr>
        <w:t>en combinaison</w:t>
      </w:r>
      <w:r>
        <w:rPr>
          <w:rFonts w:ascii="Calibri" w:eastAsia="Calibri" w:hAnsi="Calibri" w:cs="Calibri"/>
          <w:color w:val="1A1A1A"/>
        </w:rPr>
        <w:t xml:space="preserve"> avec un autre droit garanti.</w:t>
      </w:r>
    </w:p>
    <w:p w14:paraId="07F66382" w14:textId="77777777" w:rsidR="00520D98" w:rsidRDefault="00000000">
      <w:pPr>
        <w:pStyle w:val="Titre3"/>
        <w:spacing w:before="200" w:after="90"/>
      </w:pPr>
      <w:r>
        <w:rPr>
          <w:rFonts w:ascii="Calibri" w:eastAsia="Calibri" w:hAnsi="Calibri" w:cs="Calibri"/>
          <w:b/>
          <w:bCs/>
          <w:i/>
          <w:iCs/>
          <w:color w:val="5A5A5A"/>
          <w:sz w:val="21"/>
          <w:szCs w:val="21"/>
        </w:rPr>
        <w:t>Les cinq références incontournables</w:t>
      </w:r>
    </w:p>
    <w:p w14:paraId="12542E3F"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21 février 1975, Golder c. Royaume-Uni, n° 4451/70</w:t>
      </w:r>
      <w:r>
        <w:rPr>
          <w:rFonts w:ascii="Calibri" w:eastAsia="Calibri" w:hAnsi="Calibri" w:cs="Calibri"/>
          <w:color w:val="1A1A1A"/>
        </w:rPr>
        <w:t xml:space="preserve"> : consécration du </w:t>
      </w:r>
      <w:r>
        <w:rPr>
          <w:rFonts w:ascii="Calibri" w:eastAsia="Calibri" w:hAnsi="Calibri" w:cs="Calibri"/>
          <w:b/>
          <w:bCs/>
          <w:color w:val="1A1A1A"/>
        </w:rPr>
        <w:t>droit à un tribunal</w:t>
      </w:r>
      <w:r>
        <w:rPr>
          <w:rFonts w:ascii="Calibri" w:eastAsia="Calibri" w:hAnsi="Calibri" w:cs="Calibri"/>
          <w:color w:val="1A1A1A"/>
        </w:rPr>
        <w:t>, non prévu par le texte.</w:t>
      </w:r>
    </w:p>
    <w:p w14:paraId="427EED52"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8 juin 1976, Engel et a. c. Pays-Bas, n° 5100/71</w:t>
      </w:r>
      <w:r>
        <w:rPr>
          <w:rFonts w:ascii="Calibri" w:eastAsia="Calibri" w:hAnsi="Calibri" w:cs="Calibri"/>
          <w:color w:val="1A1A1A"/>
        </w:rPr>
        <w:t xml:space="preserve"> : les </w:t>
      </w:r>
      <w:r>
        <w:rPr>
          <w:rFonts w:ascii="Calibri" w:eastAsia="Calibri" w:hAnsi="Calibri" w:cs="Calibri"/>
          <w:b/>
          <w:bCs/>
          <w:color w:val="1A1A1A"/>
        </w:rPr>
        <w:t>trois critères</w:t>
      </w:r>
      <w:r>
        <w:rPr>
          <w:rFonts w:ascii="Calibri" w:eastAsia="Calibri" w:hAnsi="Calibri" w:cs="Calibri"/>
          <w:color w:val="1A1A1A"/>
        </w:rPr>
        <w:t xml:space="preserve"> de la matière pénale — qualification en droit interne, nature de l’infraction, sévérité de la sanction encourue ; les deux derniers sont </w:t>
      </w:r>
      <w:r>
        <w:rPr>
          <w:rFonts w:ascii="Calibri" w:eastAsia="Calibri" w:hAnsi="Calibri" w:cs="Calibri"/>
          <w:b/>
          <w:bCs/>
          <w:color w:val="1A1A1A"/>
        </w:rPr>
        <w:t>alternatifs</w:t>
      </w:r>
      <w:r>
        <w:rPr>
          <w:rFonts w:ascii="Calibri" w:eastAsia="Calibri" w:hAnsi="Calibri" w:cs="Calibri"/>
          <w:color w:val="1A1A1A"/>
        </w:rPr>
        <w:t>.</w:t>
      </w:r>
    </w:p>
    <w:p w14:paraId="1A6332BD"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GC, 26 octobre 2000, Kudla c. Pologne, n° 30210/96</w:t>
      </w:r>
      <w:r>
        <w:rPr>
          <w:rFonts w:ascii="Calibri" w:eastAsia="Calibri" w:hAnsi="Calibri" w:cs="Calibri"/>
          <w:color w:val="1A1A1A"/>
        </w:rPr>
        <w:t xml:space="preserve"> : l’</w:t>
      </w:r>
      <w:r>
        <w:rPr>
          <w:rFonts w:ascii="Calibri" w:eastAsia="Calibri" w:hAnsi="Calibri" w:cs="Calibri"/>
          <w:color w:val="1E88E5"/>
        </w:rPr>
        <w:t>art. 6</w:t>
      </w:r>
      <w:r>
        <w:rPr>
          <w:rFonts w:ascii="Calibri" w:eastAsia="Calibri" w:hAnsi="Calibri" w:cs="Calibri"/>
          <w:color w:val="1A1A1A"/>
        </w:rPr>
        <w:t xml:space="preserve"> est une </w:t>
      </w:r>
      <w:r>
        <w:rPr>
          <w:rFonts w:ascii="Calibri" w:eastAsia="Calibri" w:hAnsi="Calibri" w:cs="Calibri"/>
          <w:i/>
          <w:iCs/>
          <w:color w:val="1A1A1A"/>
        </w:rPr>
        <w:t>lex specialis</w:t>
      </w:r>
      <w:r>
        <w:rPr>
          <w:rFonts w:ascii="Calibri" w:eastAsia="Calibri" w:hAnsi="Calibri" w:cs="Calibri"/>
          <w:color w:val="1A1A1A"/>
        </w:rPr>
        <w:t xml:space="preserve"> absorbant l’</w:t>
      </w:r>
      <w:r>
        <w:rPr>
          <w:rFonts w:ascii="Calibri" w:eastAsia="Calibri" w:hAnsi="Calibri" w:cs="Calibri"/>
          <w:color w:val="1E88E5"/>
        </w:rPr>
        <w:t>art. 13</w:t>
      </w:r>
      <w:r>
        <w:rPr>
          <w:rFonts w:ascii="Calibri" w:eastAsia="Calibri" w:hAnsi="Calibri" w:cs="Calibri"/>
          <w:color w:val="1A1A1A"/>
        </w:rPr>
        <w:t xml:space="preserve">, sauf pour le </w:t>
      </w:r>
      <w:r>
        <w:rPr>
          <w:rFonts w:ascii="Calibri" w:eastAsia="Calibri" w:hAnsi="Calibri" w:cs="Calibri"/>
          <w:b/>
          <w:bCs/>
          <w:color w:val="1A1A1A"/>
        </w:rPr>
        <w:t>délai raisonnable</w:t>
      </w:r>
      <w:r>
        <w:rPr>
          <w:rFonts w:ascii="Calibri" w:eastAsia="Calibri" w:hAnsi="Calibri" w:cs="Calibri"/>
          <w:color w:val="1A1A1A"/>
        </w:rPr>
        <w:t>.</w:t>
      </w:r>
    </w:p>
    <w:p w14:paraId="6A9E4F3B"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GC, 7 juin 2001, Kress c. France, n° 39594/98</w:t>
      </w:r>
      <w:r>
        <w:rPr>
          <w:rFonts w:ascii="Calibri" w:eastAsia="Calibri" w:hAnsi="Calibri" w:cs="Calibri"/>
          <w:color w:val="1A1A1A"/>
        </w:rPr>
        <w:t xml:space="preserve"> : l’</w:t>
      </w:r>
      <w:r>
        <w:rPr>
          <w:rFonts w:ascii="Calibri" w:eastAsia="Calibri" w:hAnsi="Calibri" w:cs="Calibri"/>
          <w:b/>
          <w:bCs/>
          <w:color w:val="1A1A1A"/>
        </w:rPr>
        <w:t>apparence</w:t>
      </w:r>
      <w:r>
        <w:rPr>
          <w:rFonts w:ascii="Calibri" w:eastAsia="Calibri" w:hAnsi="Calibri" w:cs="Calibri"/>
          <w:color w:val="1A1A1A"/>
        </w:rPr>
        <w:t xml:space="preserve"> d’indépendance aux yeux des justiciables est une exigence autonome — « la justice doit non seulement être rendue, mais donner à voir qu’elle est rendue ».</w:t>
      </w:r>
    </w:p>
    <w:p w14:paraId="56526AB7"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GC, 10 juillet 2025, Semenya c. Suisse, n° 10934/21</w:t>
      </w:r>
      <w:r>
        <w:rPr>
          <w:rFonts w:ascii="Calibri" w:eastAsia="Calibri" w:hAnsi="Calibri" w:cs="Calibri"/>
          <w:color w:val="1A1A1A"/>
        </w:rPr>
        <w:t xml:space="preserve"> : lorsque l’arbitrage est </w:t>
      </w:r>
      <w:r>
        <w:rPr>
          <w:rFonts w:ascii="Calibri" w:eastAsia="Calibri" w:hAnsi="Calibri" w:cs="Calibri"/>
          <w:b/>
          <w:bCs/>
          <w:color w:val="1A1A1A"/>
        </w:rPr>
        <w:t>obligatoire</w:t>
      </w:r>
      <w:r>
        <w:rPr>
          <w:rFonts w:ascii="Calibri" w:eastAsia="Calibri" w:hAnsi="Calibri" w:cs="Calibri"/>
          <w:color w:val="1A1A1A"/>
        </w:rPr>
        <w:t xml:space="preserve"> et que le litige porte sur des droits fondamentaux, la juridiction étatique doit procéder à un </w:t>
      </w:r>
      <w:r>
        <w:rPr>
          <w:rFonts w:ascii="Calibri" w:eastAsia="Calibri" w:hAnsi="Calibri" w:cs="Calibri"/>
          <w:b/>
          <w:bCs/>
          <w:color w:val="1A1A1A"/>
        </w:rPr>
        <w:t>examen particulièrement rigoureux</w:t>
      </w:r>
      <w:r>
        <w:rPr>
          <w:rFonts w:ascii="Calibri" w:eastAsia="Calibri" w:hAnsi="Calibri" w:cs="Calibri"/>
          <w:color w:val="1A1A1A"/>
        </w:rPr>
        <w:t xml:space="preserve"> de la sentence.</w:t>
      </w:r>
    </w:p>
    <w:p w14:paraId="32D4D7FB" w14:textId="77777777" w:rsidR="00520D98" w:rsidRDefault="00000000">
      <w:pPr>
        <w:pStyle w:val="Titre3"/>
        <w:spacing w:before="200" w:after="90"/>
      </w:pPr>
      <w:r>
        <w:rPr>
          <w:rFonts w:ascii="Calibri" w:eastAsia="Calibri" w:hAnsi="Calibri" w:cs="Calibri"/>
          <w:b/>
          <w:bCs/>
          <w:i/>
          <w:iCs/>
          <w:color w:val="5A5A5A"/>
          <w:sz w:val="21"/>
          <w:szCs w:val="21"/>
        </w:rPr>
        <w:t>Deux matrices de plan</w:t>
      </w:r>
    </w:p>
    <w:p w14:paraId="2A6E886F"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Sujet « Le droit à un procès équitable et à un recours effectif : quelle articulation ? »</w:t>
      </w:r>
      <w:r>
        <w:rPr>
          <w:rFonts w:ascii="Calibri" w:eastAsia="Calibri" w:hAnsi="Calibri" w:cs="Calibri"/>
          <w:color w:val="1A1A1A"/>
        </w:rPr>
        <w:t xml:space="preserve"> — </w:t>
      </w:r>
      <w:r>
        <w:rPr>
          <w:rFonts w:ascii="Calibri" w:eastAsia="Calibri" w:hAnsi="Calibri" w:cs="Calibri"/>
          <w:b/>
          <w:bCs/>
          <w:color w:val="1A1A1A"/>
        </w:rPr>
        <w:t>I. Deux droits procéduraux consubstantiels</w:t>
      </w:r>
      <w:r>
        <w:rPr>
          <w:rFonts w:ascii="Calibri" w:eastAsia="Calibri" w:hAnsi="Calibri" w:cs="Calibri"/>
          <w:color w:val="1A1A1A"/>
        </w:rPr>
        <w:t xml:space="preserve"> (A. Des objectifs communs : lutte contre l’arbitraire, bases juridiques communes — </w:t>
      </w:r>
      <w:r>
        <w:rPr>
          <w:rFonts w:ascii="Calibri" w:eastAsia="Calibri" w:hAnsi="Calibri" w:cs="Calibri"/>
          <w:color w:val="1E88E5"/>
        </w:rPr>
        <w:t>art. 16 DDHC</w:t>
      </w:r>
      <w:r>
        <w:rPr>
          <w:rFonts w:ascii="Calibri" w:eastAsia="Calibri" w:hAnsi="Calibri" w:cs="Calibri"/>
          <w:color w:val="1A1A1A"/>
        </w:rPr>
        <w:t xml:space="preserve">, </w:t>
      </w:r>
      <w:r>
        <w:rPr>
          <w:rFonts w:ascii="Calibri" w:eastAsia="Calibri" w:hAnsi="Calibri" w:cs="Calibri"/>
          <w:color w:val="1E88E5"/>
        </w:rPr>
        <w:t>art. 47 de la Charte</w:t>
      </w:r>
      <w:r>
        <w:rPr>
          <w:rFonts w:ascii="Calibri" w:eastAsia="Calibri" w:hAnsi="Calibri" w:cs="Calibri"/>
          <w:color w:val="1A1A1A"/>
        </w:rPr>
        <w:t xml:space="preserve">, </w:t>
      </w:r>
      <w:r>
        <w:rPr>
          <w:rFonts w:ascii="Calibri" w:eastAsia="Calibri" w:hAnsi="Calibri" w:cs="Calibri"/>
          <w:color w:val="1E88E5"/>
        </w:rPr>
        <w:t>art. 14 PIDCP</w:t>
      </w:r>
      <w:r>
        <w:rPr>
          <w:rFonts w:ascii="Calibri" w:eastAsia="Calibri" w:hAnsi="Calibri" w:cs="Calibri"/>
          <w:color w:val="1A1A1A"/>
        </w:rPr>
        <w:t xml:space="preserve"> ; protection juridictionnelle effective issue des traditions constitutionnelles communes, </w:t>
      </w:r>
      <w:r>
        <w:rPr>
          <w:rFonts w:ascii="Calibri" w:eastAsia="Calibri" w:hAnsi="Calibri" w:cs="Calibri"/>
          <w:color w:val="E91E63"/>
        </w:rPr>
        <w:t>Unibet</w:t>
      </w:r>
      <w:r>
        <w:rPr>
          <w:rFonts w:ascii="Calibri" w:eastAsia="Calibri" w:hAnsi="Calibri" w:cs="Calibri"/>
          <w:color w:val="1A1A1A"/>
        </w:rPr>
        <w:t xml:space="preserve"> ; B. Entre spécialité et généralité : </w:t>
      </w:r>
      <w:r>
        <w:rPr>
          <w:rFonts w:ascii="Calibri" w:eastAsia="Calibri" w:hAnsi="Calibri" w:cs="Calibri"/>
          <w:color w:val="1E88E5"/>
        </w:rPr>
        <w:t>art. 6</w:t>
      </w:r>
      <w:r>
        <w:rPr>
          <w:rFonts w:ascii="Calibri" w:eastAsia="Calibri" w:hAnsi="Calibri" w:cs="Calibri"/>
          <w:color w:val="1A1A1A"/>
        </w:rPr>
        <w:t xml:space="preserve"> </w:t>
      </w:r>
      <w:r>
        <w:rPr>
          <w:rFonts w:ascii="Calibri" w:eastAsia="Calibri" w:hAnsi="Calibri" w:cs="Calibri"/>
          <w:i/>
          <w:iCs/>
          <w:color w:val="1A1A1A"/>
        </w:rPr>
        <w:t>lex specialis</w:t>
      </w:r>
      <w:r>
        <w:rPr>
          <w:rFonts w:ascii="Calibri" w:eastAsia="Calibri" w:hAnsi="Calibri" w:cs="Calibri"/>
          <w:color w:val="1A1A1A"/>
        </w:rPr>
        <w:t xml:space="preserve"> (</w:t>
      </w:r>
      <w:r>
        <w:rPr>
          <w:rFonts w:ascii="Calibri" w:eastAsia="Calibri" w:hAnsi="Calibri" w:cs="Calibri"/>
          <w:color w:val="E91E63"/>
        </w:rPr>
        <w:t>Silver</w:t>
      </w:r>
      <w:r>
        <w:rPr>
          <w:rFonts w:ascii="Calibri" w:eastAsia="Calibri" w:hAnsi="Calibri" w:cs="Calibri"/>
          <w:color w:val="1A1A1A"/>
        </w:rPr>
        <w:t xml:space="preserve">, </w:t>
      </w:r>
      <w:r>
        <w:rPr>
          <w:rFonts w:ascii="Calibri" w:eastAsia="Calibri" w:hAnsi="Calibri" w:cs="Calibri"/>
          <w:color w:val="E91E63"/>
        </w:rPr>
        <w:t>Kudla</w:t>
      </w:r>
      <w:r>
        <w:rPr>
          <w:rFonts w:ascii="Calibri" w:eastAsia="Calibri" w:hAnsi="Calibri" w:cs="Calibri"/>
          <w:color w:val="1A1A1A"/>
        </w:rPr>
        <w:t>), absence d’existence indépendante de l’</w:t>
      </w:r>
      <w:r>
        <w:rPr>
          <w:rFonts w:ascii="Calibri" w:eastAsia="Calibri" w:hAnsi="Calibri" w:cs="Calibri"/>
          <w:color w:val="1E88E5"/>
        </w:rPr>
        <w:t>art. 13</w:t>
      </w:r>
      <w:r>
        <w:rPr>
          <w:rFonts w:ascii="Calibri" w:eastAsia="Calibri" w:hAnsi="Calibri" w:cs="Calibri"/>
          <w:color w:val="1A1A1A"/>
        </w:rPr>
        <w:t xml:space="preserve">) / </w:t>
      </w:r>
      <w:r>
        <w:rPr>
          <w:rFonts w:ascii="Calibri" w:eastAsia="Calibri" w:hAnsi="Calibri" w:cs="Calibri"/>
          <w:b/>
          <w:bCs/>
          <w:color w:val="1A1A1A"/>
        </w:rPr>
        <w:t>II. Des droits aux exigences distinctes</w:t>
      </w:r>
      <w:r>
        <w:rPr>
          <w:rFonts w:ascii="Calibri" w:eastAsia="Calibri" w:hAnsi="Calibri" w:cs="Calibri"/>
          <w:color w:val="1A1A1A"/>
        </w:rPr>
        <w:t xml:space="preserve"> (A. Des exigences formelles différentes : voie de droit effective d’un côté, garanties procédurales et institutionnelles de l’autre ; B. Des droits fondamentaux dans une société démocratique : juridictionnalisation, montée des populismes, </w:t>
      </w:r>
      <w:r>
        <w:rPr>
          <w:rFonts w:ascii="Calibri" w:eastAsia="Calibri" w:hAnsi="Calibri" w:cs="Calibri"/>
          <w:color w:val="E91E63"/>
        </w:rPr>
        <w:t>Grzęda c. Pologne</w:t>
      </w:r>
      <w:r>
        <w:rPr>
          <w:rFonts w:ascii="Calibri" w:eastAsia="Calibri" w:hAnsi="Calibri" w:cs="Calibri"/>
          <w:color w:val="1A1A1A"/>
        </w:rPr>
        <w:t>, formalisme excessif et accès des personnes vulnérables).</w:t>
      </w:r>
    </w:p>
    <w:p w14:paraId="6D74D26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Sujet « L’indépendance et l’impartialité du juge »</w:t>
      </w:r>
      <w:r>
        <w:rPr>
          <w:rFonts w:ascii="Calibri" w:eastAsia="Calibri" w:hAnsi="Calibri" w:cs="Calibri"/>
          <w:color w:val="1A1A1A"/>
        </w:rPr>
        <w:t xml:space="preserve"> — </w:t>
      </w:r>
      <w:r>
        <w:rPr>
          <w:rFonts w:ascii="Calibri" w:eastAsia="Calibri" w:hAnsi="Calibri" w:cs="Calibri"/>
          <w:b/>
          <w:bCs/>
          <w:color w:val="1A1A1A"/>
        </w:rPr>
        <w:t>I. L’indépendance</w:t>
      </w:r>
      <w:r>
        <w:rPr>
          <w:rFonts w:ascii="Calibri" w:eastAsia="Calibri" w:hAnsi="Calibri" w:cs="Calibri"/>
          <w:color w:val="1A1A1A"/>
        </w:rPr>
        <w:t xml:space="preserve"> (A. Le fondement : </w:t>
      </w:r>
      <w:r>
        <w:rPr>
          <w:rFonts w:ascii="Calibri" w:eastAsia="Calibri" w:hAnsi="Calibri" w:cs="Calibri"/>
          <w:color w:val="1E88E5"/>
        </w:rPr>
        <w:t>art. 64 C.</w:t>
      </w:r>
      <w:r>
        <w:rPr>
          <w:rFonts w:ascii="Calibri" w:eastAsia="Calibri" w:hAnsi="Calibri" w:cs="Calibri"/>
          <w:color w:val="1A1A1A"/>
        </w:rPr>
        <w:t xml:space="preserve">, </w:t>
      </w:r>
      <w:r>
        <w:rPr>
          <w:rFonts w:ascii="Calibri" w:eastAsia="Calibri" w:hAnsi="Calibri" w:cs="Calibri"/>
          <w:color w:val="1E88E5"/>
        </w:rPr>
        <w:t>art. 16 DDHC</w:t>
      </w:r>
      <w:r>
        <w:rPr>
          <w:rFonts w:ascii="Calibri" w:eastAsia="Calibri" w:hAnsi="Calibri" w:cs="Calibri"/>
          <w:color w:val="1A1A1A"/>
        </w:rPr>
        <w:t xml:space="preserve">, PFRLR de l’indépendance de la juridiction administrative — </w:t>
      </w:r>
      <w:r>
        <w:rPr>
          <w:rFonts w:ascii="Calibri" w:eastAsia="Calibri" w:hAnsi="Calibri" w:cs="Calibri"/>
          <w:color w:val="E91E63"/>
        </w:rPr>
        <w:t>80-119 DC</w:t>
      </w:r>
      <w:r>
        <w:rPr>
          <w:rFonts w:ascii="Calibri" w:eastAsia="Calibri" w:hAnsi="Calibri" w:cs="Calibri"/>
          <w:color w:val="1A1A1A"/>
        </w:rPr>
        <w:t xml:space="preserve"> ; B. Les critères : désignation, durée du mandat, protection contre les pressions, inamovibilité — </w:t>
      </w:r>
      <w:r>
        <w:rPr>
          <w:rFonts w:ascii="Calibri" w:eastAsia="Calibri" w:hAnsi="Calibri" w:cs="Calibri"/>
          <w:color w:val="E91E63"/>
        </w:rPr>
        <w:t>Baka c. Hongrie</w:t>
      </w:r>
      <w:r>
        <w:rPr>
          <w:rFonts w:ascii="Calibri" w:eastAsia="Calibri" w:hAnsi="Calibri" w:cs="Calibri"/>
          <w:color w:val="1A1A1A"/>
        </w:rPr>
        <w:t xml:space="preserve"> ; apparence — </w:t>
      </w:r>
      <w:r>
        <w:rPr>
          <w:rFonts w:ascii="Calibri" w:eastAsia="Calibri" w:hAnsi="Calibri" w:cs="Calibri"/>
          <w:color w:val="E91E63"/>
        </w:rPr>
        <w:t>Kress</w:t>
      </w:r>
      <w:r>
        <w:rPr>
          <w:rFonts w:ascii="Calibri" w:eastAsia="Calibri" w:hAnsi="Calibri" w:cs="Calibri"/>
          <w:color w:val="1A1A1A"/>
        </w:rPr>
        <w:t xml:space="preserve">) / </w:t>
      </w:r>
      <w:r>
        <w:rPr>
          <w:rFonts w:ascii="Calibri" w:eastAsia="Calibri" w:hAnsi="Calibri" w:cs="Calibri"/>
          <w:b/>
          <w:bCs/>
          <w:color w:val="1A1A1A"/>
        </w:rPr>
        <w:t>II. L’impartialité</w:t>
      </w:r>
      <w:r>
        <w:rPr>
          <w:rFonts w:ascii="Calibri" w:eastAsia="Calibri" w:hAnsi="Calibri" w:cs="Calibri"/>
          <w:color w:val="1A1A1A"/>
        </w:rPr>
        <w:t xml:space="preserve"> (A. Subjective : présomption réfragable — </w:t>
      </w:r>
      <w:r>
        <w:rPr>
          <w:rFonts w:ascii="Calibri" w:eastAsia="Calibri" w:hAnsi="Calibri" w:cs="Calibri"/>
          <w:color w:val="E91E63"/>
        </w:rPr>
        <w:t>Kyprianou c. Chypre</w:t>
      </w:r>
      <w:r>
        <w:rPr>
          <w:rFonts w:ascii="Calibri" w:eastAsia="Calibri" w:hAnsi="Calibri" w:cs="Calibri"/>
          <w:color w:val="1A1A1A"/>
        </w:rPr>
        <w:t xml:space="preserve"> ; B. Objective : théorie des apparences, liens hiérarchiques ou personnels, récusation — </w:t>
      </w:r>
      <w:r>
        <w:rPr>
          <w:rFonts w:ascii="Calibri" w:eastAsia="Calibri" w:hAnsi="Calibri" w:cs="Calibri"/>
          <w:color w:val="1E88E5"/>
        </w:rPr>
        <w:t>art. 341 et s. CPC</w:t>
      </w:r>
      <w:r>
        <w:rPr>
          <w:rFonts w:ascii="Calibri" w:eastAsia="Calibri" w:hAnsi="Calibri" w:cs="Calibri"/>
          <w:color w:val="1A1A1A"/>
        </w:rPr>
        <w:t xml:space="preserve">, </w:t>
      </w:r>
      <w:r>
        <w:rPr>
          <w:rFonts w:ascii="Calibri" w:eastAsia="Calibri" w:hAnsi="Calibri" w:cs="Calibri"/>
          <w:color w:val="1E88E5"/>
        </w:rPr>
        <w:t>art. 668 et s. CPP</w:t>
      </w:r>
      <w:r>
        <w:rPr>
          <w:rFonts w:ascii="Calibri" w:eastAsia="Calibri" w:hAnsi="Calibri" w:cs="Calibri"/>
          <w:color w:val="1A1A1A"/>
        </w:rPr>
        <w:t>).</w:t>
      </w:r>
    </w:p>
    <w:p w14:paraId="35B8AF95" w14:textId="77777777" w:rsidR="00520D98" w:rsidRDefault="00000000">
      <w:pPr>
        <w:pStyle w:val="Titre3"/>
        <w:spacing w:before="200" w:after="90"/>
      </w:pPr>
      <w:r>
        <w:rPr>
          <w:rFonts w:ascii="Calibri" w:eastAsia="Calibri" w:hAnsi="Calibri" w:cs="Calibri"/>
          <w:b/>
          <w:bCs/>
          <w:i/>
          <w:iCs/>
          <w:color w:val="5A5A5A"/>
          <w:sz w:val="21"/>
          <w:szCs w:val="21"/>
        </w:rPr>
        <w:t>Trois pièges</w:t>
      </w:r>
    </w:p>
    <w:p w14:paraId="0934ABD8"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L’article 13 n’a pas d’existence propre</w:t>
      </w:r>
      <w:r>
        <w:rPr>
          <w:rFonts w:ascii="Calibri" w:eastAsia="Calibri" w:hAnsi="Calibri" w:cs="Calibri"/>
          <w:color w:val="1A1A1A"/>
        </w:rPr>
        <w:t xml:space="preserve"> : il doit être combiné avec un autre droit garanti, et n’est pas applicable lorsque la violation alléguée s’est produite au cours d’une procédure judiciaire relevant de l’</w:t>
      </w:r>
      <w:r>
        <w:rPr>
          <w:rFonts w:ascii="Calibri" w:eastAsia="Calibri" w:hAnsi="Calibri" w:cs="Calibri"/>
          <w:color w:val="1E88E5"/>
        </w:rPr>
        <w:t>art. 6</w:t>
      </w:r>
      <w:r>
        <w:rPr>
          <w:rFonts w:ascii="Calibri" w:eastAsia="Calibri" w:hAnsi="Calibri" w:cs="Calibri"/>
          <w:color w:val="1A1A1A"/>
        </w:rPr>
        <w:t>.</w:t>
      </w:r>
    </w:p>
    <w:p w14:paraId="44B1203C"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Le délai raisonnable est la seule exception à l’absorption</w:t>
      </w:r>
      <w:r>
        <w:rPr>
          <w:rFonts w:ascii="Calibri" w:eastAsia="Calibri" w:hAnsi="Calibri" w:cs="Calibri"/>
          <w:color w:val="1A1A1A"/>
        </w:rPr>
        <w:t xml:space="preserve"> de l’</w:t>
      </w:r>
      <w:r>
        <w:rPr>
          <w:rFonts w:ascii="Calibri" w:eastAsia="Calibri" w:hAnsi="Calibri" w:cs="Calibri"/>
          <w:color w:val="1E88E5"/>
        </w:rPr>
        <w:t>art. 13</w:t>
      </w:r>
      <w:r>
        <w:rPr>
          <w:rFonts w:ascii="Calibri" w:eastAsia="Calibri" w:hAnsi="Calibri" w:cs="Calibri"/>
          <w:color w:val="1A1A1A"/>
        </w:rPr>
        <w:t xml:space="preserve"> par l’</w:t>
      </w:r>
      <w:r>
        <w:rPr>
          <w:rFonts w:ascii="Calibri" w:eastAsia="Calibri" w:hAnsi="Calibri" w:cs="Calibri"/>
          <w:color w:val="1E88E5"/>
        </w:rPr>
        <w:t>art. 6</w:t>
      </w:r>
      <w:r>
        <w:rPr>
          <w:rFonts w:ascii="Calibri" w:eastAsia="Calibri" w:hAnsi="Calibri" w:cs="Calibri"/>
          <w:color w:val="1A1A1A"/>
        </w:rPr>
        <w:t xml:space="preserve"> (</w:t>
      </w:r>
      <w:r>
        <w:rPr>
          <w:rFonts w:ascii="Calibri" w:eastAsia="Calibri" w:hAnsi="Calibri" w:cs="Calibri"/>
          <w:color w:val="E91E63"/>
        </w:rPr>
        <w:t>Kudla</w:t>
      </w:r>
      <w:r>
        <w:rPr>
          <w:rFonts w:ascii="Calibri" w:eastAsia="Calibri" w:hAnsi="Calibri" w:cs="Calibri"/>
          <w:color w:val="1A1A1A"/>
        </w:rPr>
        <w:t>). C’est le point le plus régulièrement testé sur cette fiche.</w:t>
      </w:r>
    </w:p>
    <w:p w14:paraId="5A2E826D"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xml:space="preserve">Les deuxième et troisième critères </w:t>
      </w:r>
      <w:r>
        <w:rPr>
          <w:rFonts w:ascii="Calibri" w:eastAsia="Calibri" w:hAnsi="Calibri" w:cs="Calibri"/>
          <w:b/>
          <w:bCs/>
          <w:i/>
          <w:iCs/>
          <w:color w:val="1A1A1A"/>
        </w:rPr>
        <w:t>Engel</w:t>
      </w:r>
      <w:r>
        <w:rPr>
          <w:rFonts w:ascii="Calibri" w:eastAsia="Calibri" w:hAnsi="Calibri" w:cs="Calibri"/>
          <w:b/>
          <w:bCs/>
          <w:color w:val="1A1A1A"/>
        </w:rPr>
        <w:t xml:space="preserve"> sont alternatifs</w:t>
      </w:r>
      <w:r>
        <w:rPr>
          <w:rFonts w:ascii="Calibri" w:eastAsia="Calibri" w:hAnsi="Calibri" w:cs="Calibri"/>
          <w:color w:val="1A1A1A"/>
        </w:rPr>
        <w:t>, non cumulatifs — la Cour peut cependant adopter une approche cumulative lorsque les critères analysés séparément ne permettent pas d’aboutir à une réponse claire (</w:t>
      </w:r>
      <w:r>
        <w:rPr>
          <w:rFonts w:ascii="Calibri" w:eastAsia="Calibri" w:hAnsi="Calibri" w:cs="Calibri"/>
          <w:color w:val="E91E63"/>
        </w:rPr>
        <w:t>Bendenoun c. France</w:t>
      </w:r>
      <w:r>
        <w:rPr>
          <w:rFonts w:ascii="Calibri" w:eastAsia="Calibri" w:hAnsi="Calibri" w:cs="Calibri"/>
          <w:color w:val="1A1A1A"/>
        </w:rPr>
        <w:t>).</w:t>
      </w:r>
    </w:p>
    <w:p w14:paraId="454E6744" w14:textId="77777777" w:rsidR="00520D98" w:rsidRDefault="00000000">
      <w:r>
        <w:br w:type="page"/>
      </w:r>
    </w:p>
    <w:p w14:paraId="6BDC631C" w14:textId="77777777" w:rsidR="00520D98" w:rsidRDefault="00000000">
      <w:pPr>
        <w:pStyle w:val="Titre2"/>
        <w:spacing w:before="280" w:after="120"/>
      </w:pPr>
      <w:r>
        <w:rPr>
          <w:rFonts w:ascii="Calibri" w:eastAsia="Calibri" w:hAnsi="Calibri" w:cs="Calibri"/>
          <w:b/>
          <w:bCs/>
          <w:color w:val="1A1A1A"/>
          <w:sz w:val="24"/>
          <w:szCs w:val="24"/>
        </w:rPr>
        <w:lastRenderedPageBreak/>
        <w:t>1. Architecture textuelle</w:t>
      </w:r>
    </w:p>
    <w:p w14:paraId="00D306FC" w14:textId="77777777" w:rsidR="00520D98" w:rsidRDefault="00000000">
      <w:pPr>
        <w:pStyle w:val="Paragraphedeliste"/>
        <w:numPr>
          <w:ilvl w:val="0"/>
          <w:numId w:val="2"/>
        </w:numPr>
        <w:spacing w:after="70" w:line="264" w:lineRule="auto"/>
        <w:jc w:val="both"/>
      </w:pPr>
      <w:r>
        <w:rPr>
          <w:rFonts w:ascii="Calibri" w:eastAsia="Calibri" w:hAnsi="Calibri" w:cs="Calibri"/>
          <w:color w:val="1E88E5"/>
        </w:rPr>
        <w:t>Art. 64 de la Constitution</w:t>
      </w:r>
      <w:r>
        <w:rPr>
          <w:rFonts w:ascii="Calibri" w:eastAsia="Calibri" w:hAnsi="Calibri" w:cs="Calibri"/>
          <w:color w:val="1A1A1A"/>
        </w:rPr>
        <w:t xml:space="preserve"> ; </w:t>
      </w:r>
      <w:r>
        <w:rPr>
          <w:rFonts w:ascii="Calibri" w:eastAsia="Calibri" w:hAnsi="Calibri" w:cs="Calibri"/>
          <w:color w:val="1E88E5"/>
        </w:rPr>
        <w:t>art. 16 DDHC</w:t>
      </w:r>
      <w:r>
        <w:rPr>
          <w:rFonts w:ascii="Calibri" w:eastAsia="Calibri" w:hAnsi="Calibri" w:cs="Calibri"/>
          <w:color w:val="1A1A1A"/>
        </w:rPr>
        <w:t xml:space="preserve"> ; </w:t>
      </w:r>
      <w:r>
        <w:rPr>
          <w:rFonts w:ascii="Calibri" w:eastAsia="Calibri" w:hAnsi="Calibri" w:cs="Calibri"/>
          <w:color w:val="1E88E5"/>
        </w:rPr>
        <w:t>art. 6 et 13 CEDH</w:t>
      </w:r>
      <w:r>
        <w:rPr>
          <w:rFonts w:ascii="Calibri" w:eastAsia="Calibri" w:hAnsi="Calibri" w:cs="Calibri"/>
          <w:color w:val="1A1A1A"/>
        </w:rPr>
        <w:t xml:space="preserve"> ; </w:t>
      </w:r>
      <w:r>
        <w:rPr>
          <w:rFonts w:ascii="Calibri" w:eastAsia="Calibri" w:hAnsi="Calibri" w:cs="Calibri"/>
          <w:color w:val="1E88E5"/>
        </w:rPr>
        <w:t>art. 14 PIDCP</w:t>
      </w:r>
      <w:r>
        <w:rPr>
          <w:rFonts w:ascii="Calibri" w:eastAsia="Calibri" w:hAnsi="Calibri" w:cs="Calibri"/>
          <w:color w:val="1A1A1A"/>
        </w:rPr>
        <w:t xml:space="preserve"> (égalité devant la justice) ; </w:t>
      </w:r>
      <w:r>
        <w:rPr>
          <w:rFonts w:ascii="Calibri" w:eastAsia="Calibri" w:hAnsi="Calibri" w:cs="Calibri"/>
          <w:color w:val="1E88E5"/>
        </w:rPr>
        <w:t>art. 47 de la Charte des droits fondamentaux</w:t>
      </w:r>
      <w:r>
        <w:rPr>
          <w:rFonts w:ascii="Calibri" w:eastAsia="Calibri" w:hAnsi="Calibri" w:cs="Calibri"/>
          <w:color w:val="1A1A1A"/>
        </w:rPr>
        <w:t xml:space="preserve"> ; </w:t>
      </w:r>
      <w:r>
        <w:rPr>
          <w:rFonts w:ascii="Calibri" w:eastAsia="Calibri" w:hAnsi="Calibri" w:cs="Calibri"/>
          <w:color w:val="1E88E5"/>
        </w:rPr>
        <w:t>art. 15 et 16 du Code de procédure civile</w:t>
      </w:r>
      <w:r>
        <w:rPr>
          <w:rFonts w:ascii="Calibri" w:eastAsia="Calibri" w:hAnsi="Calibri" w:cs="Calibri"/>
          <w:color w:val="1A1A1A"/>
        </w:rPr>
        <w:t xml:space="preserve"> ; </w:t>
      </w:r>
      <w:r>
        <w:rPr>
          <w:rFonts w:ascii="Calibri" w:eastAsia="Calibri" w:hAnsi="Calibri" w:cs="Calibri"/>
          <w:color w:val="1E88E5"/>
        </w:rPr>
        <w:t>art. L. 521-1 CJA</w:t>
      </w:r>
      <w:r>
        <w:rPr>
          <w:rFonts w:ascii="Calibri" w:eastAsia="Calibri" w:hAnsi="Calibri" w:cs="Calibri"/>
          <w:color w:val="1A1A1A"/>
        </w:rPr>
        <w:t xml:space="preserve"> ; </w:t>
      </w:r>
      <w:r>
        <w:rPr>
          <w:rFonts w:ascii="Calibri" w:eastAsia="Calibri" w:hAnsi="Calibri" w:cs="Calibri"/>
          <w:color w:val="1E88E5"/>
        </w:rPr>
        <w:t>art. 8 DUDH</w:t>
      </w:r>
      <w:r>
        <w:rPr>
          <w:rFonts w:ascii="Calibri" w:eastAsia="Calibri" w:hAnsi="Calibri" w:cs="Calibri"/>
          <w:color w:val="1A1A1A"/>
        </w:rPr>
        <w:t xml:space="preserve"> (recours effectif) et </w:t>
      </w:r>
      <w:r>
        <w:rPr>
          <w:rFonts w:ascii="Calibri" w:eastAsia="Calibri" w:hAnsi="Calibri" w:cs="Calibri"/>
          <w:color w:val="1E88E5"/>
        </w:rPr>
        <w:t>art. 10 DUDH</w:t>
      </w:r>
      <w:r>
        <w:rPr>
          <w:rFonts w:ascii="Calibri" w:eastAsia="Calibri" w:hAnsi="Calibri" w:cs="Calibri"/>
          <w:color w:val="1A1A1A"/>
        </w:rPr>
        <w:t xml:space="preserve"> (procès équitable) ; </w:t>
      </w:r>
      <w:r>
        <w:rPr>
          <w:rFonts w:ascii="Calibri" w:eastAsia="Calibri" w:hAnsi="Calibri" w:cs="Calibri"/>
          <w:color w:val="1E88E5"/>
        </w:rPr>
        <w:t>art. 2 du Protocole n° 7</w:t>
      </w:r>
      <w:r>
        <w:rPr>
          <w:rFonts w:ascii="Calibri" w:eastAsia="Calibri" w:hAnsi="Calibri" w:cs="Calibri"/>
          <w:color w:val="1A1A1A"/>
        </w:rPr>
        <w:t xml:space="preserve"> (double degré en matière pénale).</w:t>
      </w:r>
    </w:p>
    <w:p w14:paraId="3ABFB4E8"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En droit interne, l’</w:t>
      </w:r>
      <w:r>
        <w:rPr>
          <w:rFonts w:ascii="Calibri" w:eastAsia="Calibri" w:hAnsi="Calibri" w:cs="Calibri"/>
          <w:b/>
          <w:bCs/>
          <w:color w:val="1E88E5"/>
        </w:rPr>
        <w:t>art. 16 DDHC</w:t>
      </w:r>
      <w:r>
        <w:rPr>
          <w:rFonts w:ascii="Calibri" w:eastAsia="Calibri" w:hAnsi="Calibri" w:cs="Calibri"/>
          <w:b/>
          <w:bCs/>
          <w:color w:val="1A1A1A"/>
        </w:rPr>
        <w:t xml:space="preserve"> ne mentionne pas expressément ces droits</w:t>
      </w:r>
      <w:r>
        <w:rPr>
          <w:rFonts w:ascii="Calibri" w:eastAsia="Calibri" w:hAnsi="Calibri" w:cs="Calibri"/>
          <w:color w:val="1A1A1A"/>
        </w:rPr>
        <w:t xml:space="preserve"> : c’est le Conseil constitutionnel qui en donne une lecture extensive — « </w:t>
      </w:r>
      <w:r>
        <w:rPr>
          <w:rFonts w:ascii="Calibri" w:eastAsia="Calibri" w:hAnsi="Calibri" w:cs="Calibri"/>
          <w:i/>
          <w:iCs/>
          <w:color w:val="1A1A1A"/>
        </w:rPr>
        <w:t>Qu’aux termes de l’article 16 de la Déclaration de 1789 : “Toute société dans laquelle la garantie des droits n’est pas assurée, ni la séparation des pouvoirs déterminée, n’a point de Constitution” ; que sont garantis par cette disposition le droit des personnes intéressées à exercer un recours juridictionnel effectif, le droit à un procès équitable, ainsi que les droits de la défense lorsqu’est en cause une sanction ayant le caractère d’une punition</w:t>
      </w:r>
      <w:r>
        <w:rPr>
          <w:rFonts w:ascii="Calibri" w:eastAsia="Calibri" w:hAnsi="Calibri" w:cs="Calibri"/>
          <w:color w:val="1A1A1A"/>
        </w:rPr>
        <w:t xml:space="preserve"> » (</w:t>
      </w:r>
      <w:r>
        <w:rPr>
          <w:rFonts w:ascii="Calibri" w:eastAsia="Calibri" w:hAnsi="Calibri" w:cs="Calibri"/>
          <w:color w:val="E91E63"/>
        </w:rPr>
        <w:t>Cons. const., déc. n° 2006-540 DC, 27 juillet 2006, Loi relative au droit d’auteur et aux droits voisins dans la société de l’information</w:t>
      </w:r>
      <w:r>
        <w:rPr>
          <w:rFonts w:ascii="Calibri" w:eastAsia="Calibri" w:hAnsi="Calibri" w:cs="Calibri"/>
          <w:color w:val="1A1A1A"/>
        </w:rPr>
        <w:t>).</w:t>
      </w:r>
    </w:p>
    <w:p w14:paraId="678C0D6F" w14:textId="77777777" w:rsidR="00520D98" w:rsidRDefault="00000000">
      <w:pPr>
        <w:pStyle w:val="Titre2"/>
        <w:spacing w:before="280" w:after="120"/>
      </w:pPr>
      <w:r>
        <w:rPr>
          <w:rFonts w:ascii="Calibri" w:eastAsia="Calibri" w:hAnsi="Calibri" w:cs="Calibri"/>
          <w:b/>
          <w:bCs/>
          <w:color w:val="1A1A1A"/>
          <w:sz w:val="24"/>
          <w:szCs w:val="24"/>
        </w:rPr>
        <w:t>2. Le droit à un recours effectif</w:t>
      </w:r>
    </w:p>
    <w:p w14:paraId="02EC48E0"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Objet</w:t>
      </w:r>
      <w:r>
        <w:rPr>
          <w:rFonts w:ascii="Calibri" w:eastAsia="Calibri" w:hAnsi="Calibri" w:cs="Calibri"/>
          <w:color w:val="1A1A1A"/>
        </w:rPr>
        <w:t xml:space="preserve"> : « </w:t>
      </w:r>
      <w:r>
        <w:rPr>
          <w:rFonts w:ascii="Calibri" w:eastAsia="Calibri" w:hAnsi="Calibri" w:cs="Calibri"/>
          <w:i/>
          <w:iCs/>
          <w:color w:val="1A1A1A"/>
        </w:rPr>
        <w:t>fournir un moyen au travers duquel les justiciables puissent obtenir, au niveau national, le redressement des violations de leurs droits garantis par la Convention, avant d’avoir à mettre en œuvre le mécanisme international de plainte devant la Cour</w:t>
      </w:r>
      <w:r>
        <w:rPr>
          <w:rFonts w:ascii="Calibri" w:eastAsia="Calibri" w:hAnsi="Calibri" w:cs="Calibri"/>
          <w:color w:val="1A1A1A"/>
        </w:rPr>
        <w:t xml:space="preserve"> » (</w:t>
      </w:r>
      <w:r>
        <w:rPr>
          <w:rFonts w:ascii="Calibri" w:eastAsia="Calibri" w:hAnsi="Calibri" w:cs="Calibri"/>
          <w:color w:val="E91E63"/>
        </w:rPr>
        <w:t>Kudla</w:t>
      </w:r>
      <w:r>
        <w:rPr>
          <w:rFonts w:ascii="Calibri" w:eastAsia="Calibri" w:hAnsi="Calibri" w:cs="Calibri"/>
          <w:color w:val="1A1A1A"/>
        </w:rPr>
        <w:t>). Le droit est en harmonie avec les conditions de recevabilité de l’</w:t>
      </w:r>
      <w:r>
        <w:rPr>
          <w:rFonts w:ascii="Calibri" w:eastAsia="Calibri" w:hAnsi="Calibri" w:cs="Calibri"/>
          <w:color w:val="1E88E5"/>
        </w:rPr>
        <w:t>art. 35</w:t>
      </w:r>
      <w:r>
        <w:rPr>
          <w:rFonts w:ascii="Calibri" w:eastAsia="Calibri" w:hAnsi="Calibri" w:cs="Calibri"/>
          <w:color w:val="1A1A1A"/>
        </w:rPr>
        <w:t>. Il est également protégé par l’</w:t>
      </w:r>
      <w:r>
        <w:rPr>
          <w:rFonts w:ascii="Calibri" w:eastAsia="Calibri" w:hAnsi="Calibri" w:cs="Calibri"/>
          <w:color w:val="1E88E5"/>
        </w:rPr>
        <w:t>art. 47 de la Charte</w:t>
      </w:r>
      <w:r>
        <w:rPr>
          <w:rFonts w:ascii="Calibri" w:eastAsia="Calibri" w:hAnsi="Calibri" w:cs="Calibri"/>
          <w:color w:val="1A1A1A"/>
        </w:rPr>
        <w:t xml:space="preserve"> et reconnu comme principe général du droit par la Cour de justice (</w:t>
      </w:r>
      <w:r>
        <w:rPr>
          <w:rFonts w:ascii="Calibri" w:eastAsia="Calibri" w:hAnsi="Calibri" w:cs="Calibri"/>
          <w:color w:val="E91E63"/>
        </w:rPr>
        <w:t>CJUE, 15 mai 1986, Johnston c. Chief Constable of the Royal Ulster Constabulary, aff. 222/84</w:t>
      </w:r>
      <w:r>
        <w:rPr>
          <w:rFonts w:ascii="Calibri" w:eastAsia="Calibri" w:hAnsi="Calibri" w:cs="Calibri"/>
          <w:color w:val="1A1A1A"/>
        </w:rPr>
        <w:t>).</w:t>
      </w:r>
    </w:p>
    <w:p w14:paraId="552429A9" w14:textId="77777777" w:rsidR="00412939" w:rsidRPr="00412939" w:rsidRDefault="00000000">
      <w:pPr>
        <w:pStyle w:val="Paragraphedeliste"/>
        <w:numPr>
          <w:ilvl w:val="0"/>
          <w:numId w:val="2"/>
        </w:numPr>
        <w:spacing w:after="70" w:line="264" w:lineRule="auto"/>
        <w:jc w:val="both"/>
      </w:pPr>
      <w:r w:rsidRPr="00412939">
        <w:rPr>
          <w:rFonts w:ascii="Calibri" w:eastAsia="Calibri" w:hAnsi="Calibri" w:cs="Calibri"/>
          <w:b/>
          <w:bCs/>
          <w:color w:val="1A1A1A"/>
          <w:highlight w:val="yellow"/>
        </w:rPr>
        <w:t>Trois conditions d’applicabilité</w:t>
      </w:r>
      <w:r>
        <w:rPr>
          <w:rFonts w:ascii="Calibri" w:eastAsia="Calibri" w:hAnsi="Calibri" w:cs="Calibri"/>
          <w:color w:val="1A1A1A"/>
        </w:rPr>
        <w:t xml:space="preserve"> : </w:t>
      </w:r>
    </w:p>
    <w:p w14:paraId="139B26FC" w14:textId="77777777" w:rsidR="00412939" w:rsidRDefault="00000000" w:rsidP="00412939">
      <w:pPr>
        <w:pStyle w:val="Paragraphedeliste"/>
        <w:spacing w:after="70" w:line="264" w:lineRule="auto"/>
        <w:ind w:left="340"/>
        <w:jc w:val="both"/>
        <w:rPr>
          <w:rFonts w:ascii="Calibri" w:eastAsia="Calibri" w:hAnsi="Calibri" w:cs="Calibri"/>
          <w:color w:val="1A1A1A"/>
        </w:rPr>
      </w:pPr>
      <w:r>
        <w:rPr>
          <w:rFonts w:ascii="Calibri" w:eastAsia="Calibri" w:hAnsi="Calibri" w:cs="Calibri"/>
          <w:color w:val="1A1A1A"/>
        </w:rPr>
        <w:t xml:space="preserve">(i) l’existence d’un </w:t>
      </w:r>
      <w:r>
        <w:rPr>
          <w:rFonts w:ascii="Calibri" w:eastAsia="Calibri" w:hAnsi="Calibri" w:cs="Calibri"/>
          <w:b/>
          <w:bCs/>
          <w:color w:val="1A1A1A"/>
        </w:rPr>
        <w:t>grief défendable</w:t>
      </w:r>
      <w:r>
        <w:rPr>
          <w:rFonts w:ascii="Calibri" w:eastAsia="Calibri" w:hAnsi="Calibri" w:cs="Calibri"/>
          <w:color w:val="1A1A1A"/>
        </w:rPr>
        <w:t xml:space="preserve"> au sens de la </w:t>
      </w:r>
      <w:r w:rsidRPr="00412939">
        <w:rPr>
          <w:rFonts w:ascii="Calibri" w:eastAsia="Calibri" w:hAnsi="Calibri" w:cs="Calibri"/>
          <w:color w:val="000000" w:themeColor="text1"/>
        </w:rPr>
        <w:t xml:space="preserve">Convention, </w:t>
      </w:r>
      <w:r w:rsidRPr="00412939">
        <w:rPr>
          <w:rFonts w:ascii="Calibri" w:eastAsia="Calibri" w:hAnsi="Calibri" w:cs="Calibri"/>
          <w:b/>
          <w:bCs/>
          <w:color w:val="EE0000"/>
        </w:rPr>
        <w:t>excluant</w:t>
      </w:r>
      <w:r w:rsidRPr="00412939">
        <w:rPr>
          <w:rFonts w:ascii="Calibri" w:eastAsia="Calibri" w:hAnsi="Calibri" w:cs="Calibri"/>
          <w:color w:val="EE0000"/>
        </w:rPr>
        <w:t xml:space="preserve"> toute « vengeance privée » ou grief non fondé sur un droit reconnu</w:t>
      </w:r>
      <w:r>
        <w:rPr>
          <w:rFonts w:ascii="Calibri" w:eastAsia="Calibri" w:hAnsi="Calibri" w:cs="Calibri"/>
          <w:color w:val="1A1A1A"/>
        </w:rPr>
        <w:t xml:space="preserve"> (</w:t>
      </w:r>
      <w:r>
        <w:rPr>
          <w:rFonts w:ascii="Calibri" w:eastAsia="Calibri" w:hAnsi="Calibri" w:cs="Calibri"/>
          <w:color w:val="E91E63"/>
        </w:rPr>
        <w:t>CEDH, GC, 30 novembre 2004, Öneryıldız c. Turquie, n° 48939/99</w:t>
      </w:r>
      <w:r>
        <w:rPr>
          <w:rFonts w:ascii="Calibri" w:eastAsia="Calibri" w:hAnsi="Calibri" w:cs="Calibri"/>
          <w:color w:val="1A1A1A"/>
        </w:rPr>
        <w:t xml:space="preserve">) ; </w:t>
      </w:r>
    </w:p>
    <w:p w14:paraId="18580E46" w14:textId="77777777" w:rsidR="00412939" w:rsidRDefault="00000000" w:rsidP="00412939">
      <w:pPr>
        <w:pStyle w:val="Paragraphedeliste"/>
        <w:spacing w:after="70" w:line="264" w:lineRule="auto"/>
        <w:ind w:left="340"/>
        <w:jc w:val="both"/>
        <w:rPr>
          <w:rFonts w:ascii="Calibri" w:eastAsia="Calibri" w:hAnsi="Calibri" w:cs="Calibri"/>
          <w:color w:val="1A1A1A"/>
        </w:rPr>
      </w:pPr>
      <w:r>
        <w:rPr>
          <w:rFonts w:ascii="Calibri" w:eastAsia="Calibri" w:hAnsi="Calibri" w:cs="Calibri"/>
          <w:color w:val="1A1A1A"/>
        </w:rPr>
        <w:t xml:space="preserve">(ii) la nécessité de disposer d’un </w:t>
      </w:r>
      <w:r>
        <w:rPr>
          <w:rFonts w:ascii="Calibri" w:eastAsia="Calibri" w:hAnsi="Calibri" w:cs="Calibri"/>
          <w:b/>
          <w:bCs/>
          <w:color w:val="1A1A1A"/>
        </w:rPr>
        <w:t>recours en droit interne</w:t>
      </w:r>
      <w:r>
        <w:rPr>
          <w:rFonts w:ascii="Calibri" w:eastAsia="Calibri" w:hAnsi="Calibri" w:cs="Calibri"/>
          <w:color w:val="1A1A1A"/>
        </w:rPr>
        <w:t xml:space="preserve">, juridictionnel ou non juridictionnel ; </w:t>
      </w:r>
    </w:p>
    <w:p w14:paraId="3DB45BEB" w14:textId="7EF1ABC8" w:rsidR="00520D98" w:rsidRDefault="00000000" w:rsidP="00412939">
      <w:pPr>
        <w:pStyle w:val="Paragraphedeliste"/>
        <w:spacing w:after="70" w:line="264" w:lineRule="auto"/>
        <w:ind w:left="340"/>
        <w:jc w:val="both"/>
      </w:pPr>
      <w:r>
        <w:rPr>
          <w:rFonts w:ascii="Calibri" w:eastAsia="Calibri" w:hAnsi="Calibri" w:cs="Calibri"/>
          <w:color w:val="1A1A1A"/>
        </w:rPr>
        <w:t xml:space="preserve">(iii) le caractère </w:t>
      </w:r>
      <w:r>
        <w:rPr>
          <w:rFonts w:ascii="Calibri" w:eastAsia="Calibri" w:hAnsi="Calibri" w:cs="Calibri"/>
          <w:b/>
          <w:bCs/>
          <w:color w:val="1A1A1A"/>
        </w:rPr>
        <w:t>effectif</w:t>
      </w:r>
      <w:r>
        <w:rPr>
          <w:rFonts w:ascii="Calibri" w:eastAsia="Calibri" w:hAnsi="Calibri" w:cs="Calibri"/>
          <w:color w:val="1A1A1A"/>
        </w:rPr>
        <w:t xml:space="preserve"> du recours, c’est-à-dire apte à se prononcer sur le grief, à redresser le tort et à octroyer une réparation adéquate. L’effectivité s’apprécie </w:t>
      </w:r>
      <w:r>
        <w:rPr>
          <w:rFonts w:ascii="Calibri" w:eastAsia="Calibri" w:hAnsi="Calibri" w:cs="Calibri"/>
          <w:i/>
          <w:iCs/>
          <w:color w:val="1A1A1A"/>
        </w:rPr>
        <w:t>in concreto</w:t>
      </w:r>
      <w:r>
        <w:rPr>
          <w:rFonts w:ascii="Calibri" w:eastAsia="Calibri" w:hAnsi="Calibri" w:cs="Calibri"/>
          <w:color w:val="1A1A1A"/>
        </w:rPr>
        <w:t xml:space="preserve"> et peut nécessiter de s’intéresser aux critères de l’</w:t>
      </w:r>
      <w:r>
        <w:rPr>
          <w:rFonts w:ascii="Calibri" w:eastAsia="Calibri" w:hAnsi="Calibri" w:cs="Calibri"/>
          <w:color w:val="1E88E5"/>
        </w:rPr>
        <w:t>art. 6</w:t>
      </w:r>
      <w:r>
        <w:rPr>
          <w:rFonts w:ascii="Calibri" w:eastAsia="Calibri" w:hAnsi="Calibri" w:cs="Calibri"/>
          <w:color w:val="1A1A1A"/>
        </w:rPr>
        <w:t>, particulièrement l’accessibilité et la célérité.</w:t>
      </w:r>
    </w:p>
    <w:p w14:paraId="4B371619"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Illustrations internes</w:t>
      </w:r>
      <w:r>
        <w:rPr>
          <w:rFonts w:ascii="Calibri" w:eastAsia="Calibri" w:hAnsi="Calibri" w:cs="Calibri"/>
          <w:color w:val="1A1A1A"/>
        </w:rPr>
        <w:t xml:space="preserve"> : développement des </w:t>
      </w:r>
      <w:r>
        <w:rPr>
          <w:rFonts w:ascii="Calibri" w:eastAsia="Calibri" w:hAnsi="Calibri" w:cs="Calibri"/>
          <w:b/>
          <w:bCs/>
          <w:color w:val="1A1A1A"/>
        </w:rPr>
        <w:t>procédures en référé</w:t>
      </w:r>
      <w:r>
        <w:rPr>
          <w:rFonts w:ascii="Calibri" w:eastAsia="Calibri" w:hAnsi="Calibri" w:cs="Calibri"/>
          <w:color w:val="1A1A1A"/>
        </w:rPr>
        <w:t xml:space="preserve"> (</w:t>
      </w:r>
      <w:r>
        <w:rPr>
          <w:rFonts w:ascii="Calibri" w:eastAsia="Calibri" w:hAnsi="Calibri" w:cs="Calibri"/>
          <w:color w:val="1E88E5"/>
        </w:rPr>
        <w:t>art. L. 521-1 CJA</w:t>
      </w:r>
      <w:r>
        <w:rPr>
          <w:rFonts w:ascii="Calibri" w:eastAsia="Calibri" w:hAnsi="Calibri" w:cs="Calibri"/>
          <w:color w:val="1A1A1A"/>
        </w:rPr>
        <w:t>) ; extension du droit de recours à certains actes, tels les circulaires comportant une interprétation impérative à caractère général (</w:t>
      </w:r>
      <w:r>
        <w:rPr>
          <w:rFonts w:ascii="Calibri" w:eastAsia="Calibri" w:hAnsi="Calibri" w:cs="Calibri"/>
          <w:color w:val="E91E63"/>
        </w:rPr>
        <w:t>CE, sect., 18 décembre 2002, Duvignères, n° 233618</w:t>
      </w:r>
      <w:r>
        <w:rPr>
          <w:rFonts w:ascii="Calibri" w:eastAsia="Calibri" w:hAnsi="Calibri" w:cs="Calibri"/>
          <w:color w:val="1A1A1A"/>
        </w:rPr>
        <w:t>) et les documents de portée générale à effet notable (</w:t>
      </w:r>
      <w:r>
        <w:rPr>
          <w:rFonts w:ascii="Calibri" w:eastAsia="Calibri" w:hAnsi="Calibri" w:cs="Calibri"/>
          <w:color w:val="E91E63"/>
        </w:rPr>
        <w:t>CE, 12 juin 2020, GISTI, n° 418142</w:t>
      </w:r>
      <w:r>
        <w:rPr>
          <w:rFonts w:ascii="Calibri" w:eastAsia="Calibri" w:hAnsi="Calibri" w:cs="Calibri"/>
          <w:color w:val="1A1A1A"/>
        </w:rPr>
        <w:t xml:space="preserve">) — voir </w:t>
      </w:r>
      <w:r>
        <w:rPr>
          <w:rFonts w:ascii="Calibri" w:eastAsia="Calibri" w:hAnsi="Calibri" w:cs="Calibri"/>
          <w:color w:val="2E7D32"/>
        </w:rPr>
        <w:t>Xavier Domino, « Droit au recours et équité du procès devant la justice administrative aujourd’hui », Les nouveaux cahiers du droit constitutionnel, n° 44, 2014</w:t>
      </w:r>
      <w:r>
        <w:rPr>
          <w:rFonts w:ascii="Calibri" w:eastAsia="Calibri" w:hAnsi="Calibri" w:cs="Calibri"/>
          <w:color w:val="1A1A1A"/>
        </w:rPr>
        <w:t>. Dans le cadre particulier des problèmes structurels de l’État français au regard de la surpopulation carcérale, le Conseil d’État a considéré que les recours par référés devaient être considérés comme des recours effectifs au sens de l’</w:t>
      </w:r>
      <w:r>
        <w:rPr>
          <w:rFonts w:ascii="Calibri" w:eastAsia="Calibri" w:hAnsi="Calibri" w:cs="Calibri"/>
          <w:color w:val="1E88E5"/>
        </w:rPr>
        <w:t>art. 13</w:t>
      </w:r>
      <w:r>
        <w:rPr>
          <w:rFonts w:ascii="Calibri" w:eastAsia="Calibri" w:hAnsi="Calibri" w:cs="Calibri"/>
          <w:color w:val="1A1A1A"/>
        </w:rPr>
        <w:t xml:space="preserve"> (</w:t>
      </w:r>
      <w:r>
        <w:rPr>
          <w:rFonts w:ascii="Calibri" w:eastAsia="Calibri" w:hAnsi="Calibri" w:cs="Calibri"/>
          <w:color w:val="E91E63"/>
        </w:rPr>
        <w:t>CE, SSR, 28 décembre 2012, Théron, n° 357494</w:t>
      </w:r>
      <w:r>
        <w:rPr>
          <w:rFonts w:ascii="Calibri" w:eastAsia="Calibri" w:hAnsi="Calibri" w:cs="Calibri"/>
          <w:color w:val="1A1A1A"/>
        </w:rPr>
        <w:t xml:space="preserve">) — position que la Cour européenne a précisément écartée dans </w:t>
      </w:r>
      <w:r>
        <w:rPr>
          <w:rFonts w:ascii="Calibri" w:eastAsia="Calibri" w:hAnsi="Calibri" w:cs="Calibri"/>
          <w:color w:val="E91E63"/>
        </w:rPr>
        <w:t>J.M.B.</w:t>
      </w:r>
      <w:r>
        <w:rPr>
          <w:rFonts w:ascii="Calibri" w:eastAsia="Calibri" w:hAnsi="Calibri" w:cs="Calibri"/>
          <w:color w:val="1A1A1A"/>
        </w:rPr>
        <w:t xml:space="preserve"> (voir fiche n° 28).</w:t>
      </w:r>
    </w:p>
    <w:p w14:paraId="1B5791C1" w14:textId="77777777" w:rsidR="00520D98" w:rsidRDefault="00000000">
      <w:pPr>
        <w:pStyle w:val="Titre2"/>
        <w:spacing w:before="280" w:after="120"/>
      </w:pPr>
      <w:r>
        <w:rPr>
          <w:rFonts w:ascii="Calibri" w:eastAsia="Calibri" w:hAnsi="Calibri" w:cs="Calibri"/>
          <w:b/>
          <w:bCs/>
          <w:color w:val="1A1A1A"/>
          <w:sz w:val="24"/>
          <w:szCs w:val="24"/>
        </w:rPr>
        <w:t>3. Le champ d’application du droit à un procès équitable</w:t>
      </w:r>
    </w:p>
    <w:p w14:paraId="097F5655" w14:textId="77777777" w:rsidR="00520D98" w:rsidRDefault="00000000">
      <w:pPr>
        <w:pStyle w:val="Titre3"/>
        <w:spacing w:before="200" w:after="90"/>
      </w:pPr>
      <w:r>
        <w:rPr>
          <w:rFonts w:ascii="Calibri" w:eastAsia="Calibri" w:hAnsi="Calibri" w:cs="Calibri"/>
          <w:b/>
          <w:bCs/>
          <w:i/>
          <w:iCs/>
          <w:color w:val="5A5A5A"/>
          <w:sz w:val="21"/>
          <w:szCs w:val="21"/>
        </w:rPr>
        <w:t>3.1. Le volet civil</w:t>
      </w:r>
    </w:p>
    <w:p w14:paraId="63BEFA21" w14:textId="77777777" w:rsidR="00E17165" w:rsidRPr="00E17165" w:rsidRDefault="00000000">
      <w:pPr>
        <w:pStyle w:val="Paragraphedeliste"/>
        <w:numPr>
          <w:ilvl w:val="0"/>
          <w:numId w:val="2"/>
        </w:numPr>
        <w:spacing w:after="70" w:line="264" w:lineRule="auto"/>
        <w:jc w:val="both"/>
      </w:pPr>
      <w:r w:rsidRPr="00E17165">
        <w:rPr>
          <w:rFonts w:ascii="Calibri" w:eastAsia="Calibri" w:hAnsi="Calibri" w:cs="Calibri"/>
          <w:b/>
          <w:bCs/>
          <w:color w:val="1A1A1A"/>
          <w:highlight w:val="yellow"/>
        </w:rPr>
        <w:t>Trois critères d’applicabilité</w:t>
      </w:r>
      <w:r>
        <w:rPr>
          <w:rFonts w:ascii="Calibri" w:eastAsia="Calibri" w:hAnsi="Calibri" w:cs="Calibri"/>
          <w:color w:val="1A1A1A"/>
        </w:rPr>
        <w:t xml:space="preserve"> : </w:t>
      </w:r>
    </w:p>
    <w:p w14:paraId="63539668" w14:textId="77777777" w:rsidR="00E17165" w:rsidRPr="00E17165" w:rsidRDefault="00000000" w:rsidP="00E17165">
      <w:pPr>
        <w:pStyle w:val="Paragraphedeliste"/>
        <w:numPr>
          <w:ilvl w:val="0"/>
          <w:numId w:val="3"/>
        </w:numPr>
        <w:spacing w:after="70" w:line="264" w:lineRule="auto"/>
        <w:jc w:val="both"/>
      </w:pPr>
      <w:r>
        <w:rPr>
          <w:rFonts w:ascii="Calibri" w:eastAsia="Calibri" w:hAnsi="Calibri" w:cs="Calibri"/>
          <w:color w:val="1A1A1A"/>
        </w:rPr>
        <w:t xml:space="preserve">il doit s’agir d’une </w:t>
      </w:r>
      <w:r>
        <w:rPr>
          <w:rFonts w:ascii="Calibri" w:eastAsia="Calibri" w:hAnsi="Calibri" w:cs="Calibri"/>
          <w:b/>
          <w:bCs/>
          <w:color w:val="1A1A1A"/>
        </w:rPr>
        <w:t>contestation réelle et sérieuse</w:t>
      </w:r>
      <w:r>
        <w:rPr>
          <w:rFonts w:ascii="Calibri" w:eastAsia="Calibri" w:hAnsi="Calibri" w:cs="Calibri"/>
          <w:color w:val="1A1A1A"/>
        </w:rPr>
        <w:t xml:space="preserve"> dont l’issue est </w:t>
      </w:r>
      <w:r>
        <w:rPr>
          <w:rFonts w:ascii="Calibri" w:eastAsia="Calibri" w:hAnsi="Calibri" w:cs="Calibri"/>
          <w:b/>
          <w:bCs/>
          <w:color w:val="1A1A1A"/>
        </w:rPr>
        <w:t>directement déterminante</w:t>
      </w:r>
      <w:r>
        <w:rPr>
          <w:rFonts w:ascii="Calibri" w:eastAsia="Calibri" w:hAnsi="Calibri" w:cs="Calibri"/>
          <w:color w:val="1A1A1A"/>
        </w:rPr>
        <w:t xml:space="preserve"> pour le requérant — </w:t>
      </w:r>
      <w:r w:rsidRPr="00E17165">
        <w:rPr>
          <w:rFonts w:ascii="Calibri" w:eastAsia="Calibri" w:hAnsi="Calibri" w:cs="Calibri"/>
          <w:color w:val="EE0000"/>
        </w:rPr>
        <w:t xml:space="preserve">des répercussions trop lointaines ne suffisent pas </w:t>
      </w:r>
      <w:r>
        <w:rPr>
          <w:rFonts w:ascii="Calibri" w:eastAsia="Calibri" w:hAnsi="Calibri" w:cs="Calibri"/>
          <w:color w:val="1A1A1A"/>
        </w:rPr>
        <w:t xml:space="preserve">; </w:t>
      </w:r>
    </w:p>
    <w:p w14:paraId="43835E61" w14:textId="77777777" w:rsidR="00E17165" w:rsidRPr="00E17165" w:rsidRDefault="00000000" w:rsidP="00E17165">
      <w:pPr>
        <w:pStyle w:val="Paragraphedeliste"/>
        <w:numPr>
          <w:ilvl w:val="0"/>
          <w:numId w:val="3"/>
        </w:numPr>
        <w:spacing w:after="70" w:line="264" w:lineRule="auto"/>
        <w:jc w:val="both"/>
      </w:pPr>
      <w:r>
        <w:rPr>
          <w:rFonts w:ascii="Calibri" w:eastAsia="Calibri" w:hAnsi="Calibri" w:cs="Calibri"/>
          <w:color w:val="1A1A1A"/>
        </w:rPr>
        <w:t xml:space="preserve">portant sur un </w:t>
      </w:r>
      <w:r>
        <w:rPr>
          <w:rFonts w:ascii="Calibri" w:eastAsia="Calibri" w:hAnsi="Calibri" w:cs="Calibri"/>
          <w:b/>
          <w:bCs/>
          <w:color w:val="1A1A1A"/>
        </w:rPr>
        <w:t>droit ou une obligation reconnu de manière défendable en droit interne</w:t>
      </w:r>
      <w:r>
        <w:rPr>
          <w:rFonts w:ascii="Calibri" w:eastAsia="Calibri" w:hAnsi="Calibri" w:cs="Calibri"/>
          <w:color w:val="1A1A1A"/>
        </w:rPr>
        <w:t xml:space="preserve">, qu’il soit ou non reconnu par la Convention, et pouvant concerner l’existence d’un droit ou ses modalités d’exercice ; </w:t>
      </w:r>
    </w:p>
    <w:p w14:paraId="751FBDB6" w14:textId="0B75DBF1" w:rsidR="00520D98" w:rsidRDefault="00000000" w:rsidP="00E17165">
      <w:pPr>
        <w:pStyle w:val="Paragraphedeliste"/>
        <w:numPr>
          <w:ilvl w:val="0"/>
          <w:numId w:val="3"/>
        </w:numPr>
        <w:spacing w:after="70" w:line="264" w:lineRule="auto"/>
        <w:jc w:val="both"/>
      </w:pPr>
      <w:r>
        <w:rPr>
          <w:rFonts w:ascii="Calibri" w:eastAsia="Calibri" w:hAnsi="Calibri" w:cs="Calibri"/>
          <w:color w:val="1A1A1A"/>
        </w:rPr>
        <w:t>d</w:t>
      </w:r>
      <w:r w:rsidRPr="00E17165">
        <w:rPr>
          <w:rFonts w:ascii="Calibri" w:eastAsia="Calibri" w:hAnsi="Calibri" w:cs="Calibri"/>
          <w:color w:val="1A1A1A"/>
        </w:rPr>
        <w:t xml:space="preserve">e </w:t>
      </w:r>
      <w:r w:rsidRPr="00E17165">
        <w:rPr>
          <w:rFonts w:ascii="Calibri" w:eastAsia="Calibri" w:hAnsi="Calibri" w:cs="Calibri"/>
          <w:b/>
          <w:bCs/>
          <w:color w:val="1A1A1A"/>
        </w:rPr>
        <w:t>caractère civil</w:t>
      </w:r>
      <w:r w:rsidRPr="00E17165">
        <w:rPr>
          <w:rFonts w:ascii="Calibri" w:eastAsia="Calibri" w:hAnsi="Calibri" w:cs="Calibri"/>
          <w:color w:val="1A1A1A"/>
        </w:rPr>
        <w:t xml:space="preserve">, notion </w:t>
      </w:r>
      <w:r w:rsidRPr="00E17165">
        <w:rPr>
          <w:rFonts w:ascii="Calibri" w:eastAsia="Calibri" w:hAnsi="Calibri" w:cs="Calibri"/>
          <w:b/>
          <w:bCs/>
          <w:color w:val="1A1A1A"/>
        </w:rPr>
        <w:t>autonome</w:t>
      </w:r>
      <w:r w:rsidRPr="00E17165">
        <w:rPr>
          <w:rFonts w:ascii="Calibri" w:eastAsia="Calibri" w:hAnsi="Calibri" w:cs="Calibri"/>
          <w:color w:val="1A1A1A"/>
        </w:rPr>
        <w:t xml:space="preserve"> de la Convention, indépendante de la qualité des parties, de la nature de la loi (civile, administrative, commerciale) ou du type d’autorité.</w:t>
      </w:r>
    </w:p>
    <w:p w14:paraId="5DBDF038" w14:textId="77777777" w:rsidR="00520D98" w:rsidRPr="00E17165" w:rsidRDefault="00000000">
      <w:pPr>
        <w:pStyle w:val="Paragraphedeliste"/>
        <w:numPr>
          <w:ilvl w:val="0"/>
          <w:numId w:val="2"/>
        </w:numPr>
        <w:spacing w:after="70" w:line="264" w:lineRule="auto"/>
        <w:jc w:val="both"/>
      </w:pPr>
      <w:r>
        <w:rPr>
          <w:rFonts w:ascii="Calibri" w:eastAsia="Calibri" w:hAnsi="Calibri" w:cs="Calibri"/>
          <w:color w:val="1A1A1A"/>
        </w:rPr>
        <w:t xml:space="preserve">Ces droits doivent trouver leur </w:t>
      </w:r>
      <w:r>
        <w:rPr>
          <w:rFonts w:ascii="Calibri" w:eastAsia="Calibri" w:hAnsi="Calibri" w:cs="Calibri"/>
          <w:b/>
          <w:bCs/>
          <w:color w:val="1A1A1A"/>
        </w:rPr>
        <w:t>origine dans le droit interne</w:t>
      </w:r>
      <w:r>
        <w:rPr>
          <w:rFonts w:ascii="Calibri" w:eastAsia="Calibri" w:hAnsi="Calibri" w:cs="Calibri"/>
          <w:color w:val="1A1A1A"/>
        </w:rPr>
        <w:t xml:space="preserve"> de l’État défendeur (</w:t>
      </w:r>
      <w:r>
        <w:rPr>
          <w:rFonts w:ascii="Calibri" w:eastAsia="Calibri" w:hAnsi="Calibri" w:cs="Calibri"/>
          <w:color w:val="E91E63"/>
        </w:rPr>
        <w:t>CEDH, GC, 15 mars 2022, Grzęda c. Pologne, n° 43572/18</w:t>
      </w:r>
      <w:r>
        <w:rPr>
          <w:rFonts w:ascii="Calibri" w:eastAsia="Calibri" w:hAnsi="Calibri" w:cs="Calibri"/>
          <w:color w:val="1A1A1A"/>
        </w:rPr>
        <w:t>) : il est impossible de « créer » un droit matériel n’ayant aucune base légale dans l’État en question (</w:t>
      </w:r>
      <w:r>
        <w:rPr>
          <w:rFonts w:ascii="Calibri" w:eastAsia="Calibri" w:hAnsi="Calibri" w:cs="Calibri"/>
          <w:color w:val="E91E63"/>
        </w:rPr>
        <w:t>CEDH, GC, 3 avril 2012, Boulois c. Luxembourg, n° 37575/04</w:t>
      </w:r>
      <w:r>
        <w:rPr>
          <w:rFonts w:ascii="Calibri" w:eastAsia="Calibri" w:hAnsi="Calibri" w:cs="Calibri"/>
          <w:color w:val="1A1A1A"/>
        </w:rPr>
        <w:t xml:space="preserve">). </w:t>
      </w:r>
      <w:r w:rsidRPr="00E17165">
        <w:rPr>
          <w:rFonts w:ascii="Calibri" w:eastAsia="Calibri" w:hAnsi="Calibri" w:cs="Calibri"/>
          <w:b/>
          <w:bCs/>
          <w:color w:val="EE0000"/>
        </w:rPr>
        <w:t>Limites</w:t>
      </w:r>
      <w:r w:rsidRPr="00E17165">
        <w:rPr>
          <w:rFonts w:ascii="Calibri" w:eastAsia="Calibri" w:hAnsi="Calibri" w:cs="Calibri"/>
          <w:color w:val="EE0000"/>
        </w:rPr>
        <w:t xml:space="preserve"> : une réclamation patrimoniale ne suffit pas à déclencher l’applicabilité, de même que les questions fiscales, d’immigration ou de droits électoraux</w:t>
      </w:r>
      <w:r>
        <w:rPr>
          <w:rFonts w:ascii="Calibri" w:eastAsia="Calibri" w:hAnsi="Calibri" w:cs="Calibri"/>
          <w:color w:val="1A1A1A"/>
        </w:rPr>
        <w:t xml:space="preserve"> (</w:t>
      </w:r>
      <w:r>
        <w:rPr>
          <w:rFonts w:ascii="Calibri" w:eastAsia="Calibri" w:hAnsi="Calibri" w:cs="Calibri"/>
          <w:color w:val="E91E63"/>
        </w:rPr>
        <w:t xml:space="preserve">CE, SSR, 2 juin 1989, </w:t>
      </w:r>
      <w:proofErr w:type="spellStart"/>
      <w:r>
        <w:rPr>
          <w:rFonts w:ascii="Calibri" w:eastAsia="Calibri" w:hAnsi="Calibri" w:cs="Calibri"/>
          <w:color w:val="E91E63"/>
        </w:rPr>
        <w:t>Bussoz</w:t>
      </w:r>
      <w:proofErr w:type="spellEnd"/>
      <w:r>
        <w:rPr>
          <w:rFonts w:ascii="Calibri" w:eastAsia="Calibri" w:hAnsi="Calibri" w:cs="Calibri"/>
          <w:color w:val="E91E63"/>
        </w:rPr>
        <w:t>, n° 62979</w:t>
      </w:r>
      <w:r>
        <w:rPr>
          <w:rFonts w:ascii="Calibri" w:eastAsia="Calibri" w:hAnsi="Calibri" w:cs="Calibri"/>
          <w:color w:val="1A1A1A"/>
        </w:rPr>
        <w:t>).</w:t>
      </w:r>
    </w:p>
    <w:p w14:paraId="240C03C7" w14:textId="77777777" w:rsidR="00E17165" w:rsidRDefault="00E17165" w:rsidP="00E17165">
      <w:pPr>
        <w:pStyle w:val="Paragraphedeliste"/>
        <w:spacing w:after="70" w:line="264" w:lineRule="auto"/>
        <w:ind w:left="340"/>
        <w:jc w:val="both"/>
      </w:pPr>
    </w:p>
    <w:p w14:paraId="5AB56CFC" w14:textId="77777777" w:rsidR="00520D98" w:rsidRDefault="00000000">
      <w:pPr>
        <w:pStyle w:val="Titre3"/>
        <w:spacing w:before="200" w:after="90"/>
      </w:pPr>
      <w:r>
        <w:rPr>
          <w:rFonts w:ascii="Calibri" w:eastAsia="Calibri" w:hAnsi="Calibri" w:cs="Calibri"/>
          <w:b/>
          <w:bCs/>
          <w:i/>
          <w:iCs/>
          <w:color w:val="5A5A5A"/>
          <w:sz w:val="21"/>
          <w:szCs w:val="21"/>
        </w:rPr>
        <w:lastRenderedPageBreak/>
        <w:t>3.2. Le volet pénal</w:t>
      </w:r>
    </w:p>
    <w:p w14:paraId="7D22D4D0"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L’accusation</w:t>
      </w:r>
      <w:r>
        <w:rPr>
          <w:rFonts w:ascii="Calibri" w:eastAsia="Calibri" w:hAnsi="Calibri" w:cs="Calibri"/>
          <w:color w:val="1A1A1A"/>
        </w:rPr>
        <w:t xml:space="preserve"> : « </w:t>
      </w:r>
      <w:r>
        <w:rPr>
          <w:rFonts w:ascii="Calibri" w:eastAsia="Calibri" w:hAnsi="Calibri" w:cs="Calibri"/>
          <w:i/>
          <w:iCs/>
          <w:color w:val="1A1A1A"/>
        </w:rPr>
        <w:t>la notification officielle, émanant de l’autorité compétente, du reproche d’avoir accompli une infraction pénale</w:t>
      </w:r>
      <w:r>
        <w:rPr>
          <w:rFonts w:ascii="Calibri" w:eastAsia="Calibri" w:hAnsi="Calibri" w:cs="Calibri"/>
          <w:color w:val="1A1A1A"/>
        </w:rPr>
        <w:t xml:space="preserve"> » (</w:t>
      </w:r>
      <w:r>
        <w:rPr>
          <w:rFonts w:ascii="Calibri" w:eastAsia="Calibri" w:hAnsi="Calibri" w:cs="Calibri"/>
          <w:color w:val="E91E63"/>
        </w:rPr>
        <w:t xml:space="preserve">CEDH, 27 février 1980, </w:t>
      </w:r>
      <w:proofErr w:type="spellStart"/>
      <w:r>
        <w:rPr>
          <w:rFonts w:ascii="Calibri" w:eastAsia="Calibri" w:hAnsi="Calibri" w:cs="Calibri"/>
          <w:color w:val="E91E63"/>
        </w:rPr>
        <w:t>Deweer</w:t>
      </w:r>
      <w:proofErr w:type="spellEnd"/>
      <w:r>
        <w:rPr>
          <w:rFonts w:ascii="Calibri" w:eastAsia="Calibri" w:hAnsi="Calibri" w:cs="Calibri"/>
          <w:color w:val="E91E63"/>
        </w:rPr>
        <w:t xml:space="preserve"> c. Belgique, n° 6903/75</w:t>
      </w:r>
      <w:r>
        <w:rPr>
          <w:rFonts w:ascii="Calibri" w:eastAsia="Calibri" w:hAnsi="Calibri" w:cs="Calibri"/>
          <w:color w:val="1A1A1A"/>
        </w:rPr>
        <w:t>). L’arrestation, l’inculpation et l’ouverture des enquêtes préliminaires peuvent être considérées comme des accusations au sens de l’</w:t>
      </w:r>
      <w:r>
        <w:rPr>
          <w:rFonts w:ascii="Calibri" w:eastAsia="Calibri" w:hAnsi="Calibri" w:cs="Calibri"/>
          <w:color w:val="1E88E5"/>
        </w:rPr>
        <w:t>art. 6-1</w:t>
      </w:r>
      <w:r>
        <w:rPr>
          <w:rFonts w:ascii="Calibri" w:eastAsia="Calibri" w:hAnsi="Calibri" w:cs="Calibri"/>
          <w:color w:val="1A1A1A"/>
        </w:rPr>
        <w:t xml:space="preserve"> (</w:t>
      </w:r>
      <w:r>
        <w:rPr>
          <w:rFonts w:ascii="Calibri" w:eastAsia="Calibri" w:hAnsi="Calibri" w:cs="Calibri"/>
          <w:color w:val="E91E63"/>
        </w:rPr>
        <w:t>CEDH, 27 juin 1968, Wemhoff c. Allemagne, n° 2122/64</w:t>
      </w:r>
      <w:r>
        <w:rPr>
          <w:rFonts w:ascii="Calibri" w:eastAsia="Calibri" w:hAnsi="Calibri" w:cs="Calibri"/>
          <w:color w:val="1A1A1A"/>
        </w:rPr>
        <w:t>).</w:t>
      </w:r>
    </w:p>
    <w:p w14:paraId="3C4B248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xml:space="preserve">Les critères </w:t>
      </w:r>
      <w:r>
        <w:rPr>
          <w:rFonts w:ascii="Calibri" w:eastAsia="Calibri" w:hAnsi="Calibri" w:cs="Calibri"/>
          <w:b/>
          <w:bCs/>
          <w:i/>
          <w:iCs/>
          <w:color w:val="1A1A1A"/>
        </w:rPr>
        <w:t>Engel</w:t>
      </w:r>
      <w:r>
        <w:rPr>
          <w:rFonts w:ascii="Calibri" w:eastAsia="Calibri" w:hAnsi="Calibri" w:cs="Calibri"/>
          <w:color w:val="1A1A1A"/>
        </w:rPr>
        <w:t xml:space="preserve"> : la </w:t>
      </w:r>
      <w:r>
        <w:rPr>
          <w:rFonts w:ascii="Calibri" w:eastAsia="Calibri" w:hAnsi="Calibri" w:cs="Calibri"/>
          <w:b/>
          <w:bCs/>
          <w:color w:val="1A1A1A"/>
        </w:rPr>
        <w:t>qualification</w:t>
      </w:r>
      <w:r>
        <w:rPr>
          <w:rFonts w:ascii="Calibri" w:eastAsia="Calibri" w:hAnsi="Calibri" w:cs="Calibri"/>
          <w:color w:val="1A1A1A"/>
        </w:rPr>
        <w:t xml:space="preserve"> de ce qui relève du droit pénal en droit interne — critère sans conséquence absolue, la Cour s’intéressant aux caractéristiques réelles de la procédure lorsque le caractère pénal n’est pas clair ; la </w:t>
      </w:r>
      <w:r>
        <w:rPr>
          <w:rFonts w:ascii="Calibri" w:eastAsia="Calibri" w:hAnsi="Calibri" w:cs="Calibri"/>
          <w:b/>
          <w:bCs/>
          <w:color w:val="1A1A1A"/>
        </w:rPr>
        <w:t>nature de l’infraction</w:t>
      </w:r>
      <w:r>
        <w:rPr>
          <w:rFonts w:ascii="Calibri" w:eastAsia="Calibri" w:hAnsi="Calibri" w:cs="Calibri"/>
          <w:color w:val="1A1A1A"/>
        </w:rPr>
        <w:t xml:space="preserve"> alléguée (objectif de la règle, destinataires, intérêts protégés) ; la </w:t>
      </w:r>
      <w:r>
        <w:rPr>
          <w:rFonts w:ascii="Calibri" w:eastAsia="Calibri" w:hAnsi="Calibri" w:cs="Calibri"/>
          <w:b/>
          <w:bCs/>
          <w:color w:val="1A1A1A"/>
        </w:rPr>
        <w:t>sévérité de la sanction encourue</w:t>
      </w:r>
      <w:r>
        <w:rPr>
          <w:rFonts w:ascii="Calibri" w:eastAsia="Calibri" w:hAnsi="Calibri" w:cs="Calibri"/>
          <w:color w:val="1A1A1A"/>
        </w:rPr>
        <w:t xml:space="preserve">, au regard de la sanction maximale prévue par les textes. Les deux derniers critères sont </w:t>
      </w:r>
      <w:r>
        <w:rPr>
          <w:rFonts w:ascii="Calibri" w:eastAsia="Calibri" w:hAnsi="Calibri" w:cs="Calibri"/>
          <w:b/>
          <w:bCs/>
          <w:color w:val="1A1A1A"/>
        </w:rPr>
        <w:t>alternatifs</w:t>
      </w:r>
      <w:r>
        <w:rPr>
          <w:rFonts w:ascii="Calibri" w:eastAsia="Calibri" w:hAnsi="Calibri" w:cs="Calibri"/>
          <w:color w:val="1A1A1A"/>
        </w:rPr>
        <w:t xml:space="preserve"> (</w:t>
      </w:r>
      <w:r>
        <w:rPr>
          <w:rFonts w:ascii="Calibri" w:eastAsia="Calibri" w:hAnsi="Calibri" w:cs="Calibri"/>
          <w:color w:val="E91E63"/>
        </w:rPr>
        <w:t>CEDH, 8 juin 1976, Engel et a. c. Pays-Bas, n° 5100/71</w:t>
      </w:r>
      <w:r>
        <w:rPr>
          <w:rFonts w:ascii="Calibri" w:eastAsia="Calibri" w:hAnsi="Calibri" w:cs="Calibri"/>
          <w:color w:val="1A1A1A"/>
        </w:rPr>
        <w:t>) ; approche cumulative possible en cas de doute (</w:t>
      </w:r>
      <w:r>
        <w:rPr>
          <w:rFonts w:ascii="Calibri" w:eastAsia="Calibri" w:hAnsi="Calibri" w:cs="Calibri"/>
          <w:color w:val="E91E63"/>
        </w:rPr>
        <w:t>CEDH, 24 février 1994, Bendenoun c. France, n° 12547/86</w:t>
      </w:r>
      <w:r>
        <w:rPr>
          <w:rFonts w:ascii="Calibri" w:eastAsia="Calibri" w:hAnsi="Calibri" w:cs="Calibri"/>
          <w:color w:val="1A1A1A"/>
        </w:rPr>
        <w:t>).</w:t>
      </w:r>
    </w:p>
    <w:p w14:paraId="29C5175A" w14:textId="77777777" w:rsidR="00520D98" w:rsidRDefault="00000000">
      <w:pPr>
        <w:pStyle w:val="Titre3"/>
        <w:spacing w:before="200" w:after="90"/>
      </w:pPr>
      <w:r>
        <w:rPr>
          <w:rFonts w:ascii="Calibri" w:eastAsia="Calibri" w:hAnsi="Calibri" w:cs="Calibri"/>
          <w:b/>
          <w:bCs/>
          <w:i/>
          <w:iCs/>
          <w:color w:val="5A5A5A"/>
          <w:sz w:val="21"/>
          <w:szCs w:val="21"/>
        </w:rPr>
        <w:t>3.3. Les particularités du contentieux administratif et constitutionnel</w:t>
      </w:r>
    </w:p>
    <w:p w14:paraId="091D960A"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Contentieux administratif</w:t>
      </w:r>
      <w:r>
        <w:rPr>
          <w:rFonts w:ascii="Calibri" w:eastAsia="Calibri" w:hAnsi="Calibri" w:cs="Calibri"/>
          <w:color w:val="1A1A1A"/>
        </w:rPr>
        <w:t xml:space="preserve"> : l’</w:t>
      </w:r>
      <w:r>
        <w:rPr>
          <w:rFonts w:ascii="Calibri" w:eastAsia="Calibri" w:hAnsi="Calibri" w:cs="Calibri"/>
          <w:color w:val="1E88E5"/>
        </w:rPr>
        <w:t>art. 6</w:t>
      </w:r>
      <w:r>
        <w:rPr>
          <w:rFonts w:ascii="Calibri" w:eastAsia="Calibri" w:hAnsi="Calibri" w:cs="Calibri"/>
          <w:color w:val="1A1A1A"/>
        </w:rPr>
        <w:t xml:space="preserve"> ne mentionne pas la matière administrative. La </w:t>
      </w:r>
      <w:r>
        <w:rPr>
          <w:rFonts w:ascii="Calibri" w:eastAsia="Calibri" w:hAnsi="Calibri" w:cs="Calibri"/>
          <w:b/>
          <w:bCs/>
          <w:color w:val="1A1A1A"/>
        </w:rPr>
        <w:t>dualité fonctionnelle</w:t>
      </w:r>
      <w:r>
        <w:rPr>
          <w:rFonts w:ascii="Calibri" w:eastAsia="Calibri" w:hAnsi="Calibri" w:cs="Calibri"/>
          <w:color w:val="1A1A1A"/>
        </w:rPr>
        <w:t xml:space="preserve"> du Conseil d’État a pu interroger, celui-ci gérant les 42 tribunaux administratifs, les 9 cours administratives d’appel et la Cour nationale du droit d’asile tout en connaissant en dernier ressort des recours contre leurs décisions. Cette dualité n’entache cependant pas le respect du droit à un procès équitable ni le principe constitutionnel d’indépendance des juges administratifs (</w:t>
      </w:r>
      <w:r>
        <w:rPr>
          <w:rFonts w:ascii="Calibri" w:eastAsia="Calibri" w:hAnsi="Calibri" w:cs="Calibri"/>
          <w:color w:val="E91E63"/>
        </w:rPr>
        <w:t>CE, SSR, 26 mai 2010, M. Marc-Antoine et autres, n° 309503</w:t>
      </w:r>
      <w:r>
        <w:rPr>
          <w:rFonts w:ascii="Calibri" w:eastAsia="Calibri" w:hAnsi="Calibri" w:cs="Calibri"/>
          <w:color w:val="1A1A1A"/>
        </w:rPr>
        <w:t xml:space="preserve"> ; confirmé par </w:t>
      </w:r>
      <w:r>
        <w:rPr>
          <w:rFonts w:ascii="Calibri" w:eastAsia="Calibri" w:hAnsi="Calibri" w:cs="Calibri"/>
          <w:color w:val="E91E63"/>
        </w:rPr>
        <w:t>CEDH, 4 juin 2013, déc., François Marc-Antoine c. France, n° 54984/09</w:t>
      </w:r>
      <w:r>
        <w:rPr>
          <w:rFonts w:ascii="Calibri" w:eastAsia="Calibri" w:hAnsi="Calibri" w:cs="Calibri"/>
          <w:color w:val="1A1A1A"/>
        </w:rPr>
        <w:t>). Le Conseil d’État a par ailleurs consacré le principe général du droit de former un recours pour excès de pouvoir contre toute décision administrative (</w:t>
      </w:r>
      <w:r>
        <w:rPr>
          <w:rFonts w:ascii="Calibri" w:eastAsia="Calibri" w:hAnsi="Calibri" w:cs="Calibri"/>
          <w:color w:val="E91E63"/>
        </w:rPr>
        <w:t>CE, Ass., 17 février 1950, Ministre de l’Agriculture c. Dame Lamotte, n° 86949</w:t>
      </w:r>
      <w:r>
        <w:rPr>
          <w:rFonts w:ascii="Calibri" w:eastAsia="Calibri" w:hAnsi="Calibri" w:cs="Calibri"/>
          <w:color w:val="1A1A1A"/>
        </w:rPr>
        <w:t xml:space="preserve">) et le droit d’accès à un tribunal en reconnaissant le droit de former un recours en cassation contre les décisions des juridictions administratives ou d’autres natures statuant en dernier ressort, </w:t>
      </w:r>
      <w:r>
        <w:rPr>
          <w:rFonts w:ascii="Calibri" w:eastAsia="Calibri" w:hAnsi="Calibri" w:cs="Calibri"/>
          <w:b/>
          <w:bCs/>
          <w:color w:val="1A1A1A"/>
        </w:rPr>
        <w:t>même dans le cas où un tel recours est expressément exclu par les textes</w:t>
      </w:r>
      <w:r>
        <w:rPr>
          <w:rFonts w:ascii="Calibri" w:eastAsia="Calibri" w:hAnsi="Calibri" w:cs="Calibri"/>
          <w:color w:val="1A1A1A"/>
        </w:rPr>
        <w:t xml:space="preserve"> (</w:t>
      </w:r>
      <w:r>
        <w:rPr>
          <w:rFonts w:ascii="Calibri" w:eastAsia="Calibri" w:hAnsi="Calibri" w:cs="Calibri"/>
          <w:color w:val="E91E63"/>
        </w:rPr>
        <w:t>CE, Ass., 7 février 1947, d’Aillières, n° 79128</w:t>
      </w:r>
      <w:r>
        <w:rPr>
          <w:rFonts w:ascii="Calibri" w:eastAsia="Calibri" w:hAnsi="Calibri" w:cs="Calibri"/>
          <w:color w:val="1A1A1A"/>
        </w:rPr>
        <w:t>).</w:t>
      </w:r>
    </w:p>
    <w:p w14:paraId="4F11B5E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Contentieux constitutionnel</w:t>
      </w:r>
      <w:r>
        <w:rPr>
          <w:rFonts w:ascii="Calibri" w:eastAsia="Calibri" w:hAnsi="Calibri" w:cs="Calibri"/>
          <w:color w:val="1A1A1A"/>
        </w:rPr>
        <w:t xml:space="preserve"> : les garanties de l’</w:t>
      </w:r>
      <w:r>
        <w:rPr>
          <w:rFonts w:ascii="Calibri" w:eastAsia="Calibri" w:hAnsi="Calibri" w:cs="Calibri"/>
          <w:color w:val="1E88E5"/>
        </w:rPr>
        <w:t>art. 6</w:t>
      </w:r>
      <w:r>
        <w:rPr>
          <w:rFonts w:ascii="Calibri" w:eastAsia="Calibri" w:hAnsi="Calibri" w:cs="Calibri"/>
          <w:color w:val="1A1A1A"/>
        </w:rPr>
        <w:t xml:space="preserve"> s’appliquent en principe aux procédures constitutionnelles, mais la Cour accorde une large marge de manœuvre aux États, considérant que « </w:t>
      </w:r>
      <w:r>
        <w:rPr>
          <w:rFonts w:ascii="Calibri" w:eastAsia="Calibri" w:hAnsi="Calibri" w:cs="Calibri"/>
          <w:i/>
          <w:iCs/>
          <w:color w:val="1A1A1A"/>
        </w:rPr>
        <w:t>les procédures constitutionnelles présentent des caractéristiques propres qui tiennent compte de la spécificité de la norme à appliquer tout comme de l’importance de la décision à rendre pour le système juridique en vigueur</w:t>
      </w:r>
      <w:r>
        <w:rPr>
          <w:rFonts w:ascii="Calibri" w:eastAsia="Calibri" w:hAnsi="Calibri" w:cs="Calibri"/>
          <w:color w:val="1A1A1A"/>
        </w:rPr>
        <w:t xml:space="preserve"> ». Elle a rappelé l’importance du </w:t>
      </w:r>
      <w:r>
        <w:rPr>
          <w:rFonts w:ascii="Calibri" w:eastAsia="Calibri" w:hAnsi="Calibri" w:cs="Calibri"/>
          <w:b/>
          <w:bCs/>
          <w:color w:val="1A1A1A"/>
        </w:rPr>
        <w:t>principe du contradictoire</w:t>
      </w:r>
      <w:r>
        <w:rPr>
          <w:rFonts w:ascii="Calibri" w:eastAsia="Calibri" w:hAnsi="Calibri" w:cs="Calibri"/>
          <w:color w:val="1A1A1A"/>
        </w:rPr>
        <w:t>, valable dans tout procès, y compris constitutionnel (</w:t>
      </w:r>
      <w:r>
        <w:rPr>
          <w:rFonts w:ascii="Calibri" w:eastAsia="Calibri" w:hAnsi="Calibri" w:cs="Calibri"/>
          <w:color w:val="E91E63"/>
        </w:rPr>
        <w:t>CEDH, 26 juin 1993, Ruiz-Mateos c. Espagne, n° 12952/87</w:t>
      </w:r>
      <w:r>
        <w:rPr>
          <w:rFonts w:ascii="Calibri" w:eastAsia="Calibri" w:hAnsi="Calibri" w:cs="Calibri"/>
          <w:color w:val="1A1A1A"/>
        </w:rPr>
        <w:t xml:space="preserve">). Les modalités du contrôle </w:t>
      </w:r>
      <w:r>
        <w:rPr>
          <w:rFonts w:ascii="Calibri" w:eastAsia="Calibri" w:hAnsi="Calibri" w:cs="Calibri"/>
          <w:i/>
          <w:iCs/>
          <w:color w:val="1A1A1A"/>
        </w:rPr>
        <w:t>a priori</w:t>
      </w:r>
      <w:r>
        <w:rPr>
          <w:rFonts w:ascii="Calibri" w:eastAsia="Calibri" w:hAnsi="Calibri" w:cs="Calibri"/>
          <w:color w:val="1A1A1A"/>
        </w:rPr>
        <w:t xml:space="preserve"> excluent l’existence d’un procès au sens classique et donc l’applicabilité de l’</w:t>
      </w:r>
      <w:r>
        <w:rPr>
          <w:rFonts w:ascii="Calibri" w:eastAsia="Calibri" w:hAnsi="Calibri" w:cs="Calibri"/>
          <w:color w:val="1E88E5"/>
        </w:rPr>
        <w:t>art. 6</w:t>
      </w:r>
      <w:r>
        <w:rPr>
          <w:rFonts w:ascii="Calibri" w:eastAsia="Calibri" w:hAnsi="Calibri" w:cs="Calibri"/>
          <w:color w:val="1A1A1A"/>
        </w:rPr>
        <w:t xml:space="preserve"> ; l’applicabilité au contrôle </w:t>
      </w:r>
      <w:r>
        <w:rPr>
          <w:rFonts w:ascii="Calibri" w:eastAsia="Calibri" w:hAnsi="Calibri" w:cs="Calibri"/>
          <w:i/>
          <w:iCs/>
          <w:color w:val="1A1A1A"/>
        </w:rPr>
        <w:t>a posteriori</w:t>
      </w:r>
      <w:r>
        <w:rPr>
          <w:rFonts w:ascii="Calibri" w:eastAsia="Calibri" w:hAnsi="Calibri" w:cs="Calibri"/>
          <w:color w:val="1A1A1A"/>
        </w:rPr>
        <w:t xml:space="preserve"> n’est pas parfaitement tranchée. Le Conseil applique néanmoins certains principes fondamentaux, dont l’</w:t>
      </w:r>
      <w:r>
        <w:rPr>
          <w:rFonts w:ascii="Calibri" w:eastAsia="Calibri" w:hAnsi="Calibri" w:cs="Calibri"/>
          <w:b/>
          <w:bCs/>
          <w:color w:val="1A1A1A"/>
        </w:rPr>
        <w:t>égalité des armes</w:t>
      </w:r>
      <w:r>
        <w:rPr>
          <w:rFonts w:ascii="Calibri" w:eastAsia="Calibri" w:hAnsi="Calibri" w:cs="Calibri"/>
          <w:color w:val="1A1A1A"/>
        </w:rPr>
        <w:t xml:space="preserve">, en recevant un mémoire distinct et motivé, en organisant une </w:t>
      </w:r>
      <w:r>
        <w:rPr>
          <w:rFonts w:ascii="Calibri" w:eastAsia="Calibri" w:hAnsi="Calibri" w:cs="Calibri"/>
          <w:b/>
          <w:bCs/>
          <w:color w:val="1A1A1A"/>
        </w:rPr>
        <w:t>audience publique</w:t>
      </w:r>
      <w:r>
        <w:rPr>
          <w:rFonts w:ascii="Calibri" w:eastAsia="Calibri" w:hAnsi="Calibri" w:cs="Calibri"/>
          <w:color w:val="1A1A1A"/>
        </w:rPr>
        <w:t>, et en considérant que la procédure de transmission doit s’exécuter conformément aux exigences du droit à un procès équitable (</w:t>
      </w:r>
      <w:r>
        <w:rPr>
          <w:rFonts w:ascii="Calibri" w:eastAsia="Calibri" w:hAnsi="Calibri" w:cs="Calibri"/>
          <w:color w:val="E91E63"/>
        </w:rPr>
        <w:t>Cons. const., déc. n° 2009-595 DC, 3 décembre 2009</w:t>
      </w:r>
      <w:r>
        <w:rPr>
          <w:rFonts w:ascii="Calibri" w:eastAsia="Calibri" w:hAnsi="Calibri" w:cs="Calibri"/>
          <w:color w:val="1A1A1A"/>
        </w:rPr>
        <w:t>).</w:t>
      </w:r>
    </w:p>
    <w:p w14:paraId="757C4890" w14:textId="77777777" w:rsidR="00520D98" w:rsidRDefault="00000000">
      <w:pPr>
        <w:pStyle w:val="Titre2"/>
        <w:spacing w:before="280" w:after="120"/>
      </w:pPr>
      <w:r>
        <w:rPr>
          <w:rFonts w:ascii="Calibri" w:eastAsia="Calibri" w:hAnsi="Calibri" w:cs="Calibri"/>
          <w:b/>
          <w:bCs/>
          <w:color w:val="1A1A1A"/>
          <w:sz w:val="24"/>
          <w:szCs w:val="24"/>
        </w:rPr>
        <w:t>4. Les garanties du droit à un procès équitable</w:t>
      </w:r>
    </w:p>
    <w:p w14:paraId="3BF8C0DC" w14:textId="77777777" w:rsidR="00520D98" w:rsidRDefault="00000000">
      <w:pPr>
        <w:pStyle w:val="Titre3"/>
        <w:spacing w:before="200" w:after="90"/>
      </w:pPr>
      <w:r>
        <w:rPr>
          <w:rFonts w:ascii="Calibri" w:eastAsia="Calibri" w:hAnsi="Calibri" w:cs="Calibri"/>
          <w:b/>
          <w:bCs/>
          <w:i/>
          <w:iCs/>
          <w:color w:val="5A5A5A"/>
          <w:sz w:val="21"/>
          <w:szCs w:val="21"/>
        </w:rPr>
        <w:t>4.1. Le droit à un tribunal</w:t>
      </w:r>
    </w:p>
    <w:p w14:paraId="510B9E33" w14:textId="77777777" w:rsidR="00520D98" w:rsidRDefault="00000000">
      <w:pPr>
        <w:pStyle w:val="Paragraphedeliste"/>
        <w:numPr>
          <w:ilvl w:val="0"/>
          <w:numId w:val="2"/>
        </w:numPr>
        <w:spacing w:after="70" w:line="264" w:lineRule="auto"/>
        <w:jc w:val="both"/>
      </w:pPr>
      <w:r>
        <w:rPr>
          <w:rFonts w:ascii="Calibri" w:eastAsia="Calibri" w:hAnsi="Calibri" w:cs="Calibri"/>
          <w:color w:val="E91E63"/>
        </w:rPr>
        <w:t>CEDH, 21 février 1975, Golder c. Royaume-Uni, n° 4451/70</w:t>
      </w:r>
      <w:r>
        <w:rPr>
          <w:rFonts w:ascii="Calibri" w:eastAsia="Calibri" w:hAnsi="Calibri" w:cs="Calibri"/>
          <w:color w:val="1A1A1A"/>
        </w:rPr>
        <w:t xml:space="preserve"> : condition essentielle, impliquant de </w:t>
      </w:r>
      <w:r>
        <w:rPr>
          <w:rFonts w:ascii="Calibri" w:eastAsia="Calibri" w:hAnsi="Calibri" w:cs="Calibri"/>
          <w:b/>
          <w:bCs/>
          <w:color w:val="1A1A1A"/>
        </w:rPr>
        <w:t>pouvoir saisir concrètement un tribunal d’un recours</w:t>
      </w:r>
      <w:r>
        <w:rPr>
          <w:rFonts w:ascii="Calibri" w:eastAsia="Calibri" w:hAnsi="Calibri" w:cs="Calibri"/>
          <w:color w:val="1A1A1A"/>
        </w:rPr>
        <w:t xml:space="preserve">. Le terme « tribunal » est une </w:t>
      </w:r>
      <w:r>
        <w:rPr>
          <w:rFonts w:ascii="Calibri" w:eastAsia="Calibri" w:hAnsi="Calibri" w:cs="Calibri"/>
          <w:b/>
          <w:bCs/>
          <w:color w:val="1A1A1A"/>
        </w:rPr>
        <w:t>notion autonome</w:t>
      </w:r>
      <w:r>
        <w:rPr>
          <w:rFonts w:ascii="Calibri" w:eastAsia="Calibri" w:hAnsi="Calibri" w:cs="Calibri"/>
          <w:color w:val="1A1A1A"/>
        </w:rPr>
        <w:t xml:space="preserve"> plus large que celle d’un juge ayant une fonction juridictionnelle classique : il peut recouvrir tout instrument à même de redresser une violation et capable de « </w:t>
      </w:r>
      <w:r>
        <w:rPr>
          <w:rFonts w:ascii="Calibri" w:eastAsia="Calibri" w:hAnsi="Calibri" w:cs="Calibri"/>
          <w:i/>
          <w:iCs/>
          <w:color w:val="1A1A1A"/>
        </w:rPr>
        <w:t>trancher, sur la base de normes de droit et à l’issue d’une procédure organisée, toute question relevant de sa compétence</w:t>
      </w:r>
      <w:r>
        <w:rPr>
          <w:rFonts w:ascii="Calibri" w:eastAsia="Calibri" w:hAnsi="Calibri" w:cs="Calibri"/>
          <w:color w:val="1A1A1A"/>
        </w:rPr>
        <w:t xml:space="preserve"> » (</w:t>
      </w:r>
      <w:r>
        <w:rPr>
          <w:rFonts w:ascii="Calibri" w:eastAsia="Calibri" w:hAnsi="Calibri" w:cs="Calibri"/>
          <w:color w:val="E91E63"/>
        </w:rPr>
        <w:t>CEDH, 22 octobre 1984, Sramek c. Autriche, n° 8790/79</w:t>
      </w:r>
      <w:r>
        <w:rPr>
          <w:rFonts w:ascii="Calibri" w:eastAsia="Calibri" w:hAnsi="Calibri" w:cs="Calibri"/>
          <w:color w:val="1A1A1A"/>
        </w:rPr>
        <w:t xml:space="preserve">). Le contrôle ne porte pas seulement sur un accès formel mais </w:t>
      </w:r>
      <w:r>
        <w:rPr>
          <w:rFonts w:ascii="Calibri" w:eastAsia="Calibri" w:hAnsi="Calibri" w:cs="Calibri"/>
          <w:b/>
          <w:bCs/>
          <w:color w:val="1A1A1A"/>
        </w:rPr>
        <w:t>en substance</w:t>
      </w:r>
      <w:r>
        <w:rPr>
          <w:rFonts w:ascii="Calibri" w:eastAsia="Calibri" w:hAnsi="Calibri" w:cs="Calibri"/>
          <w:color w:val="1A1A1A"/>
        </w:rPr>
        <w:t xml:space="preserve"> : le requérant doit disposer d’« </w:t>
      </w:r>
      <w:r>
        <w:rPr>
          <w:rFonts w:ascii="Calibri" w:eastAsia="Calibri" w:hAnsi="Calibri" w:cs="Calibri"/>
          <w:i/>
          <w:iCs/>
          <w:color w:val="1A1A1A"/>
        </w:rPr>
        <w:t>une possibilité claire et concrète de contester un acte constituant une ingérence dans ses droits</w:t>
      </w:r>
      <w:r>
        <w:rPr>
          <w:rFonts w:ascii="Calibri" w:eastAsia="Calibri" w:hAnsi="Calibri" w:cs="Calibri"/>
          <w:color w:val="1A1A1A"/>
        </w:rPr>
        <w:t xml:space="preserve"> » (</w:t>
      </w:r>
      <w:r>
        <w:rPr>
          <w:rFonts w:ascii="Calibri" w:eastAsia="Calibri" w:hAnsi="Calibri" w:cs="Calibri"/>
          <w:color w:val="E91E63"/>
        </w:rPr>
        <w:t>CEDH, 4 décembre 1995, Bellet c. France, n° 23805/94</w:t>
      </w:r>
      <w:r>
        <w:rPr>
          <w:rFonts w:ascii="Calibri" w:eastAsia="Calibri" w:hAnsi="Calibri" w:cs="Calibri"/>
          <w:color w:val="1A1A1A"/>
        </w:rPr>
        <w:t>). Les délais et réglementations relatives à la bonne administration de la justice ne portent pas atteinte à ce droit, à moins d’empêcher de manière disproportionnée l’accès à un juge (</w:t>
      </w:r>
      <w:r>
        <w:rPr>
          <w:rFonts w:ascii="Calibri" w:eastAsia="Calibri" w:hAnsi="Calibri" w:cs="Calibri"/>
          <w:color w:val="E91E63"/>
        </w:rPr>
        <w:t>CEDH, GC, 5 avril 2018, Zubac c. Croatie, n° 40160/12</w:t>
      </w:r>
      <w:r>
        <w:rPr>
          <w:rFonts w:ascii="Calibri" w:eastAsia="Calibri" w:hAnsi="Calibri" w:cs="Calibri"/>
          <w:color w:val="1A1A1A"/>
        </w:rPr>
        <w:t>).</w:t>
      </w:r>
    </w:p>
    <w:p w14:paraId="45C0E20B"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7F108F">
        <w:rPr>
          <w:rFonts w:ascii="Calibri" w:eastAsia="Calibri" w:hAnsi="Calibri" w:cs="Calibri"/>
          <w:b/>
          <w:bCs/>
          <w:color w:val="1A1A1A"/>
          <w:highlight w:val="yellow"/>
        </w:rPr>
        <w:t>Actualité</w:t>
      </w:r>
      <w:r>
        <w:rPr>
          <w:rFonts w:ascii="Calibri" w:eastAsia="Calibri" w:hAnsi="Calibri" w:cs="Calibri"/>
          <w:b/>
          <w:bCs/>
          <w:color w:val="1A1A1A"/>
        </w:rPr>
        <w:t xml:space="preserve"> — l’arbitrage obligatoire</w:t>
      </w:r>
      <w:r>
        <w:rPr>
          <w:rFonts w:ascii="Calibri" w:eastAsia="Calibri" w:hAnsi="Calibri" w:cs="Calibri"/>
          <w:color w:val="1A1A1A"/>
        </w:rPr>
        <w:t xml:space="preserve"> : le recours à l’arbitrage n’est pas, par lui-même, incompatible avec le droit à un procès équitable. Toutefois, lorsque l’arbitrage est </w:t>
      </w:r>
      <w:r>
        <w:rPr>
          <w:rFonts w:ascii="Calibri" w:eastAsia="Calibri" w:hAnsi="Calibri" w:cs="Calibri"/>
          <w:b/>
          <w:bCs/>
          <w:color w:val="1A1A1A"/>
        </w:rPr>
        <w:t>imposé</w:t>
      </w:r>
      <w:r>
        <w:rPr>
          <w:rFonts w:ascii="Calibri" w:eastAsia="Calibri" w:hAnsi="Calibri" w:cs="Calibri"/>
          <w:color w:val="1A1A1A"/>
        </w:rPr>
        <w:t xml:space="preserve"> à une personne et qu’elle ne dispose d’aucune possibilité réelle de porter son litige devant une juridiction ordinaire, les garanties de l’</w:t>
      </w:r>
      <w:r>
        <w:rPr>
          <w:rFonts w:ascii="Calibri" w:eastAsia="Calibri" w:hAnsi="Calibri" w:cs="Calibri"/>
          <w:color w:val="1E88E5"/>
        </w:rPr>
        <w:t>art. 6 § 1</w:t>
      </w:r>
      <w:r>
        <w:rPr>
          <w:rFonts w:ascii="Calibri" w:eastAsia="Calibri" w:hAnsi="Calibri" w:cs="Calibri"/>
          <w:color w:val="1A1A1A"/>
        </w:rPr>
        <w:t xml:space="preserve"> doivent être </w:t>
      </w:r>
      <w:r>
        <w:rPr>
          <w:rFonts w:ascii="Calibri" w:eastAsia="Calibri" w:hAnsi="Calibri" w:cs="Calibri"/>
          <w:b/>
          <w:bCs/>
          <w:color w:val="1A1A1A"/>
        </w:rPr>
        <w:t>effectivement assurées</w:t>
      </w:r>
      <w:r>
        <w:rPr>
          <w:rFonts w:ascii="Calibri" w:eastAsia="Calibri" w:hAnsi="Calibri" w:cs="Calibri"/>
          <w:color w:val="1A1A1A"/>
        </w:rPr>
        <w:t xml:space="preserve">. La Cour l’a précisé à propos de l’athlète Caster Semenya, contrainte de saisir le Tribunal arbitral du sport pour contester une réglementation lui imposant de réduire son taux naturel de testostérone, le </w:t>
      </w:r>
      <w:r>
        <w:rPr>
          <w:rFonts w:ascii="Calibri" w:eastAsia="Calibri" w:hAnsi="Calibri" w:cs="Calibri"/>
          <w:color w:val="1A1A1A"/>
        </w:rPr>
        <w:lastRenderedPageBreak/>
        <w:t xml:space="preserve">Tribunal fédéral suisse n’ayant ensuite exercé qu’un contrôle très limité de la sentence. </w:t>
      </w:r>
      <w:r>
        <w:rPr>
          <w:rFonts w:ascii="Calibri" w:eastAsia="Calibri" w:hAnsi="Calibri" w:cs="Calibri"/>
          <w:b/>
          <w:bCs/>
          <w:color w:val="1A1A1A"/>
        </w:rPr>
        <w:t xml:space="preserve">La Grande Chambre juge que, </w:t>
      </w:r>
      <w:r w:rsidRPr="007F108F">
        <w:rPr>
          <w:rFonts w:ascii="Calibri" w:eastAsia="Calibri" w:hAnsi="Calibri" w:cs="Calibri"/>
          <w:b/>
          <w:bCs/>
          <w:color w:val="1A1A1A"/>
          <w:highlight w:val="yellow"/>
        </w:rPr>
        <w:t>lorsque l’arbitrage est obligatoire et que le litige porte sur des droits correspondant à des droits fondamentaux, la juridiction étatique appelée à contrôler la sentence doit procéder à un examen particulièrement rigoureux</w:t>
      </w:r>
      <w:r>
        <w:rPr>
          <w:rFonts w:ascii="Calibri" w:eastAsia="Calibri" w:hAnsi="Calibri" w:cs="Calibri"/>
          <w:color w:val="1A1A1A"/>
        </w:rPr>
        <w:t xml:space="preserve"> ; le contrôle insuffisant exercé en l’espèce entraîne une violation de l’</w:t>
      </w:r>
      <w:r>
        <w:rPr>
          <w:rFonts w:ascii="Calibri" w:eastAsia="Calibri" w:hAnsi="Calibri" w:cs="Calibri"/>
          <w:color w:val="1E88E5"/>
        </w:rPr>
        <w:t>art. 6 § 1</w:t>
      </w:r>
      <w:r>
        <w:rPr>
          <w:rFonts w:ascii="Calibri" w:eastAsia="Calibri" w:hAnsi="Calibri" w:cs="Calibri"/>
          <w:color w:val="1A1A1A"/>
        </w:rPr>
        <w:t xml:space="preserve"> (</w:t>
      </w:r>
      <w:r>
        <w:rPr>
          <w:rFonts w:ascii="Calibri" w:eastAsia="Calibri" w:hAnsi="Calibri" w:cs="Calibri"/>
          <w:color w:val="E91E63"/>
        </w:rPr>
        <w:t>CEDH, GC, 10 juillet 2025, Semenya c. Suisse, n° 10934/21</w:t>
      </w:r>
      <w:r>
        <w:rPr>
          <w:rFonts w:ascii="Calibri" w:eastAsia="Calibri" w:hAnsi="Calibri" w:cs="Calibri"/>
          <w:color w:val="1A1A1A"/>
        </w:rPr>
        <w:t>).</w:t>
      </w:r>
    </w:p>
    <w:p w14:paraId="13AC9FD5" w14:textId="77777777" w:rsidR="00520D98" w:rsidRDefault="00000000">
      <w:pPr>
        <w:pStyle w:val="Titre3"/>
        <w:spacing w:before="200" w:after="90"/>
      </w:pPr>
      <w:r>
        <w:rPr>
          <w:rFonts w:ascii="Calibri" w:eastAsia="Calibri" w:hAnsi="Calibri" w:cs="Calibri"/>
          <w:b/>
          <w:bCs/>
          <w:i/>
          <w:iCs/>
          <w:color w:val="5A5A5A"/>
          <w:sz w:val="21"/>
          <w:szCs w:val="21"/>
        </w:rPr>
        <w:t>4.2. Les exigences procédurales</w:t>
      </w:r>
    </w:p>
    <w:p w14:paraId="607C6E11"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Les droits de la défense</w:t>
      </w:r>
      <w:r>
        <w:rPr>
          <w:rFonts w:ascii="Calibri" w:eastAsia="Calibri" w:hAnsi="Calibri" w:cs="Calibri"/>
          <w:color w:val="1A1A1A"/>
        </w:rPr>
        <w:t xml:space="preserve"> : reconnus par le Conseil constitutionnel (</w:t>
      </w:r>
      <w:r>
        <w:rPr>
          <w:rFonts w:ascii="Calibri" w:eastAsia="Calibri" w:hAnsi="Calibri" w:cs="Calibri"/>
          <w:color w:val="E91E63"/>
        </w:rPr>
        <w:t>Cons. const., déc. n° 2019-801 QPC, 20 septembre 2019, M. Jean-Claude F.</w:t>
      </w:r>
      <w:r>
        <w:rPr>
          <w:rFonts w:ascii="Calibri" w:eastAsia="Calibri" w:hAnsi="Calibri" w:cs="Calibri"/>
          <w:color w:val="1A1A1A"/>
        </w:rPr>
        <w:t>) et par les deux ordres de juridiction (</w:t>
      </w:r>
      <w:r>
        <w:rPr>
          <w:rFonts w:ascii="Calibri" w:eastAsia="Calibri" w:hAnsi="Calibri" w:cs="Calibri"/>
          <w:color w:val="E91E63"/>
        </w:rPr>
        <w:t>Cass., ass. plén., 30 juin 1995, n° 94-20.302</w:t>
      </w:r>
      <w:r>
        <w:rPr>
          <w:rFonts w:ascii="Calibri" w:eastAsia="Calibri" w:hAnsi="Calibri" w:cs="Calibri"/>
          <w:color w:val="1A1A1A"/>
        </w:rPr>
        <w:t xml:space="preserve"> ; </w:t>
      </w:r>
      <w:r>
        <w:rPr>
          <w:rFonts w:ascii="Calibri" w:eastAsia="Calibri" w:hAnsi="Calibri" w:cs="Calibri"/>
          <w:color w:val="E91E63"/>
        </w:rPr>
        <w:t>CE, 5 mai 1944, Dame Veuve Trompier Gravier, n° 69751</w:t>
      </w:r>
      <w:r>
        <w:rPr>
          <w:rFonts w:ascii="Calibri" w:eastAsia="Calibri" w:hAnsi="Calibri" w:cs="Calibri"/>
          <w:color w:val="1A1A1A"/>
        </w:rPr>
        <w:t xml:space="preserve">). Le Conseil constitutionnel en a reconnu le caractère fondamental comme </w:t>
      </w:r>
      <w:r w:rsidRPr="007F108F">
        <w:rPr>
          <w:rFonts w:ascii="Calibri" w:eastAsia="Calibri" w:hAnsi="Calibri" w:cs="Calibri"/>
          <w:b/>
          <w:bCs/>
          <w:color w:val="1A1A1A"/>
          <w:highlight w:val="yellow"/>
        </w:rPr>
        <w:t>principes fondamentaux reconnus par les lois de la République</w:t>
      </w:r>
      <w:r>
        <w:rPr>
          <w:rFonts w:ascii="Calibri" w:eastAsia="Calibri" w:hAnsi="Calibri" w:cs="Calibri"/>
          <w:color w:val="1A1A1A"/>
        </w:rPr>
        <w:t>, impliquant notamment en matière pénale l’existence d’une procédure juste et équitable garantissant l’équilibre des droits des parties (</w:t>
      </w:r>
      <w:r>
        <w:rPr>
          <w:rFonts w:ascii="Calibri" w:eastAsia="Calibri" w:hAnsi="Calibri" w:cs="Calibri"/>
          <w:color w:val="E91E63"/>
        </w:rPr>
        <w:t>Cons. const., déc. n° 95-360 DC, 2 février 1995</w:t>
      </w:r>
      <w:r>
        <w:rPr>
          <w:rFonts w:ascii="Calibri" w:eastAsia="Calibri" w:hAnsi="Calibri" w:cs="Calibri"/>
          <w:color w:val="1A1A1A"/>
        </w:rPr>
        <w:t xml:space="preserve">). L’équité globale peut impliquer que les autorités aient l’obligation d’enquêter et de réunir des preuves </w:t>
      </w:r>
      <w:r>
        <w:rPr>
          <w:rFonts w:ascii="Calibri" w:eastAsia="Calibri" w:hAnsi="Calibri" w:cs="Calibri"/>
          <w:b/>
          <w:bCs/>
          <w:color w:val="1A1A1A"/>
        </w:rPr>
        <w:t>en faveur de l’accusé</w:t>
      </w:r>
      <w:r>
        <w:rPr>
          <w:rFonts w:ascii="Calibri" w:eastAsia="Calibri" w:hAnsi="Calibri" w:cs="Calibri"/>
          <w:color w:val="1A1A1A"/>
        </w:rPr>
        <w:t xml:space="preserve"> (</w:t>
      </w:r>
      <w:r>
        <w:rPr>
          <w:rFonts w:ascii="Calibri" w:eastAsia="Calibri" w:hAnsi="Calibri" w:cs="Calibri"/>
          <w:color w:val="E91E63"/>
        </w:rPr>
        <w:t>CEDH, 16 février 2021, V.C.L. et A.N. c. Royaume-Uni, n° 77587/12</w:t>
      </w:r>
      <w:r>
        <w:rPr>
          <w:rFonts w:ascii="Calibri" w:eastAsia="Calibri" w:hAnsi="Calibri" w:cs="Calibri"/>
          <w:color w:val="1A1A1A"/>
        </w:rPr>
        <w:t>).</w:t>
      </w:r>
    </w:p>
    <w:p w14:paraId="20976B2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Le contradictoire</w:t>
      </w:r>
      <w:r>
        <w:rPr>
          <w:rFonts w:ascii="Calibri" w:eastAsia="Calibri" w:hAnsi="Calibri" w:cs="Calibri"/>
          <w:color w:val="1A1A1A"/>
        </w:rPr>
        <w:t xml:space="preserve"> : application du principe de l’</w:t>
      </w:r>
      <w:r>
        <w:rPr>
          <w:rFonts w:ascii="Calibri" w:eastAsia="Calibri" w:hAnsi="Calibri" w:cs="Calibri"/>
          <w:b/>
          <w:bCs/>
          <w:color w:val="1A1A1A"/>
        </w:rPr>
        <w:t>égalité des armes</w:t>
      </w:r>
      <w:r>
        <w:rPr>
          <w:rFonts w:ascii="Calibri" w:eastAsia="Calibri" w:hAnsi="Calibri" w:cs="Calibri"/>
          <w:color w:val="1A1A1A"/>
        </w:rPr>
        <w:t>, impliquant de laisser à toutes les parties l’opportunité de défendre leur cause de manière égale — égalité de connaissance des documents et preuves présentés et opportunité de les soumettre au débat (</w:t>
      </w:r>
      <w:r>
        <w:rPr>
          <w:rFonts w:ascii="Calibri" w:eastAsia="Calibri" w:hAnsi="Calibri" w:cs="Calibri"/>
          <w:color w:val="1E88E5"/>
        </w:rPr>
        <w:t>art. 15 CPC</w:t>
      </w:r>
      <w:r>
        <w:rPr>
          <w:rFonts w:ascii="Calibri" w:eastAsia="Calibri" w:hAnsi="Calibri" w:cs="Calibri"/>
          <w:color w:val="1A1A1A"/>
        </w:rPr>
        <w:t>) ; le juge a le devoir de veiller au bon exercice de cette contradiction (</w:t>
      </w:r>
      <w:r>
        <w:rPr>
          <w:rFonts w:ascii="Calibri" w:eastAsia="Calibri" w:hAnsi="Calibri" w:cs="Calibri"/>
          <w:color w:val="1E88E5"/>
        </w:rPr>
        <w:t>art. 16 CPC</w:t>
      </w:r>
      <w:r>
        <w:rPr>
          <w:rFonts w:ascii="Calibri" w:eastAsia="Calibri" w:hAnsi="Calibri" w:cs="Calibri"/>
          <w:color w:val="1A1A1A"/>
        </w:rPr>
        <w:t>), principe également reconnu en droit public (</w:t>
      </w:r>
      <w:r>
        <w:rPr>
          <w:rFonts w:ascii="Calibri" w:eastAsia="Calibri" w:hAnsi="Calibri" w:cs="Calibri"/>
          <w:color w:val="E91E63"/>
        </w:rPr>
        <w:t xml:space="preserve">CE, 12 mai 1961, Société La </w:t>
      </w:r>
      <w:proofErr w:type="spellStart"/>
      <w:r>
        <w:rPr>
          <w:rFonts w:ascii="Calibri" w:eastAsia="Calibri" w:hAnsi="Calibri" w:cs="Calibri"/>
          <w:color w:val="E91E63"/>
        </w:rPr>
        <w:t>Huta</w:t>
      </w:r>
      <w:proofErr w:type="spellEnd"/>
      <w:r>
        <w:rPr>
          <w:rFonts w:ascii="Calibri" w:eastAsia="Calibri" w:hAnsi="Calibri" w:cs="Calibri"/>
          <w:color w:val="E91E63"/>
        </w:rPr>
        <w:t>, n° 40674</w:t>
      </w:r>
      <w:r>
        <w:rPr>
          <w:rFonts w:ascii="Calibri" w:eastAsia="Calibri" w:hAnsi="Calibri" w:cs="Calibri"/>
          <w:color w:val="1A1A1A"/>
        </w:rPr>
        <w:t>).</w:t>
      </w:r>
    </w:p>
    <w:p w14:paraId="6BF67D00"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La publicité</w:t>
      </w:r>
      <w:r>
        <w:rPr>
          <w:rFonts w:ascii="Calibri" w:eastAsia="Calibri" w:hAnsi="Calibri" w:cs="Calibri"/>
          <w:color w:val="1A1A1A"/>
        </w:rPr>
        <w:t xml:space="preserve"> : elle crée une transparence de la justice et renforce la confiance du public ; elle s’exprime par des </w:t>
      </w:r>
      <w:r>
        <w:rPr>
          <w:rFonts w:ascii="Calibri" w:eastAsia="Calibri" w:hAnsi="Calibri" w:cs="Calibri"/>
          <w:b/>
          <w:bCs/>
          <w:color w:val="1A1A1A"/>
        </w:rPr>
        <w:t>audiences publiques</w:t>
      </w:r>
      <w:r>
        <w:rPr>
          <w:rFonts w:ascii="Calibri" w:eastAsia="Calibri" w:hAnsi="Calibri" w:cs="Calibri"/>
          <w:color w:val="1A1A1A"/>
        </w:rPr>
        <w:t xml:space="preserve"> et par la </w:t>
      </w:r>
      <w:r>
        <w:rPr>
          <w:rFonts w:ascii="Calibri" w:eastAsia="Calibri" w:hAnsi="Calibri" w:cs="Calibri"/>
          <w:b/>
          <w:bCs/>
          <w:color w:val="1A1A1A"/>
        </w:rPr>
        <w:t>publicité des jugements</w:t>
      </w:r>
      <w:r>
        <w:rPr>
          <w:rFonts w:ascii="Calibri" w:eastAsia="Calibri" w:hAnsi="Calibri" w:cs="Calibri"/>
          <w:color w:val="1A1A1A"/>
        </w:rPr>
        <w:t>. L’audience est publique dès lors que le public a accès à la date et au lieu du procès et peut y accéder physiquement ; l’exigence est moins stricte en appel et en cassation (</w:t>
      </w:r>
      <w:r>
        <w:rPr>
          <w:rFonts w:ascii="Calibri" w:eastAsia="Calibri" w:hAnsi="Calibri" w:cs="Calibri"/>
          <w:color w:val="E91E63"/>
        </w:rPr>
        <w:t>CEDH, 29 octobre 1991, Jan-Ake Andersson c. Suède, n° 11274/84</w:t>
      </w:r>
      <w:r>
        <w:rPr>
          <w:rFonts w:ascii="Calibri" w:eastAsia="Calibri" w:hAnsi="Calibri" w:cs="Calibri"/>
          <w:color w:val="1A1A1A"/>
        </w:rPr>
        <w:t xml:space="preserve">). Le droit à une audience publique </w:t>
      </w:r>
      <w:r>
        <w:rPr>
          <w:rFonts w:ascii="Calibri" w:eastAsia="Calibri" w:hAnsi="Calibri" w:cs="Calibri"/>
          <w:b/>
          <w:bCs/>
          <w:color w:val="1A1A1A"/>
        </w:rPr>
        <w:t>n’est pas absolu</w:t>
      </w:r>
      <w:r>
        <w:rPr>
          <w:rFonts w:ascii="Calibri" w:eastAsia="Calibri" w:hAnsi="Calibri" w:cs="Calibri"/>
          <w:color w:val="1A1A1A"/>
        </w:rPr>
        <w:t xml:space="preserve"> (</w:t>
      </w:r>
      <w:r>
        <w:rPr>
          <w:rFonts w:ascii="Calibri" w:eastAsia="Calibri" w:hAnsi="Calibri" w:cs="Calibri"/>
          <w:color w:val="E91E63"/>
        </w:rPr>
        <w:t>Cons. const., déc. n° 88-1113 AN, 8 novembre 1988</w:t>
      </w:r>
      <w:r>
        <w:rPr>
          <w:rFonts w:ascii="Calibri" w:eastAsia="Calibri" w:hAnsi="Calibri" w:cs="Calibri"/>
          <w:color w:val="1A1A1A"/>
        </w:rPr>
        <w:t xml:space="preserve">) et </w:t>
      </w:r>
      <w:r w:rsidRPr="00B20DB8">
        <w:rPr>
          <w:rFonts w:ascii="Calibri" w:eastAsia="Calibri" w:hAnsi="Calibri" w:cs="Calibri"/>
          <w:color w:val="1A1A1A"/>
          <w:highlight w:val="yellow"/>
        </w:rPr>
        <w:t>peut être restreint</w:t>
      </w:r>
      <w:r>
        <w:rPr>
          <w:rFonts w:ascii="Calibri" w:eastAsia="Calibri" w:hAnsi="Calibri" w:cs="Calibri"/>
          <w:color w:val="1A1A1A"/>
        </w:rPr>
        <w:t xml:space="preserve"> dans l’intérêt de la moralité, de l’ordre public ou de la sécurité nationale, dans l’intérêt des mineurs, si la protection de la vie privée des parties l’exige, ou lorsque la publicité serait de nature à porter atteinte aux intérêts de la justice (</w:t>
      </w:r>
      <w:r>
        <w:rPr>
          <w:rFonts w:ascii="Calibri" w:eastAsia="Calibri" w:hAnsi="Calibri" w:cs="Calibri"/>
          <w:color w:val="E91E63"/>
        </w:rPr>
        <w:t>CEDH, 1er mars 2011, Welke et Białek c. Pologne, n° 15924/04</w:t>
      </w:r>
      <w:r>
        <w:rPr>
          <w:rFonts w:ascii="Calibri" w:eastAsia="Calibri" w:hAnsi="Calibri" w:cs="Calibri"/>
          <w:color w:val="1A1A1A"/>
        </w:rPr>
        <w:t xml:space="preserve">). Le Conseil d’État a consacré la publicité des débats judiciaires comme un </w:t>
      </w:r>
      <w:r>
        <w:rPr>
          <w:rFonts w:ascii="Calibri" w:eastAsia="Calibri" w:hAnsi="Calibri" w:cs="Calibri"/>
          <w:b/>
          <w:bCs/>
          <w:color w:val="1A1A1A"/>
        </w:rPr>
        <w:t>principe général du droit</w:t>
      </w:r>
      <w:r>
        <w:rPr>
          <w:rFonts w:ascii="Calibri" w:eastAsia="Calibri" w:hAnsi="Calibri" w:cs="Calibri"/>
          <w:color w:val="1A1A1A"/>
        </w:rPr>
        <w:t>.</w:t>
      </w:r>
    </w:p>
    <w:p w14:paraId="6A264DED"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Le délai raisonnable</w:t>
      </w:r>
      <w:r>
        <w:rPr>
          <w:rFonts w:ascii="Calibri" w:eastAsia="Calibri" w:hAnsi="Calibri" w:cs="Calibri"/>
          <w:color w:val="1A1A1A"/>
        </w:rPr>
        <w:t xml:space="preserve"> : il favorise la bonne administration de la justice, évite les dénis de justice et le prolongement de l’incertitude due à l’attente. Point de départ : en matière civile, la saisine de la juridiction ; en matière pénale, la notification officielle des charges ou l’arrestation ou la mise en examen. </w:t>
      </w:r>
      <w:r w:rsidRPr="00B20DB8">
        <w:rPr>
          <w:rFonts w:ascii="Calibri" w:eastAsia="Calibri" w:hAnsi="Calibri" w:cs="Calibri"/>
          <w:b/>
          <w:bCs/>
          <w:color w:val="1A1A1A"/>
          <w:highlight w:val="yellow"/>
        </w:rPr>
        <w:t>Quatre critères</w:t>
      </w:r>
      <w:r>
        <w:rPr>
          <w:rFonts w:ascii="Calibri" w:eastAsia="Calibri" w:hAnsi="Calibri" w:cs="Calibri"/>
          <w:color w:val="1A1A1A"/>
        </w:rPr>
        <w:t xml:space="preserve"> : la </w:t>
      </w:r>
      <w:r>
        <w:rPr>
          <w:rFonts w:ascii="Calibri" w:eastAsia="Calibri" w:hAnsi="Calibri" w:cs="Calibri"/>
          <w:b/>
          <w:bCs/>
          <w:color w:val="1A1A1A"/>
        </w:rPr>
        <w:t>complexité de l’affaire</w:t>
      </w:r>
      <w:r>
        <w:rPr>
          <w:rFonts w:ascii="Calibri" w:eastAsia="Calibri" w:hAnsi="Calibri" w:cs="Calibri"/>
          <w:color w:val="1A1A1A"/>
        </w:rPr>
        <w:t xml:space="preserve"> (nombre et diversité des acteurs, chefs d’inculpation, dimension, expertise nécessaire) ; le </w:t>
      </w:r>
      <w:r>
        <w:rPr>
          <w:rFonts w:ascii="Calibri" w:eastAsia="Calibri" w:hAnsi="Calibri" w:cs="Calibri"/>
          <w:b/>
          <w:bCs/>
          <w:color w:val="1A1A1A"/>
        </w:rPr>
        <w:t>comportement du requérant</w:t>
      </w:r>
      <w:r>
        <w:rPr>
          <w:rFonts w:ascii="Calibri" w:eastAsia="Calibri" w:hAnsi="Calibri" w:cs="Calibri"/>
          <w:color w:val="1A1A1A"/>
        </w:rPr>
        <w:t xml:space="preserve"> (procédures complémentaires, multiplication des voies de recours) ; le </w:t>
      </w:r>
      <w:r>
        <w:rPr>
          <w:rFonts w:ascii="Calibri" w:eastAsia="Calibri" w:hAnsi="Calibri" w:cs="Calibri"/>
          <w:b/>
          <w:bCs/>
          <w:color w:val="1A1A1A"/>
        </w:rPr>
        <w:t>comportement des autorités compétentes</w:t>
      </w:r>
      <w:r>
        <w:rPr>
          <w:rFonts w:ascii="Calibri" w:eastAsia="Calibri" w:hAnsi="Calibri" w:cs="Calibri"/>
          <w:color w:val="1A1A1A"/>
        </w:rPr>
        <w:t xml:space="preserve"> (les retards dus à des réformes structurelles ou à un engorgement passager ne causent pas de violation, mais obligent les autorités à prendre des mesures adéquates) ; l’</w:t>
      </w:r>
      <w:r>
        <w:rPr>
          <w:rFonts w:ascii="Calibri" w:eastAsia="Calibri" w:hAnsi="Calibri" w:cs="Calibri"/>
          <w:b/>
          <w:bCs/>
          <w:color w:val="1A1A1A"/>
        </w:rPr>
        <w:t>enjeu de l’affaire pour le requérant</w:t>
      </w:r>
      <w:r>
        <w:rPr>
          <w:rFonts w:ascii="Calibri" w:eastAsia="Calibri" w:hAnsi="Calibri" w:cs="Calibri"/>
          <w:color w:val="1A1A1A"/>
        </w:rPr>
        <w:t xml:space="preserve"> — le caractère médiatique de l’affaire ne change rien à ce critère. Le justiciable peut demander </w:t>
      </w:r>
      <w:r>
        <w:rPr>
          <w:rFonts w:ascii="Calibri" w:eastAsia="Calibri" w:hAnsi="Calibri" w:cs="Calibri"/>
          <w:b/>
          <w:bCs/>
          <w:color w:val="1A1A1A"/>
        </w:rPr>
        <w:t>réparation</w:t>
      </w:r>
      <w:r>
        <w:rPr>
          <w:rFonts w:ascii="Calibri" w:eastAsia="Calibri" w:hAnsi="Calibri" w:cs="Calibri"/>
          <w:color w:val="1A1A1A"/>
        </w:rPr>
        <w:t xml:space="preserve"> du dommage causé par une durée excessive.</w:t>
      </w:r>
    </w:p>
    <w:p w14:paraId="5A8870B6" w14:textId="77777777" w:rsidR="00520D98" w:rsidRDefault="00000000">
      <w:pPr>
        <w:pStyle w:val="Titre3"/>
        <w:spacing w:before="200" w:after="90"/>
      </w:pPr>
      <w:r>
        <w:rPr>
          <w:rFonts w:ascii="Calibri" w:eastAsia="Calibri" w:hAnsi="Calibri" w:cs="Calibri"/>
          <w:b/>
          <w:bCs/>
          <w:i/>
          <w:iCs/>
          <w:color w:val="5A5A5A"/>
          <w:sz w:val="21"/>
          <w:szCs w:val="21"/>
        </w:rPr>
        <w:t>4.3. Les exigences institutionnelles</w:t>
      </w:r>
    </w:p>
    <w:p w14:paraId="3F58DA5F"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Légalité, indépendance, impartialité</w:t>
      </w:r>
      <w:r>
        <w:rPr>
          <w:rFonts w:ascii="Calibri" w:eastAsia="Calibri" w:hAnsi="Calibri" w:cs="Calibri"/>
          <w:color w:val="1A1A1A"/>
        </w:rPr>
        <w:t xml:space="preserve"> : la légalité du tribunal est en général la première étape du raisonnement et une condition découlant de l’État de droit. Références utiles : </w:t>
      </w:r>
      <w:r>
        <w:rPr>
          <w:rFonts w:ascii="Calibri" w:eastAsia="Calibri" w:hAnsi="Calibri" w:cs="Calibri"/>
          <w:color w:val="1E88E5"/>
        </w:rPr>
        <w:t>Charte européenne sur le statut des juges</w:t>
      </w:r>
      <w:r>
        <w:rPr>
          <w:rFonts w:ascii="Calibri" w:eastAsia="Calibri" w:hAnsi="Calibri" w:cs="Calibri"/>
          <w:color w:val="1A1A1A"/>
        </w:rPr>
        <w:t xml:space="preserve"> adoptée en 1998 dans le cadre du Conseil de l’Europe ; travaux de la </w:t>
      </w:r>
      <w:r>
        <w:rPr>
          <w:rFonts w:ascii="Calibri" w:eastAsia="Calibri" w:hAnsi="Calibri" w:cs="Calibri"/>
          <w:color w:val="2E7D32"/>
        </w:rPr>
        <w:t>Commission de Venise</w:t>
      </w:r>
      <w:r>
        <w:rPr>
          <w:rFonts w:ascii="Calibri" w:eastAsia="Calibri" w:hAnsi="Calibri" w:cs="Calibri"/>
          <w:color w:val="1A1A1A"/>
        </w:rPr>
        <w:t>.</w:t>
      </w:r>
    </w:p>
    <w:p w14:paraId="2A240277" w14:textId="77777777" w:rsidR="007B3C59" w:rsidRPr="007B3C59" w:rsidRDefault="00000000">
      <w:pPr>
        <w:pStyle w:val="Paragraphedeliste"/>
        <w:numPr>
          <w:ilvl w:val="0"/>
          <w:numId w:val="2"/>
        </w:numPr>
        <w:spacing w:after="70" w:line="264" w:lineRule="auto"/>
        <w:jc w:val="both"/>
      </w:pPr>
      <w:r>
        <w:rPr>
          <w:rFonts w:ascii="Calibri" w:eastAsia="Calibri" w:hAnsi="Calibri" w:cs="Calibri"/>
          <w:b/>
          <w:bCs/>
          <w:color w:val="1A1A1A"/>
        </w:rPr>
        <w:t>Indépendance</w:t>
      </w:r>
      <w:r>
        <w:rPr>
          <w:rFonts w:ascii="Calibri" w:eastAsia="Calibri" w:hAnsi="Calibri" w:cs="Calibri"/>
          <w:color w:val="1A1A1A"/>
        </w:rPr>
        <w:t xml:space="preserve"> : mesurée par le </w:t>
      </w:r>
      <w:r>
        <w:rPr>
          <w:rFonts w:ascii="Calibri" w:eastAsia="Calibri" w:hAnsi="Calibri" w:cs="Calibri"/>
          <w:b/>
          <w:bCs/>
          <w:color w:val="1A1A1A"/>
        </w:rPr>
        <w:t>degré de liberté du tribunal vis-à-vis des autres pouvoirs</w:t>
      </w:r>
      <w:r>
        <w:rPr>
          <w:rFonts w:ascii="Calibri" w:eastAsia="Calibri" w:hAnsi="Calibri" w:cs="Calibri"/>
          <w:color w:val="1A1A1A"/>
        </w:rPr>
        <w:t xml:space="preserve">, particulièrement de l’exécutif et du législatif ; fondements : </w:t>
      </w:r>
      <w:r>
        <w:rPr>
          <w:rFonts w:ascii="Calibri" w:eastAsia="Calibri" w:hAnsi="Calibri" w:cs="Calibri"/>
          <w:color w:val="1E88E5"/>
        </w:rPr>
        <w:t>art. 6 CEDH</w:t>
      </w:r>
      <w:r>
        <w:rPr>
          <w:rFonts w:ascii="Calibri" w:eastAsia="Calibri" w:hAnsi="Calibri" w:cs="Calibri"/>
          <w:color w:val="1A1A1A"/>
        </w:rPr>
        <w:t xml:space="preserve">, </w:t>
      </w:r>
      <w:r>
        <w:rPr>
          <w:rFonts w:ascii="Calibri" w:eastAsia="Calibri" w:hAnsi="Calibri" w:cs="Calibri"/>
          <w:color w:val="1E88E5"/>
        </w:rPr>
        <w:t>art. 16 DDHC</w:t>
      </w:r>
      <w:r>
        <w:rPr>
          <w:rFonts w:ascii="Calibri" w:eastAsia="Calibri" w:hAnsi="Calibri" w:cs="Calibri"/>
          <w:color w:val="1A1A1A"/>
        </w:rPr>
        <w:t xml:space="preserve">, </w:t>
      </w:r>
      <w:r>
        <w:rPr>
          <w:rFonts w:ascii="Calibri" w:eastAsia="Calibri" w:hAnsi="Calibri" w:cs="Calibri"/>
          <w:color w:val="1E88E5"/>
        </w:rPr>
        <w:t>art. 64 de la Constitution</w:t>
      </w:r>
      <w:r>
        <w:rPr>
          <w:rFonts w:ascii="Calibri" w:eastAsia="Calibri" w:hAnsi="Calibri" w:cs="Calibri"/>
          <w:color w:val="1A1A1A"/>
        </w:rPr>
        <w:t>. Les magistrats du siège et du parquet ne bénéficient pas exactement des mêmes prérogatives. Le Conseil constitutionnel reconnaît l’indépendance de la juridiction administrative comme un PFRLR (</w:t>
      </w:r>
      <w:r>
        <w:rPr>
          <w:rFonts w:ascii="Calibri" w:eastAsia="Calibri" w:hAnsi="Calibri" w:cs="Calibri"/>
          <w:color w:val="E91E63"/>
        </w:rPr>
        <w:t>Cons. const., déc. n° 80-119 DC, 22 juillet 1980</w:t>
      </w:r>
      <w:r>
        <w:rPr>
          <w:rFonts w:ascii="Calibri" w:eastAsia="Calibri" w:hAnsi="Calibri" w:cs="Calibri"/>
          <w:color w:val="1A1A1A"/>
        </w:rPr>
        <w:t xml:space="preserve">) ; le Conseil d’État reconnaît un </w:t>
      </w:r>
      <w:r>
        <w:rPr>
          <w:rFonts w:ascii="Calibri" w:eastAsia="Calibri" w:hAnsi="Calibri" w:cs="Calibri"/>
          <w:b/>
          <w:bCs/>
          <w:color w:val="1A1A1A"/>
        </w:rPr>
        <w:t xml:space="preserve">principe général du droit inhérent </w:t>
      </w:r>
      <w:proofErr w:type="gramStart"/>
      <w:r>
        <w:rPr>
          <w:rFonts w:ascii="Calibri" w:eastAsia="Calibri" w:hAnsi="Calibri" w:cs="Calibri"/>
          <w:b/>
          <w:bCs/>
          <w:color w:val="1A1A1A"/>
        </w:rPr>
        <w:t>à</w:t>
      </w:r>
      <w:proofErr w:type="gramEnd"/>
      <w:r>
        <w:rPr>
          <w:rFonts w:ascii="Calibri" w:eastAsia="Calibri" w:hAnsi="Calibri" w:cs="Calibri"/>
          <w:b/>
          <w:bCs/>
          <w:color w:val="1A1A1A"/>
        </w:rPr>
        <w:t xml:space="preserve"> la fonction de juger</w:t>
      </w:r>
      <w:r>
        <w:rPr>
          <w:rFonts w:ascii="Calibri" w:eastAsia="Calibri" w:hAnsi="Calibri" w:cs="Calibri"/>
          <w:color w:val="1A1A1A"/>
        </w:rPr>
        <w:t xml:space="preserve"> (</w:t>
      </w:r>
      <w:r>
        <w:rPr>
          <w:rFonts w:ascii="Calibri" w:eastAsia="Calibri" w:hAnsi="Calibri" w:cs="Calibri"/>
          <w:color w:val="E91E63"/>
        </w:rPr>
        <w:t>CE, Ass., 6 décembre 2002, Trognon, n° 240028</w:t>
      </w:r>
      <w:r>
        <w:rPr>
          <w:rFonts w:ascii="Calibri" w:eastAsia="Calibri" w:hAnsi="Calibri" w:cs="Calibri"/>
          <w:color w:val="1A1A1A"/>
        </w:rPr>
        <w:t xml:space="preserve">). </w:t>
      </w:r>
    </w:p>
    <w:p w14:paraId="4EBE49B3" w14:textId="5832A655" w:rsidR="00520D98" w:rsidRDefault="00000000" w:rsidP="007B3C59">
      <w:pPr>
        <w:pStyle w:val="Paragraphedeliste"/>
        <w:spacing w:after="70" w:line="264" w:lineRule="auto"/>
        <w:ind w:left="340"/>
        <w:jc w:val="both"/>
      </w:pPr>
      <w:r>
        <w:rPr>
          <w:rFonts w:ascii="Calibri" w:eastAsia="Calibri" w:hAnsi="Calibri" w:cs="Calibri"/>
          <w:b/>
          <w:bCs/>
          <w:color w:val="1A1A1A"/>
        </w:rPr>
        <w:t>Critères</w:t>
      </w:r>
      <w:r>
        <w:rPr>
          <w:rFonts w:ascii="Calibri" w:eastAsia="Calibri" w:hAnsi="Calibri" w:cs="Calibri"/>
          <w:color w:val="1A1A1A"/>
        </w:rPr>
        <w:t xml:space="preserve"> : mode de désignation des membres, durée de leur mandat, existence d’une protection contre les pressions et instructions extérieures, </w:t>
      </w:r>
      <w:r>
        <w:rPr>
          <w:rFonts w:ascii="Calibri" w:eastAsia="Calibri" w:hAnsi="Calibri" w:cs="Calibri"/>
          <w:b/>
          <w:bCs/>
          <w:color w:val="1A1A1A"/>
        </w:rPr>
        <w:t>inamovibilité</w:t>
      </w:r>
      <w:r>
        <w:rPr>
          <w:rFonts w:ascii="Calibri" w:eastAsia="Calibri" w:hAnsi="Calibri" w:cs="Calibri"/>
          <w:color w:val="1A1A1A"/>
        </w:rPr>
        <w:t xml:space="preserve"> (</w:t>
      </w:r>
      <w:r>
        <w:rPr>
          <w:rFonts w:ascii="Calibri" w:eastAsia="Calibri" w:hAnsi="Calibri" w:cs="Calibri"/>
          <w:color w:val="E91E63"/>
        </w:rPr>
        <w:t>CEDH, GC, 26 juin 2016, Baka c. Hongrie, n° 20261/12</w:t>
      </w:r>
      <w:r>
        <w:rPr>
          <w:rFonts w:ascii="Calibri" w:eastAsia="Calibri" w:hAnsi="Calibri" w:cs="Calibri"/>
          <w:color w:val="1A1A1A"/>
        </w:rPr>
        <w:t xml:space="preserve">), et existence d’une </w:t>
      </w:r>
      <w:r>
        <w:rPr>
          <w:rFonts w:ascii="Calibri" w:eastAsia="Calibri" w:hAnsi="Calibri" w:cs="Calibri"/>
          <w:b/>
          <w:bCs/>
          <w:color w:val="1A1A1A"/>
        </w:rPr>
        <w:t>apparence d’indépendance</w:t>
      </w:r>
      <w:r>
        <w:rPr>
          <w:rFonts w:ascii="Calibri" w:eastAsia="Calibri" w:hAnsi="Calibri" w:cs="Calibri"/>
          <w:color w:val="1A1A1A"/>
        </w:rPr>
        <w:t xml:space="preserve"> aux yeux des justiciables (</w:t>
      </w:r>
      <w:r>
        <w:rPr>
          <w:rFonts w:ascii="Calibri" w:eastAsia="Calibri" w:hAnsi="Calibri" w:cs="Calibri"/>
          <w:color w:val="E91E63"/>
        </w:rPr>
        <w:t>CEDH, GC, 7 juin 2001, Kress c. France, n° 39594/98</w:t>
      </w:r>
      <w:r>
        <w:rPr>
          <w:rFonts w:ascii="Calibri" w:eastAsia="Calibri" w:hAnsi="Calibri" w:cs="Calibri"/>
          <w:color w:val="1A1A1A"/>
        </w:rPr>
        <w:t xml:space="preserve"> ; </w:t>
      </w:r>
      <w:r>
        <w:rPr>
          <w:rFonts w:ascii="Calibri" w:eastAsia="Calibri" w:hAnsi="Calibri" w:cs="Calibri"/>
          <w:color w:val="E91E63"/>
        </w:rPr>
        <w:t>CEDH, 4 juin 2013, François Marc-Antoine c. France, n° 54984/09</w:t>
      </w:r>
      <w:r>
        <w:rPr>
          <w:rFonts w:ascii="Calibri" w:eastAsia="Calibri" w:hAnsi="Calibri" w:cs="Calibri"/>
          <w:color w:val="1A1A1A"/>
        </w:rPr>
        <w:t xml:space="preserve">). La présence au sein d’un tribunal de personnels de l’État relevant de l’administration et soumis à l’autorité hiérarchique du Gouvernement ne satisfait pas au principe </w:t>
      </w:r>
      <w:r>
        <w:rPr>
          <w:rFonts w:ascii="Calibri" w:eastAsia="Calibri" w:hAnsi="Calibri" w:cs="Calibri"/>
          <w:color w:val="1A1A1A"/>
        </w:rPr>
        <w:lastRenderedPageBreak/>
        <w:t>d’indépendance (</w:t>
      </w:r>
      <w:r>
        <w:rPr>
          <w:rFonts w:ascii="Calibri" w:eastAsia="Calibri" w:hAnsi="Calibri" w:cs="Calibri"/>
          <w:color w:val="E91E63"/>
        </w:rPr>
        <w:t>Cons. const., déc. n° 2010-10 QPC, 2 juillet 2010, Consorts C. et a.</w:t>
      </w:r>
      <w:r>
        <w:rPr>
          <w:rFonts w:ascii="Calibri" w:eastAsia="Calibri" w:hAnsi="Calibri" w:cs="Calibri"/>
          <w:color w:val="1A1A1A"/>
        </w:rPr>
        <w:t xml:space="preserve">). Le </w:t>
      </w:r>
      <w:r>
        <w:rPr>
          <w:rFonts w:ascii="Calibri" w:eastAsia="Calibri" w:hAnsi="Calibri" w:cs="Calibri"/>
          <w:b/>
          <w:bCs/>
          <w:color w:val="1A1A1A"/>
        </w:rPr>
        <w:t>Conseil supérieur de la magistrature</w:t>
      </w:r>
      <w:r>
        <w:rPr>
          <w:rFonts w:ascii="Calibri" w:eastAsia="Calibri" w:hAnsi="Calibri" w:cs="Calibri"/>
          <w:color w:val="1A1A1A"/>
        </w:rPr>
        <w:t>, agissant indépendamment des ordres exécutif et législatif, constitue un rempart essentiel contre les influences de l’exécutif (</w:t>
      </w:r>
      <w:r>
        <w:rPr>
          <w:rFonts w:ascii="Calibri" w:eastAsia="Calibri" w:hAnsi="Calibri" w:cs="Calibri"/>
          <w:color w:val="E91E63"/>
        </w:rPr>
        <w:t>CEDH, 15 mars 2022, Grzęda c. Pologne, n° 43572/18</w:t>
      </w:r>
      <w:r>
        <w:rPr>
          <w:rFonts w:ascii="Calibri" w:eastAsia="Calibri" w:hAnsi="Calibri" w:cs="Calibri"/>
          <w:color w:val="1A1A1A"/>
        </w:rPr>
        <w:t>).</w:t>
      </w:r>
    </w:p>
    <w:p w14:paraId="2C592FF0" w14:textId="77777777" w:rsidR="007B3C59" w:rsidRPr="007B3C59" w:rsidRDefault="00000000">
      <w:pPr>
        <w:pStyle w:val="Paragraphedeliste"/>
        <w:numPr>
          <w:ilvl w:val="0"/>
          <w:numId w:val="2"/>
        </w:numPr>
        <w:spacing w:after="70" w:line="264" w:lineRule="auto"/>
        <w:jc w:val="both"/>
      </w:pPr>
      <w:r>
        <w:rPr>
          <w:rFonts w:ascii="Calibri" w:eastAsia="Calibri" w:hAnsi="Calibri" w:cs="Calibri"/>
          <w:b/>
          <w:bCs/>
          <w:color w:val="1A1A1A"/>
        </w:rPr>
        <w:t>Impartialité</w:t>
      </w:r>
      <w:r>
        <w:rPr>
          <w:rFonts w:ascii="Calibri" w:eastAsia="Calibri" w:hAnsi="Calibri" w:cs="Calibri"/>
          <w:color w:val="1A1A1A"/>
        </w:rPr>
        <w:t xml:space="preserve"> : entendue comme l’abolition par le magistrat de ses déterminismes et de ses préjugés, elle implique d’exercer ses fonctions </w:t>
      </w:r>
      <w:r>
        <w:rPr>
          <w:rFonts w:ascii="Calibri" w:eastAsia="Calibri" w:hAnsi="Calibri" w:cs="Calibri"/>
          <w:b/>
          <w:bCs/>
          <w:color w:val="1A1A1A"/>
        </w:rPr>
        <w:t>sans préjugé ni parti pris</w:t>
      </w:r>
      <w:r>
        <w:rPr>
          <w:rFonts w:ascii="Calibri" w:eastAsia="Calibri" w:hAnsi="Calibri" w:cs="Calibri"/>
          <w:color w:val="1A1A1A"/>
        </w:rPr>
        <w:t xml:space="preserve">. Deux types : l’impartialité </w:t>
      </w:r>
      <w:r>
        <w:rPr>
          <w:rFonts w:ascii="Calibri" w:eastAsia="Calibri" w:hAnsi="Calibri" w:cs="Calibri"/>
          <w:b/>
          <w:bCs/>
          <w:color w:val="1A1A1A"/>
        </w:rPr>
        <w:t>subjective</w:t>
      </w:r>
      <w:r>
        <w:rPr>
          <w:rFonts w:ascii="Calibri" w:eastAsia="Calibri" w:hAnsi="Calibri" w:cs="Calibri"/>
          <w:color w:val="1A1A1A"/>
        </w:rPr>
        <w:t xml:space="preserve"> — intérêt personnel du juge dans l’exercice de ses fonctions ; « l’impartialité personnelle d’un magistrat se présume jusqu’à preuve du contraire », présomption </w:t>
      </w:r>
      <w:r>
        <w:rPr>
          <w:rFonts w:ascii="Calibri" w:eastAsia="Calibri" w:hAnsi="Calibri" w:cs="Calibri"/>
          <w:b/>
          <w:bCs/>
          <w:color w:val="1A1A1A"/>
        </w:rPr>
        <w:t>réfragable</w:t>
      </w:r>
      <w:r>
        <w:rPr>
          <w:rFonts w:ascii="Calibri" w:eastAsia="Calibri" w:hAnsi="Calibri" w:cs="Calibri"/>
          <w:color w:val="1A1A1A"/>
        </w:rPr>
        <w:t xml:space="preserve"> mais difficile à renverser (</w:t>
      </w:r>
      <w:r>
        <w:rPr>
          <w:rFonts w:ascii="Calibri" w:eastAsia="Calibri" w:hAnsi="Calibri" w:cs="Calibri"/>
          <w:color w:val="E91E63"/>
        </w:rPr>
        <w:t>CEDH, GC, 15 décembre 2005, Kyprianou c. Chypre, n° 73797/01</w:t>
      </w:r>
      <w:r>
        <w:rPr>
          <w:rFonts w:ascii="Calibri" w:eastAsia="Calibri" w:hAnsi="Calibri" w:cs="Calibri"/>
          <w:color w:val="1A1A1A"/>
        </w:rPr>
        <w:t xml:space="preserve">) ; l’impartialité </w:t>
      </w:r>
      <w:r>
        <w:rPr>
          <w:rFonts w:ascii="Calibri" w:eastAsia="Calibri" w:hAnsi="Calibri" w:cs="Calibri"/>
          <w:b/>
          <w:bCs/>
          <w:color w:val="1A1A1A"/>
        </w:rPr>
        <w:t>objective</w:t>
      </w:r>
      <w:r>
        <w:rPr>
          <w:rFonts w:ascii="Calibri" w:eastAsia="Calibri" w:hAnsi="Calibri" w:cs="Calibri"/>
          <w:color w:val="1A1A1A"/>
        </w:rPr>
        <w:t xml:space="preserve"> — éléments objectifs permettant de douter de l’impartialité (liens hiérarchiques ou personnels entre les magistrats ou les autres acteurs du procès, magistrat ayant déjà connu et jugé la même affaire). Il y a violation s’il existe des </w:t>
      </w:r>
      <w:r>
        <w:rPr>
          <w:rFonts w:ascii="Calibri" w:eastAsia="Calibri" w:hAnsi="Calibri" w:cs="Calibri"/>
          <w:b/>
          <w:bCs/>
          <w:color w:val="1A1A1A"/>
        </w:rPr>
        <w:t>raisons objectives</w:t>
      </w:r>
      <w:r>
        <w:rPr>
          <w:rFonts w:ascii="Calibri" w:eastAsia="Calibri" w:hAnsi="Calibri" w:cs="Calibri"/>
          <w:color w:val="1A1A1A"/>
        </w:rPr>
        <w:t xml:space="preserve"> tendant à penser à un manque d’impartialité, conformément à la </w:t>
      </w:r>
      <w:r>
        <w:rPr>
          <w:rFonts w:ascii="Calibri" w:eastAsia="Calibri" w:hAnsi="Calibri" w:cs="Calibri"/>
          <w:b/>
          <w:bCs/>
          <w:color w:val="1A1A1A"/>
        </w:rPr>
        <w:t>théorie des apparences</w:t>
      </w:r>
      <w:r>
        <w:rPr>
          <w:rFonts w:ascii="Calibri" w:eastAsia="Calibri" w:hAnsi="Calibri" w:cs="Calibri"/>
          <w:color w:val="1A1A1A"/>
        </w:rPr>
        <w:t xml:space="preserve"> ; la </w:t>
      </w:r>
      <w:r>
        <w:rPr>
          <w:rFonts w:ascii="Calibri" w:eastAsia="Calibri" w:hAnsi="Calibri" w:cs="Calibri"/>
          <w:b/>
          <w:bCs/>
          <w:color w:val="1A1A1A"/>
        </w:rPr>
        <w:t>récusation</w:t>
      </w:r>
      <w:r>
        <w:rPr>
          <w:rFonts w:ascii="Calibri" w:eastAsia="Calibri" w:hAnsi="Calibri" w:cs="Calibri"/>
          <w:color w:val="1A1A1A"/>
        </w:rPr>
        <w:t xml:space="preserve"> permet de préserver l’impartialité objective (</w:t>
      </w:r>
      <w:r>
        <w:rPr>
          <w:rFonts w:ascii="Calibri" w:eastAsia="Calibri" w:hAnsi="Calibri" w:cs="Calibri"/>
          <w:color w:val="1E88E5"/>
        </w:rPr>
        <w:t>art. 341 et s. CPC</w:t>
      </w:r>
      <w:r>
        <w:rPr>
          <w:rFonts w:ascii="Calibri" w:eastAsia="Calibri" w:hAnsi="Calibri" w:cs="Calibri"/>
          <w:color w:val="1A1A1A"/>
        </w:rPr>
        <w:t xml:space="preserve"> ; </w:t>
      </w:r>
      <w:r>
        <w:rPr>
          <w:rFonts w:ascii="Calibri" w:eastAsia="Calibri" w:hAnsi="Calibri" w:cs="Calibri"/>
          <w:color w:val="1E88E5"/>
        </w:rPr>
        <w:t>art. 668 et s. CPP</w:t>
      </w:r>
      <w:r>
        <w:rPr>
          <w:rFonts w:ascii="Calibri" w:eastAsia="Calibri" w:hAnsi="Calibri" w:cs="Calibri"/>
          <w:color w:val="1A1A1A"/>
        </w:rPr>
        <w:t xml:space="preserve">). </w:t>
      </w:r>
    </w:p>
    <w:p w14:paraId="751E3409" w14:textId="427F652C" w:rsidR="00520D98" w:rsidRDefault="00000000" w:rsidP="007B3C59">
      <w:pPr>
        <w:pStyle w:val="Paragraphedeliste"/>
        <w:spacing w:after="70" w:line="264" w:lineRule="auto"/>
        <w:ind w:left="340"/>
        <w:jc w:val="both"/>
      </w:pPr>
      <w:r w:rsidRPr="007B3C59">
        <w:rPr>
          <w:rFonts w:ascii="Calibri" w:eastAsia="Calibri" w:hAnsi="Calibri" w:cs="Calibri"/>
          <w:color w:val="1A1A1A"/>
          <w:highlight w:val="yellow"/>
        </w:rPr>
        <w:t xml:space="preserve">Voir également la saisine QPC du </w:t>
      </w:r>
      <w:r w:rsidRPr="007B3C59">
        <w:rPr>
          <w:rFonts w:ascii="Calibri" w:eastAsia="Calibri" w:hAnsi="Calibri" w:cs="Calibri"/>
          <w:b/>
          <w:bCs/>
          <w:color w:val="1A1A1A"/>
          <w:highlight w:val="yellow"/>
        </w:rPr>
        <w:t>11 juin 2025, n° 2025-1153</w:t>
      </w:r>
      <w:r w:rsidRPr="007B3C59">
        <w:rPr>
          <w:rFonts w:ascii="Calibri" w:eastAsia="Calibri" w:hAnsi="Calibri" w:cs="Calibri"/>
          <w:color w:val="1A1A1A"/>
          <w:highlight w:val="yellow"/>
        </w:rPr>
        <w:t>, relative à l’impartialité du Parquet européen</w:t>
      </w:r>
      <w:r>
        <w:rPr>
          <w:rFonts w:ascii="Calibri" w:eastAsia="Calibri" w:hAnsi="Calibri" w:cs="Calibri"/>
          <w:color w:val="1A1A1A"/>
        </w:rPr>
        <w:t xml:space="preserve">. </w:t>
      </w:r>
      <w:r>
        <w:rPr>
          <w:rFonts w:ascii="Calibri" w:eastAsia="Calibri" w:hAnsi="Calibri" w:cs="Calibri"/>
          <w:b/>
          <w:bCs/>
          <w:color w:val="1A1A1A"/>
        </w:rPr>
        <w:t>Précédent institutionnel</w:t>
      </w:r>
      <w:r>
        <w:rPr>
          <w:rFonts w:ascii="Calibri" w:eastAsia="Calibri" w:hAnsi="Calibri" w:cs="Calibri"/>
          <w:color w:val="1A1A1A"/>
        </w:rPr>
        <w:t xml:space="preserve"> : après le suspens né de </w:t>
      </w:r>
      <w:r>
        <w:rPr>
          <w:rFonts w:ascii="Calibri" w:eastAsia="Calibri" w:hAnsi="Calibri" w:cs="Calibri"/>
          <w:color w:val="E91E63"/>
        </w:rPr>
        <w:t>CEDH, 28 septembre 1995, Procola c. Luxembourg, n° 14570/89</w:t>
      </w:r>
      <w:r>
        <w:rPr>
          <w:rFonts w:ascii="Calibri" w:eastAsia="Calibri" w:hAnsi="Calibri" w:cs="Calibri"/>
          <w:color w:val="1A1A1A"/>
        </w:rPr>
        <w:t>, la Cour a considéré que la dualité fonctionnelle du Conseil d’État ne violait pas l’</w:t>
      </w:r>
      <w:r>
        <w:rPr>
          <w:rFonts w:ascii="Calibri" w:eastAsia="Calibri" w:hAnsi="Calibri" w:cs="Calibri"/>
          <w:color w:val="1E88E5"/>
        </w:rPr>
        <w:t>art. 6</w:t>
      </w:r>
      <w:r>
        <w:rPr>
          <w:rFonts w:ascii="Calibri" w:eastAsia="Calibri" w:hAnsi="Calibri" w:cs="Calibri"/>
          <w:color w:val="1A1A1A"/>
        </w:rPr>
        <w:t xml:space="preserve"> dès lors qu’il ne s’agissait pas des mêmes conseillers d’État participant à ces deux fonctions sur une même affaire (</w:t>
      </w:r>
      <w:r>
        <w:rPr>
          <w:rFonts w:ascii="Calibri" w:eastAsia="Calibri" w:hAnsi="Calibri" w:cs="Calibri"/>
          <w:color w:val="E91E63"/>
        </w:rPr>
        <w:t>CEDH, 9 novembre 2011, Sacilor Lormines c. France, n° 65411/01</w:t>
      </w:r>
      <w:r>
        <w:rPr>
          <w:rFonts w:ascii="Calibri" w:eastAsia="Calibri" w:hAnsi="Calibri" w:cs="Calibri"/>
          <w:color w:val="1A1A1A"/>
        </w:rPr>
        <w:t xml:space="preserve">) — solution entérinée par les </w:t>
      </w:r>
      <w:r>
        <w:rPr>
          <w:rFonts w:ascii="Calibri" w:eastAsia="Calibri" w:hAnsi="Calibri" w:cs="Calibri"/>
          <w:color w:val="1E88E5"/>
        </w:rPr>
        <w:t>art. R. 122-21-1, L. 131-2 et L. 231-1-1 du CJA</w:t>
      </w:r>
      <w:r>
        <w:rPr>
          <w:rFonts w:ascii="Calibri" w:eastAsia="Calibri" w:hAnsi="Calibri" w:cs="Calibri"/>
          <w:color w:val="1A1A1A"/>
        </w:rPr>
        <w:t>.</w:t>
      </w:r>
    </w:p>
    <w:p w14:paraId="22BF3F92" w14:textId="77777777" w:rsidR="00520D98" w:rsidRDefault="00000000">
      <w:pPr>
        <w:pStyle w:val="Titre2"/>
        <w:spacing w:before="280" w:after="120"/>
      </w:pPr>
      <w:r>
        <w:rPr>
          <w:rFonts w:ascii="Calibri" w:eastAsia="Calibri" w:hAnsi="Calibri" w:cs="Calibri"/>
          <w:b/>
          <w:bCs/>
          <w:color w:val="1A1A1A"/>
          <w:sz w:val="24"/>
          <w:szCs w:val="24"/>
        </w:rPr>
        <w:t>5. Les restrictions au droit à un procès équitable</w:t>
      </w:r>
    </w:p>
    <w:p w14:paraId="1DF69916"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Un droit non absolu</w:t>
      </w:r>
      <w:r>
        <w:rPr>
          <w:rFonts w:ascii="Calibri" w:eastAsia="Calibri" w:hAnsi="Calibri" w:cs="Calibri"/>
          <w:color w:val="1A1A1A"/>
        </w:rPr>
        <w:t xml:space="preserve"> : il peut subir des restrictions au regard de la bonne administration de la justice, lesquelles forment en substance les conditions de recevabilité des recours. Les </w:t>
      </w:r>
      <w:r>
        <w:rPr>
          <w:rFonts w:ascii="Calibri" w:eastAsia="Calibri" w:hAnsi="Calibri" w:cs="Calibri"/>
          <w:b/>
          <w:bCs/>
          <w:color w:val="1A1A1A"/>
        </w:rPr>
        <w:t>délais</w:t>
      </w:r>
      <w:r>
        <w:rPr>
          <w:rFonts w:ascii="Calibri" w:eastAsia="Calibri" w:hAnsi="Calibri" w:cs="Calibri"/>
          <w:color w:val="1A1A1A"/>
        </w:rPr>
        <w:t xml:space="preserve"> de recours ou de pourvoi satisfont au principe de sécurité juridique, mais ne doivent pas restreindre le droit jusqu’à l’atteindre dans sa substance, à l’instar d’une interprétation excessivement stricte ou formelle d’une règle juridique (</w:t>
      </w:r>
      <w:r>
        <w:rPr>
          <w:rFonts w:ascii="Calibri" w:eastAsia="Calibri" w:hAnsi="Calibri" w:cs="Calibri"/>
          <w:color w:val="E91E63"/>
        </w:rPr>
        <w:t>CEDH, 26 juillet 2007, Walchli c. France, n° 35787/03</w:t>
      </w:r>
      <w:r>
        <w:rPr>
          <w:rFonts w:ascii="Calibri" w:eastAsia="Calibri" w:hAnsi="Calibri" w:cs="Calibri"/>
          <w:color w:val="1A1A1A"/>
        </w:rPr>
        <w:t xml:space="preserve">). Illustrations internes : un délai, même imprécis, mais « </w:t>
      </w:r>
      <w:r>
        <w:rPr>
          <w:rFonts w:ascii="Calibri" w:eastAsia="Calibri" w:hAnsi="Calibri" w:cs="Calibri"/>
          <w:i/>
          <w:iCs/>
          <w:color w:val="1A1A1A"/>
        </w:rPr>
        <w:t>clair dans son objectif et d’application simple selon une jurisprudence constante</w:t>
      </w:r>
      <w:r>
        <w:rPr>
          <w:rFonts w:ascii="Calibri" w:eastAsia="Calibri" w:hAnsi="Calibri" w:cs="Calibri"/>
          <w:color w:val="1A1A1A"/>
        </w:rPr>
        <w:t xml:space="preserve"> », ne contrevient pas au droit à un procès équitable (</w:t>
      </w:r>
      <w:r>
        <w:rPr>
          <w:rFonts w:ascii="Calibri" w:eastAsia="Calibri" w:hAnsi="Calibri" w:cs="Calibri"/>
          <w:color w:val="E91E63"/>
        </w:rPr>
        <w:t>Cass. civ. 1re, 21 mars 2000, Le Collinet, n° 98-11.982</w:t>
      </w:r>
      <w:r>
        <w:rPr>
          <w:rFonts w:ascii="Calibri" w:eastAsia="Calibri" w:hAnsi="Calibri" w:cs="Calibri"/>
          <w:color w:val="1A1A1A"/>
        </w:rPr>
        <w:t>) ; l’</w:t>
      </w:r>
      <w:r>
        <w:rPr>
          <w:rFonts w:ascii="Calibri" w:eastAsia="Calibri" w:hAnsi="Calibri" w:cs="Calibri"/>
          <w:b/>
          <w:bCs/>
          <w:color w:val="1A1A1A"/>
        </w:rPr>
        <w:t>erreur manifeste de pure forme</w:t>
      </w:r>
      <w:r>
        <w:rPr>
          <w:rFonts w:ascii="Calibri" w:eastAsia="Calibri" w:hAnsi="Calibri" w:cs="Calibri"/>
          <w:color w:val="1A1A1A"/>
        </w:rPr>
        <w:t xml:space="preserve"> n’est pas de nature à entraîner une irrecevabilité de l’appel (</w:t>
      </w:r>
      <w:r>
        <w:rPr>
          <w:rFonts w:ascii="Calibri" w:eastAsia="Calibri" w:hAnsi="Calibri" w:cs="Calibri"/>
          <w:color w:val="E91E63"/>
        </w:rPr>
        <w:t>Cass., ass. plén., 6 décembre 2004, Banco di Sicilia, n° 03-11.053</w:t>
      </w:r>
      <w:r>
        <w:rPr>
          <w:rFonts w:ascii="Calibri" w:eastAsia="Calibri" w:hAnsi="Calibri" w:cs="Calibri"/>
          <w:color w:val="1A1A1A"/>
        </w:rPr>
        <w:t>).</w:t>
      </w:r>
    </w:p>
    <w:p w14:paraId="47639D64" w14:textId="77777777" w:rsidR="006378DC" w:rsidRPr="006378DC" w:rsidRDefault="00000000">
      <w:pPr>
        <w:pStyle w:val="Paragraphedeliste"/>
        <w:numPr>
          <w:ilvl w:val="0"/>
          <w:numId w:val="2"/>
        </w:numPr>
        <w:spacing w:after="70" w:line="264" w:lineRule="auto"/>
        <w:jc w:val="both"/>
      </w:pPr>
      <w:r>
        <w:rPr>
          <w:rFonts w:ascii="Calibri" w:eastAsia="Calibri" w:hAnsi="Calibri" w:cs="Calibri"/>
          <w:b/>
          <w:bCs/>
          <w:color w:val="1A1A1A"/>
        </w:rPr>
        <w:t>Les immunités de juridiction</w:t>
      </w:r>
      <w:r>
        <w:rPr>
          <w:rFonts w:ascii="Calibri" w:eastAsia="Calibri" w:hAnsi="Calibri" w:cs="Calibri"/>
          <w:color w:val="1A1A1A"/>
        </w:rPr>
        <w:t xml:space="preserve"> : l’immunité des États étrangers est issue du droit international et participe du principe d’égalité souveraine des États et de souveraineté territoriale (</w:t>
      </w:r>
      <w:r>
        <w:rPr>
          <w:rFonts w:ascii="Calibri" w:eastAsia="Calibri" w:hAnsi="Calibri" w:cs="Calibri"/>
          <w:color w:val="E91E63"/>
        </w:rPr>
        <w:t>CEDH, GC, 21 novembre 2011, Al-</w:t>
      </w:r>
      <w:proofErr w:type="spellStart"/>
      <w:r>
        <w:rPr>
          <w:rFonts w:ascii="Calibri" w:eastAsia="Calibri" w:hAnsi="Calibri" w:cs="Calibri"/>
          <w:color w:val="E91E63"/>
        </w:rPr>
        <w:t>Adsani</w:t>
      </w:r>
      <w:proofErr w:type="spellEnd"/>
      <w:r>
        <w:rPr>
          <w:rFonts w:ascii="Calibri" w:eastAsia="Calibri" w:hAnsi="Calibri" w:cs="Calibri"/>
          <w:color w:val="E91E63"/>
        </w:rPr>
        <w:t xml:space="preserve"> c. Royaume-Uni, n° 35763/97</w:t>
      </w:r>
      <w:r>
        <w:rPr>
          <w:rFonts w:ascii="Calibri" w:eastAsia="Calibri" w:hAnsi="Calibri" w:cs="Calibri"/>
          <w:color w:val="1A1A1A"/>
        </w:rPr>
        <w:t>). Pour les organisations internationales, l’immunité favorise leur bon fonctionnement, l’individu devant cependant disposer d’une autre voie de droit propre à rendre effectif le droit d’accès à un tribunal (</w:t>
      </w:r>
      <w:r>
        <w:rPr>
          <w:rFonts w:ascii="Calibri" w:eastAsia="Calibri" w:hAnsi="Calibri" w:cs="Calibri"/>
          <w:color w:val="E91E63"/>
        </w:rPr>
        <w:t>Cass. civ. 1re, 25 mai 2016, n° 15-18.646</w:t>
      </w:r>
      <w:r>
        <w:rPr>
          <w:rFonts w:ascii="Calibri" w:eastAsia="Calibri" w:hAnsi="Calibri" w:cs="Calibri"/>
          <w:color w:val="1A1A1A"/>
        </w:rPr>
        <w:t xml:space="preserve">). Le principe n’est pas absolu : les États étrangers et les organisations qui en constituent l’émanation ne bénéficient de l’immunité, </w:t>
      </w:r>
      <w:r>
        <w:rPr>
          <w:rFonts w:ascii="Calibri" w:eastAsia="Calibri" w:hAnsi="Calibri" w:cs="Calibri"/>
          <w:b/>
          <w:bCs/>
          <w:color w:val="1A1A1A"/>
        </w:rPr>
        <w:t>relative et non absolue</w:t>
      </w:r>
      <w:r>
        <w:rPr>
          <w:rFonts w:ascii="Calibri" w:eastAsia="Calibri" w:hAnsi="Calibri" w:cs="Calibri"/>
          <w:color w:val="1A1A1A"/>
        </w:rPr>
        <w:t xml:space="preserve">, « </w:t>
      </w:r>
      <w:r>
        <w:rPr>
          <w:rFonts w:ascii="Calibri" w:eastAsia="Calibri" w:hAnsi="Calibri" w:cs="Calibri"/>
          <w:i/>
          <w:iCs/>
          <w:color w:val="1A1A1A"/>
        </w:rPr>
        <w:t>qu’autant que l’acte qui donne lieu au litige ou qui leur est imputé à faute participe, par sa nature et sa finalité, à l’exercice de la souveraineté de ces États et n’est donc pas un acte de gestion</w:t>
      </w:r>
      <w:r>
        <w:rPr>
          <w:rFonts w:ascii="Calibri" w:eastAsia="Calibri" w:hAnsi="Calibri" w:cs="Calibri"/>
          <w:color w:val="1A1A1A"/>
        </w:rPr>
        <w:t xml:space="preserve"> » (</w:t>
      </w:r>
      <w:r>
        <w:rPr>
          <w:rFonts w:ascii="Calibri" w:eastAsia="Calibri" w:hAnsi="Calibri" w:cs="Calibri"/>
          <w:color w:val="E91E63"/>
        </w:rPr>
        <w:t>Cass. civ. 1re, 9 mars 2011, n° 09-14.743</w:t>
      </w:r>
      <w:r>
        <w:rPr>
          <w:rFonts w:ascii="Calibri" w:eastAsia="Calibri" w:hAnsi="Calibri" w:cs="Calibri"/>
          <w:color w:val="1A1A1A"/>
        </w:rPr>
        <w:t xml:space="preserve">). </w:t>
      </w:r>
    </w:p>
    <w:p w14:paraId="185B9AB1" w14:textId="6EAB9442" w:rsidR="00520D98" w:rsidRDefault="00000000" w:rsidP="006378DC">
      <w:pPr>
        <w:pStyle w:val="Paragraphedeliste"/>
        <w:spacing w:after="70" w:line="264" w:lineRule="auto"/>
        <w:ind w:left="340"/>
        <w:jc w:val="both"/>
      </w:pPr>
      <w:r>
        <w:rPr>
          <w:rFonts w:ascii="Calibri" w:eastAsia="Calibri" w:hAnsi="Calibri" w:cs="Calibri"/>
          <w:b/>
          <w:bCs/>
          <w:color w:val="1A1A1A"/>
        </w:rPr>
        <w:t>Immunité parlementaire</w:t>
      </w:r>
      <w:r>
        <w:rPr>
          <w:rFonts w:ascii="Calibri" w:eastAsia="Calibri" w:hAnsi="Calibri" w:cs="Calibri"/>
          <w:color w:val="1A1A1A"/>
        </w:rPr>
        <w:t xml:space="preserve"> : elle poursuit un but légitime — l’indépendance du Parlement et la garantie de mise en œuvre de ses missions sans ingérence ni entrave (</w:t>
      </w:r>
      <w:r>
        <w:rPr>
          <w:rFonts w:ascii="Calibri" w:eastAsia="Calibri" w:hAnsi="Calibri" w:cs="Calibri"/>
          <w:color w:val="E91E63"/>
        </w:rPr>
        <w:t>CEDH, GC, 3 décembre 2009, Kart c. Turquie, n° 8917/05</w:t>
      </w:r>
      <w:r>
        <w:rPr>
          <w:rFonts w:ascii="Calibri" w:eastAsia="Calibri" w:hAnsi="Calibri" w:cs="Calibri"/>
          <w:color w:val="1A1A1A"/>
        </w:rPr>
        <w:t xml:space="preserve">) ; elle se divise en une </w:t>
      </w:r>
      <w:r>
        <w:rPr>
          <w:rFonts w:ascii="Calibri" w:eastAsia="Calibri" w:hAnsi="Calibri" w:cs="Calibri"/>
          <w:b/>
          <w:bCs/>
          <w:color w:val="1A1A1A"/>
        </w:rPr>
        <w:t>irresponsabilité</w:t>
      </w:r>
      <w:r>
        <w:rPr>
          <w:rFonts w:ascii="Calibri" w:eastAsia="Calibri" w:hAnsi="Calibri" w:cs="Calibri"/>
          <w:color w:val="1A1A1A"/>
        </w:rPr>
        <w:t xml:space="preserve"> (actes effectués dans le cadre du mandat) et une </w:t>
      </w:r>
      <w:r>
        <w:rPr>
          <w:rFonts w:ascii="Calibri" w:eastAsia="Calibri" w:hAnsi="Calibri" w:cs="Calibri"/>
          <w:b/>
          <w:bCs/>
          <w:color w:val="1A1A1A"/>
        </w:rPr>
        <w:t>inviolabilité</w:t>
      </w:r>
      <w:r>
        <w:rPr>
          <w:rFonts w:ascii="Calibri" w:eastAsia="Calibri" w:hAnsi="Calibri" w:cs="Calibri"/>
          <w:color w:val="1A1A1A"/>
        </w:rPr>
        <w:t xml:space="preserve"> (poursuites pénales pour des actes commis à titre privé) — depuis la </w:t>
      </w:r>
      <w:r w:rsidRPr="006378DC">
        <w:rPr>
          <w:rFonts w:ascii="Calibri" w:eastAsia="Calibri" w:hAnsi="Calibri" w:cs="Calibri"/>
          <w:color w:val="0070C0"/>
        </w:rPr>
        <w:t>réforme du 4 août 1995</w:t>
      </w:r>
      <w:r>
        <w:rPr>
          <w:rFonts w:ascii="Calibri" w:eastAsia="Calibri" w:hAnsi="Calibri" w:cs="Calibri"/>
          <w:color w:val="1A1A1A"/>
        </w:rPr>
        <w:t>, le député peut faire l’objet de poursuites, mais il ne peut être arrêté ou voir sa liberté restreinte, à l’exception des cas de flagrant délit, de crime ou d’exécution d’une condamnation.</w:t>
      </w:r>
    </w:p>
    <w:p w14:paraId="41E61FCE" w14:textId="77777777" w:rsidR="008A1922" w:rsidRPr="008A1922"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7B3C59">
        <w:rPr>
          <w:rFonts w:ascii="Calibri" w:eastAsia="Calibri" w:hAnsi="Calibri" w:cs="Calibri"/>
          <w:b/>
          <w:bCs/>
          <w:color w:val="1A1A1A"/>
          <w:highlight w:val="yellow"/>
        </w:rPr>
        <w:t>Actualité</w:t>
      </w:r>
      <w:r>
        <w:rPr>
          <w:rFonts w:ascii="Calibri" w:eastAsia="Calibri" w:hAnsi="Calibri" w:cs="Calibri"/>
          <w:b/>
          <w:bCs/>
          <w:color w:val="1A1A1A"/>
        </w:rPr>
        <w:t xml:space="preserve"> — immunité personnelle et immunité fonctionnelle</w:t>
      </w:r>
      <w:r>
        <w:rPr>
          <w:rFonts w:ascii="Calibri" w:eastAsia="Calibri" w:hAnsi="Calibri" w:cs="Calibri"/>
          <w:color w:val="1A1A1A"/>
        </w:rPr>
        <w:t xml:space="preserve"> : réunie en Assemblée plénière, la Cour de cassation a précisé en juillet 2025 le régime des immunités pénales des représentants d’États étrangers. </w:t>
      </w:r>
    </w:p>
    <w:p w14:paraId="42DF595E" w14:textId="0D744E22" w:rsidR="008A1922" w:rsidRPr="008A1922" w:rsidRDefault="00000000" w:rsidP="008A1922">
      <w:pPr>
        <w:pStyle w:val="Paragraphedeliste"/>
        <w:spacing w:after="70" w:line="264" w:lineRule="auto"/>
        <w:ind w:left="340"/>
        <w:jc w:val="both"/>
      </w:pPr>
      <w:r>
        <w:rPr>
          <w:rFonts w:ascii="Calibri" w:eastAsia="Calibri" w:hAnsi="Calibri" w:cs="Calibri"/>
          <w:color w:val="1A1A1A"/>
        </w:rPr>
        <w:t>D’une part, l’</w:t>
      </w:r>
      <w:r>
        <w:rPr>
          <w:rFonts w:ascii="Calibri" w:eastAsia="Calibri" w:hAnsi="Calibri" w:cs="Calibri"/>
          <w:b/>
          <w:bCs/>
          <w:color w:val="1A1A1A"/>
        </w:rPr>
        <w:t>immunité personnelle</w:t>
      </w:r>
      <w:r>
        <w:rPr>
          <w:rFonts w:ascii="Calibri" w:eastAsia="Calibri" w:hAnsi="Calibri" w:cs="Calibri"/>
          <w:color w:val="1A1A1A"/>
        </w:rPr>
        <w:t xml:space="preserve"> dont bénéficient les chefs d’État, chefs de gouvernement et ministres des affaires étrangères </w:t>
      </w:r>
      <w:r>
        <w:rPr>
          <w:rFonts w:ascii="Calibri" w:eastAsia="Calibri" w:hAnsi="Calibri" w:cs="Calibri"/>
          <w:b/>
          <w:bCs/>
          <w:color w:val="1A1A1A"/>
        </w:rPr>
        <w:t>en exercice</w:t>
      </w:r>
      <w:r>
        <w:rPr>
          <w:rFonts w:ascii="Calibri" w:eastAsia="Calibri" w:hAnsi="Calibri" w:cs="Calibri"/>
          <w:color w:val="1A1A1A"/>
        </w:rPr>
        <w:t xml:space="preserve"> demeure particulièrement protectrice : en l’état du droit international coutumier, elle s’oppose aux poursuites devant les juridictions pénales françaises </w:t>
      </w:r>
      <w:r>
        <w:rPr>
          <w:rFonts w:ascii="Calibri" w:eastAsia="Calibri" w:hAnsi="Calibri" w:cs="Calibri"/>
          <w:b/>
          <w:bCs/>
          <w:color w:val="1A1A1A"/>
        </w:rPr>
        <w:t>même lorsque sont reprochés des crimes contre l’humanité ou des crimes de guerre</w:t>
      </w:r>
      <w:r>
        <w:rPr>
          <w:rFonts w:ascii="Calibri" w:eastAsia="Calibri" w:hAnsi="Calibri" w:cs="Calibri"/>
          <w:color w:val="1A1A1A"/>
        </w:rPr>
        <w:t xml:space="preserve"> ; cette immunité est temporaire et cesse avec les fonctions (</w:t>
      </w:r>
      <w:r>
        <w:rPr>
          <w:rFonts w:ascii="Calibri" w:eastAsia="Calibri" w:hAnsi="Calibri" w:cs="Calibri"/>
          <w:color w:val="E91E63"/>
        </w:rPr>
        <w:t>Cass., Ass. plén., 25 juillet 2025, n° 24-84.393</w:t>
      </w:r>
      <w:r>
        <w:rPr>
          <w:rFonts w:ascii="Calibri" w:eastAsia="Calibri" w:hAnsi="Calibri" w:cs="Calibri"/>
          <w:color w:val="1A1A1A"/>
        </w:rPr>
        <w:t xml:space="preserve">). </w:t>
      </w:r>
    </w:p>
    <w:p w14:paraId="0D4A2689" w14:textId="6A0AFED6" w:rsidR="00520D98" w:rsidRDefault="00000000" w:rsidP="008A1922">
      <w:pPr>
        <w:pStyle w:val="Paragraphedeliste"/>
        <w:spacing w:after="70" w:line="264" w:lineRule="auto"/>
        <w:ind w:left="340"/>
        <w:jc w:val="both"/>
      </w:pPr>
      <w:r>
        <w:rPr>
          <w:rFonts w:ascii="Calibri" w:eastAsia="Calibri" w:hAnsi="Calibri" w:cs="Calibri"/>
          <w:color w:val="1A1A1A"/>
        </w:rPr>
        <w:t xml:space="preserve">D’autre part, la Cour reconnaît </w:t>
      </w:r>
      <w:r>
        <w:rPr>
          <w:rFonts w:ascii="Calibri" w:eastAsia="Calibri" w:hAnsi="Calibri" w:cs="Calibri"/>
          <w:b/>
          <w:bCs/>
          <w:color w:val="1A1A1A"/>
        </w:rPr>
        <w:t>pour la première fois</w:t>
      </w:r>
      <w:r>
        <w:rPr>
          <w:rFonts w:ascii="Calibri" w:eastAsia="Calibri" w:hAnsi="Calibri" w:cs="Calibri"/>
          <w:color w:val="1A1A1A"/>
        </w:rPr>
        <w:t xml:space="preserve"> qu’un agent d’un État étranger ne peut opposer son </w:t>
      </w:r>
      <w:r>
        <w:rPr>
          <w:rFonts w:ascii="Calibri" w:eastAsia="Calibri" w:hAnsi="Calibri" w:cs="Calibri"/>
          <w:b/>
          <w:bCs/>
          <w:color w:val="1A1A1A"/>
        </w:rPr>
        <w:t>immunité fonctionnelle</w:t>
      </w:r>
      <w:r>
        <w:rPr>
          <w:rFonts w:ascii="Calibri" w:eastAsia="Calibri" w:hAnsi="Calibri" w:cs="Calibri"/>
          <w:color w:val="1A1A1A"/>
        </w:rPr>
        <w:t xml:space="preserve"> lorsqu’il est poursuivi pour </w:t>
      </w:r>
      <w:r>
        <w:rPr>
          <w:rFonts w:ascii="Calibri" w:eastAsia="Calibri" w:hAnsi="Calibri" w:cs="Calibri"/>
          <w:b/>
          <w:bCs/>
          <w:color w:val="1A1A1A"/>
        </w:rPr>
        <w:t>génocide, crimes contre l’humanité ou crimes de guerre</w:t>
      </w:r>
      <w:r>
        <w:rPr>
          <w:rFonts w:ascii="Calibri" w:eastAsia="Calibri" w:hAnsi="Calibri" w:cs="Calibri"/>
          <w:color w:val="1A1A1A"/>
        </w:rPr>
        <w:t xml:space="preserve"> ; cette solution vaut également pour un ancien chef d’État, qui ne bénéficie plus, après la cessation de ses fonctions, que de l’immunité attachée aux actes accomplis dans l’exercice de celles-ci (</w:t>
      </w:r>
      <w:r>
        <w:rPr>
          <w:rFonts w:ascii="Calibri" w:eastAsia="Calibri" w:hAnsi="Calibri" w:cs="Calibri"/>
          <w:color w:val="E91E63"/>
        </w:rPr>
        <w:t>Cass., Ass. plén., 25 juillet 2025, n° 24-84.071</w:t>
      </w:r>
      <w:r>
        <w:rPr>
          <w:rFonts w:ascii="Calibri" w:eastAsia="Calibri" w:hAnsi="Calibri" w:cs="Calibri"/>
          <w:color w:val="1A1A1A"/>
        </w:rPr>
        <w:t xml:space="preserve">). </w:t>
      </w:r>
      <w:r w:rsidRPr="008A1922">
        <w:rPr>
          <w:rFonts w:ascii="Calibri" w:eastAsia="Calibri" w:hAnsi="Calibri" w:cs="Calibri"/>
          <w:b/>
          <w:bCs/>
          <w:color w:val="1A1A1A"/>
          <w:highlight w:val="yellow"/>
        </w:rPr>
        <w:lastRenderedPageBreak/>
        <w:t>À retenir</w:t>
      </w:r>
      <w:r>
        <w:rPr>
          <w:rFonts w:ascii="Calibri" w:eastAsia="Calibri" w:hAnsi="Calibri" w:cs="Calibri"/>
          <w:color w:val="1A1A1A"/>
        </w:rPr>
        <w:t xml:space="preserve"> : l’immunité ne signifie pas nécessairement impunité — elle demeure absolue pendant l’exercice de certaines fonctions, mais l’immunité fonctionnelle recule désormais devant la poursuite des crimes internationaux les plus graves.</w:t>
      </w:r>
    </w:p>
    <w:p w14:paraId="70B50C04" w14:textId="77777777" w:rsidR="00520D98" w:rsidRDefault="00000000">
      <w:pPr>
        <w:pStyle w:val="Titre2"/>
        <w:spacing w:before="280" w:after="120"/>
      </w:pPr>
      <w:r>
        <w:rPr>
          <w:rFonts w:ascii="Calibri" w:eastAsia="Calibri" w:hAnsi="Calibri" w:cs="Calibri"/>
          <w:b/>
          <w:bCs/>
          <w:color w:val="1A1A1A"/>
          <w:sz w:val="24"/>
          <w:szCs w:val="24"/>
        </w:rPr>
        <w:t>6. Dispositif « Grand Oral »</w:t>
      </w:r>
    </w:p>
    <w:p w14:paraId="6C9AE2C5" w14:textId="77777777" w:rsidR="00520D98" w:rsidRDefault="00000000">
      <w:pPr>
        <w:pStyle w:val="Titre3"/>
        <w:spacing w:before="200" w:after="90"/>
      </w:pPr>
      <w:r>
        <w:rPr>
          <w:rFonts w:ascii="Calibri" w:eastAsia="Calibri" w:hAnsi="Calibri" w:cs="Calibri"/>
          <w:b/>
          <w:bCs/>
          <w:i/>
          <w:iCs/>
          <w:color w:val="5A5A5A"/>
          <w:sz w:val="21"/>
          <w:szCs w:val="21"/>
        </w:rPr>
        <w:t>6.1. Trois relances / questions pièges</w:t>
      </w:r>
    </w:p>
    <w:p w14:paraId="0CFAA05F"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Quand l’article 13 est-il utile si l’article 6 s’applique ? »</w:t>
      </w:r>
      <w:r>
        <w:rPr>
          <w:rFonts w:ascii="Calibri" w:eastAsia="Calibri" w:hAnsi="Calibri" w:cs="Calibri"/>
          <w:color w:val="1A1A1A"/>
        </w:rPr>
        <w:t xml:space="preserve"> — Il ne l’est pratiquement plus, sauf pour le </w:t>
      </w:r>
      <w:r>
        <w:rPr>
          <w:rFonts w:ascii="Calibri" w:eastAsia="Calibri" w:hAnsi="Calibri" w:cs="Calibri"/>
          <w:b/>
          <w:bCs/>
          <w:color w:val="1A1A1A"/>
        </w:rPr>
        <w:t>délai raisonnable</w:t>
      </w:r>
      <w:r>
        <w:rPr>
          <w:rFonts w:ascii="Calibri" w:eastAsia="Calibri" w:hAnsi="Calibri" w:cs="Calibri"/>
          <w:color w:val="1A1A1A"/>
        </w:rPr>
        <w:t>, seule exception à l’absorption (</w:t>
      </w:r>
      <w:r>
        <w:rPr>
          <w:rFonts w:ascii="Calibri" w:eastAsia="Calibri" w:hAnsi="Calibri" w:cs="Calibri"/>
          <w:color w:val="E91E63"/>
        </w:rPr>
        <w:t>Kudla</w:t>
      </w:r>
      <w:r>
        <w:rPr>
          <w:rFonts w:ascii="Calibri" w:eastAsia="Calibri" w:hAnsi="Calibri" w:cs="Calibri"/>
          <w:color w:val="1A1A1A"/>
        </w:rPr>
        <w:t>). Ajouter que l’</w:t>
      </w:r>
      <w:r>
        <w:rPr>
          <w:rFonts w:ascii="Calibri" w:eastAsia="Calibri" w:hAnsi="Calibri" w:cs="Calibri"/>
          <w:color w:val="1E88E5"/>
        </w:rPr>
        <w:t>art. 13</w:t>
      </w:r>
      <w:r>
        <w:rPr>
          <w:rFonts w:ascii="Calibri" w:eastAsia="Calibri" w:hAnsi="Calibri" w:cs="Calibri"/>
          <w:color w:val="1A1A1A"/>
        </w:rPr>
        <w:t xml:space="preserve"> n’a pas d’existence indépendante et doit toujours être combiné.</w:t>
      </w:r>
    </w:p>
    <w:p w14:paraId="05E71948"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Une sanction administrative relève-t-elle de l’article 6 ? »</w:t>
      </w:r>
      <w:r>
        <w:rPr>
          <w:rFonts w:ascii="Calibri" w:eastAsia="Calibri" w:hAnsi="Calibri" w:cs="Calibri"/>
          <w:color w:val="1A1A1A"/>
        </w:rPr>
        <w:t xml:space="preserve"> — Possiblement, par les critères </w:t>
      </w:r>
      <w:r>
        <w:rPr>
          <w:rFonts w:ascii="Calibri" w:eastAsia="Calibri" w:hAnsi="Calibri" w:cs="Calibri"/>
          <w:i/>
          <w:iCs/>
          <w:color w:val="1A1A1A"/>
        </w:rPr>
        <w:t>Engel</w:t>
      </w:r>
      <w:r>
        <w:rPr>
          <w:rFonts w:ascii="Calibri" w:eastAsia="Calibri" w:hAnsi="Calibri" w:cs="Calibri"/>
          <w:color w:val="1A1A1A"/>
        </w:rPr>
        <w:t xml:space="preserve"> : la qualification interne n’est pas décisive, la nature de l’infraction et la sévérité de la sanction encourue étant alternatives. C’est ce qui explique l’application de l’article 6 en matière fiscale répressive (</w:t>
      </w:r>
      <w:r>
        <w:rPr>
          <w:rFonts w:ascii="Calibri" w:eastAsia="Calibri" w:hAnsi="Calibri" w:cs="Calibri"/>
          <w:color w:val="E91E63"/>
        </w:rPr>
        <w:t>Bendenoun</w:t>
      </w:r>
      <w:r>
        <w:rPr>
          <w:rFonts w:ascii="Calibri" w:eastAsia="Calibri" w:hAnsi="Calibri" w:cs="Calibri"/>
          <w:color w:val="1A1A1A"/>
        </w:rPr>
        <w:t>).</w:t>
      </w:r>
    </w:p>
    <w:p w14:paraId="0DC19E8D"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L’arbitrage est-il compatible avec le procès équitable ? »</w:t>
      </w:r>
      <w:r>
        <w:rPr>
          <w:rFonts w:ascii="Calibri" w:eastAsia="Calibri" w:hAnsi="Calibri" w:cs="Calibri"/>
          <w:color w:val="1A1A1A"/>
        </w:rPr>
        <w:t xml:space="preserve"> — Oui par principe, mais </w:t>
      </w:r>
      <w:r>
        <w:rPr>
          <w:rFonts w:ascii="Calibri" w:eastAsia="Calibri" w:hAnsi="Calibri" w:cs="Calibri"/>
          <w:color w:val="E91E63"/>
        </w:rPr>
        <w:t>Semenya</w:t>
      </w:r>
      <w:r>
        <w:rPr>
          <w:rFonts w:ascii="Calibri" w:eastAsia="Calibri" w:hAnsi="Calibri" w:cs="Calibri"/>
          <w:color w:val="1A1A1A"/>
        </w:rPr>
        <w:t xml:space="preserve"> pose une limite : lorsque l’arbitrage est </w:t>
      </w:r>
      <w:r>
        <w:rPr>
          <w:rFonts w:ascii="Calibri" w:eastAsia="Calibri" w:hAnsi="Calibri" w:cs="Calibri"/>
          <w:b/>
          <w:bCs/>
          <w:color w:val="1A1A1A"/>
        </w:rPr>
        <w:t>obligatoire</w:t>
      </w:r>
      <w:r>
        <w:rPr>
          <w:rFonts w:ascii="Calibri" w:eastAsia="Calibri" w:hAnsi="Calibri" w:cs="Calibri"/>
          <w:color w:val="1A1A1A"/>
        </w:rPr>
        <w:t xml:space="preserve"> et porte sur des droits fondamentaux, le juge étatique doit exercer un contrôle </w:t>
      </w:r>
      <w:r>
        <w:rPr>
          <w:rFonts w:ascii="Calibri" w:eastAsia="Calibri" w:hAnsi="Calibri" w:cs="Calibri"/>
          <w:b/>
          <w:bCs/>
          <w:color w:val="1A1A1A"/>
        </w:rPr>
        <w:t>particulièrement rigoureux</w:t>
      </w:r>
      <w:r>
        <w:rPr>
          <w:rFonts w:ascii="Calibri" w:eastAsia="Calibri" w:hAnsi="Calibri" w:cs="Calibri"/>
          <w:color w:val="1A1A1A"/>
        </w:rPr>
        <w:t xml:space="preserve"> de la sentence. Formule : plus l’arbitrage est contraint, plus l’exigence de contrôle est forte.</w:t>
      </w:r>
    </w:p>
    <w:p w14:paraId="57EC2DF6" w14:textId="77777777" w:rsidR="00520D98" w:rsidRDefault="00000000">
      <w:pPr>
        <w:pStyle w:val="Titre3"/>
        <w:spacing w:before="200" w:after="90"/>
      </w:pPr>
      <w:r>
        <w:rPr>
          <w:rFonts w:ascii="Calibri" w:eastAsia="Calibri" w:hAnsi="Calibri" w:cs="Calibri"/>
          <w:b/>
          <w:bCs/>
          <w:i/>
          <w:iCs/>
          <w:color w:val="5A5A5A"/>
          <w:sz w:val="21"/>
          <w:szCs w:val="21"/>
        </w:rPr>
        <w:t>6.2. Sujets d’exposé rattachables</w:t>
      </w:r>
    </w:p>
    <w:p w14:paraId="1AAC0CB0"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Le droit à un procès équitable et à un recours effectif : quelle articulation ? » (sujet de dissertation expressément proposé par le fascicule).</w:t>
      </w:r>
    </w:p>
    <w:p w14:paraId="556F7901"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L’indépendance et l’impartialité du juge » ; « La théorie des apparences ».</w:t>
      </w:r>
    </w:p>
    <w:p w14:paraId="3081F6A1"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Le délai raisonnable » ; « La publicité de la justice ».</w:t>
      </w:r>
    </w:p>
    <w:p w14:paraId="04DF3B1C"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Les immunités de juridiction » ; « L’arbitrage à l’épreuve des droits fondamentaux ».</w:t>
      </w:r>
    </w:p>
    <w:p w14:paraId="02EB52A1" w14:textId="77777777" w:rsidR="00520D98" w:rsidRDefault="00000000">
      <w:pPr>
        <w:pStyle w:val="Titre3"/>
        <w:spacing w:before="200" w:after="90"/>
      </w:pPr>
      <w:r>
        <w:rPr>
          <w:rFonts w:ascii="Calibri" w:eastAsia="Calibri" w:hAnsi="Calibri" w:cs="Calibri"/>
          <w:b/>
          <w:bCs/>
          <w:i/>
          <w:iCs/>
          <w:color w:val="5A5A5A"/>
          <w:sz w:val="21"/>
          <w:szCs w:val="21"/>
        </w:rPr>
        <w:t>6.3. Angles morts — en question / réponse</w:t>
      </w:r>
    </w:p>
    <w:p w14:paraId="18CD9979"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Le caractère « civil » au sens de l’article 6 dépend-il de la nature de la juridiction ?</w:t>
      </w:r>
      <w:r>
        <w:rPr>
          <w:rFonts w:ascii="Calibri" w:eastAsia="Calibri" w:hAnsi="Calibri" w:cs="Calibri"/>
          <w:color w:val="1A1A1A"/>
        </w:rPr>
        <w:t xml:space="preserve"> — Non : c’est une </w:t>
      </w:r>
      <w:r>
        <w:rPr>
          <w:rFonts w:ascii="Calibri" w:eastAsia="Calibri" w:hAnsi="Calibri" w:cs="Calibri"/>
          <w:b/>
          <w:bCs/>
          <w:color w:val="1A1A1A"/>
        </w:rPr>
        <w:t>notion autonome</w:t>
      </w:r>
      <w:r>
        <w:rPr>
          <w:rFonts w:ascii="Calibri" w:eastAsia="Calibri" w:hAnsi="Calibri" w:cs="Calibri"/>
          <w:color w:val="1A1A1A"/>
        </w:rPr>
        <w:t>, indépendante de la qualité des parties, de la nature de la loi et du type d’autorité.</w:t>
      </w:r>
    </w:p>
    <w:p w14:paraId="2285662B"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xml:space="preserve">Q. Les trois critères </w:t>
      </w:r>
      <w:r>
        <w:rPr>
          <w:rFonts w:ascii="Calibri" w:eastAsia="Calibri" w:hAnsi="Calibri" w:cs="Calibri"/>
          <w:b/>
          <w:bCs/>
          <w:i/>
          <w:iCs/>
          <w:color w:val="1A1A1A"/>
        </w:rPr>
        <w:t>Engel</w:t>
      </w:r>
      <w:r>
        <w:rPr>
          <w:rFonts w:ascii="Calibri" w:eastAsia="Calibri" w:hAnsi="Calibri" w:cs="Calibri"/>
          <w:b/>
          <w:bCs/>
          <w:color w:val="1A1A1A"/>
        </w:rPr>
        <w:t xml:space="preserve"> sont-ils cumulatifs ?</w:t>
      </w:r>
      <w:r>
        <w:rPr>
          <w:rFonts w:ascii="Calibri" w:eastAsia="Calibri" w:hAnsi="Calibri" w:cs="Calibri"/>
          <w:color w:val="1A1A1A"/>
        </w:rPr>
        <w:t xml:space="preserve"> — Le premier (qualification interne) n’est pas décisif ; les deux autres sont </w:t>
      </w:r>
      <w:r>
        <w:rPr>
          <w:rFonts w:ascii="Calibri" w:eastAsia="Calibri" w:hAnsi="Calibri" w:cs="Calibri"/>
          <w:b/>
          <w:bCs/>
          <w:color w:val="1A1A1A"/>
        </w:rPr>
        <w:t>alternatifs</w:t>
      </w:r>
      <w:r>
        <w:rPr>
          <w:rFonts w:ascii="Calibri" w:eastAsia="Calibri" w:hAnsi="Calibri" w:cs="Calibri"/>
          <w:color w:val="1A1A1A"/>
        </w:rPr>
        <w:t>, avec une approche cumulative possible en cas de doute.</w:t>
      </w:r>
    </w:p>
    <w:p w14:paraId="72AD345E"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L’article 6 s’applique-t-il devant le Conseil constitutionnel ?</w:t>
      </w:r>
      <w:r>
        <w:rPr>
          <w:rFonts w:ascii="Calibri" w:eastAsia="Calibri" w:hAnsi="Calibri" w:cs="Calibri"/>
          <w:color w:val="1A1A1A"/>
        </w:rPr>
        <w:t xml:space="preserve"> — Pas au contrôle </w:t>
      </w:r>
      <w:r>
        <w:rPr>
          <w:rFonts w:ascii="Calibri" w:eastAsia="Calibri" w:hAnsi="Calibri" w:cs="Calibri"/>
          <w:i/>
          <w:iCs/>
          <w:color w:val="1A1A1A"/>
        </w:rPr>
        <w:t>a priori</w:t>
      </w:r>
      <w:r>
        <w:rPr>
          <w:rFonts w:ascii="Calibri" w:eastAsia="Calibri" w:hAnsi="Calibri" w:cs="Calibri"/>
          <w:color w:val="1A1A1A"/>
        </w:rPr>
        <w:t xml:space="preserve">, faute de procès au sens classique ; l’applicabilité au contrôle </w:t>
      </w:r>
      <w:r>
        <w:rPr>
          <w:rFonts w:ascii="Calibri" w:eastAsia="Calibri" w:hAnsi="Calibri" w:cs="Calibri"/>
          <w:i/>
          <w:iCs/>
          <w:color w:val="1A1A1A"/>
        </w:rPr>
        <w:t>a posteriori</w:t>
      </w:r>
      <w:r>
        <w:rPr>
          <w:rFonts w:ascii="Calibri" w:eastAsia="Calibri" w:hAnsi="Calibri" w:cs="Calibri"/>
          <w:color w:val="1A1A1A"/>
        </w:rPr>
        <w:t xml:space="preserve"> n’est pas tranchée, mais le Conseil applique l’égalité des armes et organise une audience publique (</w:t>
      </w:r>
      <w:r>
        <w:rPr>
          <w:rFonts w:ascii="Calibri" w:eastAsia="Calibri" w:hAnsi="Calibri" w:cs="Calibri"/>
          <w:color w:val="E91E63"/>
        </w:rPr>
        <w:t>2009-595 DC</w:t>
      </w:r>
      <w:r>
        <w:rPr>
          <w:rFonts w:ascii="Calibri" w:eastAsia="Calibri" w:hAnsi="Calibri" w:cs="Calibri"/>
          <w:color w:val="1A1A1A"/>
        </w:rPr>
        <w:t>).</w:t>
      </w:r>
    </w:p>
    <w:p w14:paraId="79BEF58D"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La dualité fonctionnelle du Conseil d’État viole-t-elle l’article 6 ?</w:t>
      </w:r>
      <w:r>
        <w:rPr>
          <w:rFonts w:ascii="Calibri" w:eastAsia="Calibri" w:hAnsi="Calibri" w:cs="Calibri"/>
          <w:color w:val="1A1A1A"/>
        </w:rPr>
        <w:t xml:space="preserve"> — Non, dès lors que les mêmes conseillers ne participent pas aux deux fonctions sur une même affaire (</w:t>
      </w:r>
      <w:r>
        <w:rPr>
          <w:rFonts w:ascii="Calibri" w:eastAsia="Calibri" w:hAnsi="Calibri" w:cs="Calibri"/>
          <w:color w:val="E91E63"/>
        </w:rPr>
        <w:t>Sacilor Lormines</w:t>
      </w:r>
      <w:r>
        <w:rPr>
          <w:rFonts w:ascii="Calibri" w:eastAsia="Calibri" w:hAnsi="Calibri" w:cs="Calibri"/>
          <w:color w:val="1A1A1A"/>
        </w:rPr>
        <w:t xml:space="preserve">, prolongeant </w:t>
      </w:r>
      <w:r>
        <w:rPr>
          <w:rFonts w:ascii="Calibri" w:eastAsia="Calibri" w:hAnsi="Calibri" w:cs="Calibri"/>
          <w:color w:val="E91E63"/>
        </w:rPr>
        <w:t>Procola</w:t>
      </w:r>
      <w:r>
        <w:rPr>
          <w:rFonts w:ascii="Calibri" w:eastAsia="Calibri" w:hAnsi="Calibri" w:cs="Calibri"/>
          <w:color w:val="1A1A1A"/>
        </w:rPr>
        <w:t xml:space="preserve">) — solution codifiée aux </w:t>
      </w:r>
      <w:r>
        <w:rPr>
          <w:rFonts w:ascii="Calibri" w:eastAsia="Calibri" w:hAnsi="Calibri" w:cs="Calibri"/>
          <w:color w:val="1E88E5"/>
        </w:rPr>
        <w:t>art. R. 122-21-1, L. 131-2 et L. 231-1-1 CJA</w:t>
      </w:r>
      <w:r>
        <w:rPr>
          <w:rFonts w:ascii="Calibri" w:eastAsia="Calibri" w:hAnsi="Calibri" w:cs="Calibri"/>
          <w:color w:val="1A1A1A"/>
        </w:rPr>
        <w:t>.</w:t>
      </w:r>
    </w:p>
    <w:p w14:paraId="2DDF28B8"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L’impartialité subjective se prouve-t-elle facilement ?</w:t>
      </w:r>
      <w:r>
        <w:rPr>
          <w:rFonts w:ascii="Calibri" w:eastAsia="Calibri" w:hAnsi="Calibri" w:cs="Calibri"/>
          <w:color w:val="1A1A1A"/>
        </w:rPr>
        <w:t xml:space="preserve"> — Non : elle se </w:t>
      </w:r>
      <w:r>
        <w:rPr>
          <w:rFonts w:ascii="Calibri" w:eastAsia="Calibri" w:hAnsi="Calibri" w:cs="Calibri"/>
          <w:b/>
          <w:bCs/>
          <w:color w:val="1A1A1A"/>
        </w:rPr>
        <w:t>présume</w:t>
      </w:r>
      <w:r>
        <w:rPr>
          <w:rFonts w:ascii="Calibri" w:eastAsia="Calibri" w:hAnsi="Calibri" w:cs="Calibri"/>
          <w:color w:val="1A1A1A"/>
        </w:rPr>
        <w:t xml:space="preserve"> jusqu’à preuve du contraire, présomption réfragable mais difficile à renverser en pratique (</w:t>
      </w:r>
      <w:r>
        <w:rPr>
          <w:rFonts w:ascii="Calibri" w:eastAsia="Calibri" w:hAnsi="Calibri" w:cs="Calibri"/>
          <w:color w:val="E91E63"/>
        </w:rPr>
        <w:t>Kyprianou</w:t>
      </w:r>
      <w:r>
        <w:rPr>
          <w:rFonts w:ascii="Calibri" w:eastAsia="Calibri" w:hAnsi="Calibri" w:cs="Calibri"/>
          <w:color w:val="1A1A1A"/>
        </w:rPr>
        <w:t>).</w:t>
      </w:r>
    </w:p>
    <w:p w14:paraId="6529F67B"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Un chef d’État en exercice peut-il être poursuivi en France pour crimes de guerre ?</w:t>
      </w:r>
      <w:r>
        <w:rPr>
          <w:rFonts w:ascii="Calibri" w:eastAsia="Calibri" w:hAnsi="Calibri" w:cs="Calibri"/>
          <w:color w:val="1A1A1A"/>
        </w:rPr>
        <w:t xml:space="preserve"> — Non : l’</w:t>
      </w:r>
      <w:r>
        <w:rPr>
          <w:rFonts w:ascii="Calibri" w:eastAsia="Calibri" w:hAnsi="Calibri" w:cs="Calibri"/>
          <w:b/>
          <w:bCs/>
          <w:color w:val="1A1A1A"/>
        </w:rPr>
        <w:t>immunité personnelle</w:t>
      </w:r>
      <w:r>
        <w:rPr>
          <w:rFonts w:ascii="Calibri" w:eastAsia="Calibri" w:hAnsi="Calibri" w:cs="Calibri"/>
          <w:color w:val="1A1A1A"/>
        </w:rPr>
        <w:t xml:space="preserve"> y fait obstacle en l’état du droit international coutumier (</w:t>
      </w:r>
      <w:r>
        <w:rPr>
          <w:rFonts w:ascii="Calibri" w:eastAsia="Calibri" w:hAnsi="Calibri" w:cs="Calibri"/>
          <w:color w:val="E91E63"/>
        </w:rPr>
        <w:t>Cass., Ass. plén., 25 juillet 2025, n° 24-84.393</w:t>
      </w:r>
      <w:r>
        <w:rPr>
          <w:rFonts w:ascii="Calibri" w:eastAsia="Calibri" w:hAnsi="Calibri" w:cs="Calibri"/>
          <w:color w:val="1A1A1A"/>
        </w:rPr>
        <w:t>). En revanche, l’</w:t>
      </w:r>
      <w:r>
        <w:rPr>
          <w:rFonts w:ascii="Calibri" w:eastAsia="Calibri" w:hAnsi="Calibri" w:cs="Calibri"/>
          <w:b/>
          <w:bCs/>
          <w:color w:val="1A1A1A"/>
        </w:rPr>
        <w:t>immunité fonctionnelle</w:t>
      </w:r>
      <w:r>
        <w:rPr>
          <w:rFonts w:ascii="Calibri" w:eastAsia="Calibri" w:hAnsi="Calibri" w:cs="Calibri"/>
          <w:color w:val="1A1A1A"/>
        </w:rPr>
        <w:t xml:space="preserve"> d’un agent ou d’un ancien chef d’État ne protège plus contre la poursuite des crimes internationaux les plus graves (</w:t>
      </w:r>
      <w:r>
        <w:rPr>
          <w:rFonts w:ascii="Calibri" w:eastAsia="Calibri" w:hAnsi="Calibri" w:cs="Calibri"/>
          <w:color w:val="E91E63"/>
        </w:rPr>
        <w:t>n° 24-84.071</w:t>
      </w:r>
      <w:r>
        <w:rPr>
          <w:rFonts w:ascii="Calibri" w:eastAsia="Calibri" w:hAnsi="Calibri" w:cs="Calibri"/>
          <w:color w:val="1A1A1A"/>
        </w:rPr>
        <w:t>).</w:t>
      </w:r>
    </w:p>
    <w:p w14:paraId="15E1AC25" w14:textId="77777777" w:rsidR="00520D98" w:rsidRDefault="00000000">
      <w:r>
        <w:br w:type="page"/>
      </w:r>
    </w:p>
    <w:p w14:paraId="0D95CAA8" w14:textId="77777777" w:rsidR="00520D98"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32 — LES GARANTIES FONDAMENTALES EN MATIÈRE PÉNALE</w:t>
      </w:r>
    </w:p>
    <w:p w14:paraId="468C3FE2" w14:textId="77777777" w:rsidR="00520D98" w:rsidRDefault="00000000">
      <w:pPr>
        <w:pStyle w:val="Titre2"/>
        <w:spacing w:before="280" w:after="120"/>
      </w:pPr>
      <w:r>
        <w:rPr>
          <w:rFonts w:ascii="Calibri" w:eastAsia="Calibri" w:hAnsi="Calibri" w:cs="Calibri"/>
          <w:b/>
          <w:bCs/>
          <w:color w:val="1A1A1A"/>
          <w:sz w:val="24"/>
          <w:szCs w:val="24"/>
        </w:rPr>
        <w:t>◆ FICHE-MÉMOIRE — à réviser en trois minutes</w:t>
      </w:r>
    </w:p>
    <w:p w14:paraId="0D7BAB6E" w14:textId="77777777" w:rsidR="00520D98" w:rsidRDefault="00000000">
      <w:pPr>
        <w:pStyle w:val="Titre3"/>
        <w:spacing w:before="200" w:after="90"/>
      </w:pPr>
      <w:r>
        <w:rPr>
          <w:rFonts w:ascii="Calibri" w:eastAsia="Calibri" w:hAnsi="Calibri" w:cs="Calibri"/>
          <w:b/>
          <w:bCs/>
          <w:i/>
          <w:iCs/>
          <w:color w:val="5A5A5A"/>
          <w:sz w:val="21"/>
          <w:szCs w:val="21"/>
        </w:rPr>
        <w:t>Accroche</w:t>
      </w:r>
    </w:p>
    <w:p w14:paraId="5C6C44C5" w14:textId="77777777" w:rsidR="00520D98" w:rsidRDefault="00000000">
      <w:pPr>
        <w:pStyle w:val="Paragraphedeliste"/>
        <w:numPr>
          <w:ilvl w:val="0"/>
          <w:numId w:val="2"/>
        </w:numPr>
        <w:spacing w:after="70" w:line="264" w:lineRule="auto"/>
        <w:jc w:val="both"/>
      </w:pPr>
      <w:r>
        <w:rPr>
          <w:rFonts w:ascii="Calibri" w:eastAsia="Calibri" w:hAnsi="Calibri" w:cs="Calibri"/>
          <w:color w:val="1E88E5"/>
        </w:rPr>
        <w:t>Article préliminaire du Code de procédure pénale</w:t>
      </w:r>
      <w:r>
        <w:rPr>
          <w:rFonts w:ascii="Calibri" w:eastAsia="Calibri" w:hAnsi="Calibri" w:cs="Calibri"/>
          <w:color w:val="1A1A1A"/>
        </w:rPr>
        <w:t xml:space="preserve"> : « La procédure pénale doit être équitable et contradictoire et préserver l’équilibre des droits des parties. » Ces règles constituent un </w:t>
      </w:r>
      <w:r>
        <w:rPr>
          <w:rFonts w:ascii="Calibri" w:eastAsia="Calibri" w:hAnsi="Calibri" w:cs="Calibri"/>
          <w:b/>
          <w:bCs/>
          <w:color w:val="1A1A1A"/>
        </w:rPr>
        <w:t>bouclier pour l’individu face à la puissance publique</w:t>
      </w:r>
      <w:r>
        <w:rPr>
          <w:rFonts w:ascii="Calibri" w:eastAsia="Calibri" w:hAnsi="Calibri" w:cs="Calibri"/>
          <w:color w:val="1A1A1A"/>
        </w:rPr>
        <w:t xml:space="preserve"> lorsqu’elle recherche les personnes soupçonnées d’avoir commis une infraction.</w:t>
      </w:r>
    </w:p>
    <w:p w14:paraId="4097210B"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le </w:t>
      </w:r>
      <w:r>
        <w:rPr>
          <w:rFonts w:ascii="Calibri" w:eastAsia="Calibri" w:hAnsi="Calibri" w:cs="Calibri"/>
          <w:b/>
          <w:bCs/>
          <w:color w:val="1A1A1A"/>
        </w:rPr>
        <w:t>12 juin 2025</w:t>
      </w:r>
      <w:r>
        <w:rPr>
          <w:rFonts w:ascii="Calibri" w:eastAsia="Calibri" w:hAnsi="Calibri" w:cs="Calibri"/>
          <w:color w:val="1A1A1A"/>
        </w:rPr>
        <w:t xml:space="preserve">, saisi de la loi visant à sortir la France du piège du narcotrafic, le Conseil constitutionnel a validé 32 articles, censuré totalement ou partiellement 6 articles — dont l’article 40 relatif au « </w:t>
      </w:r>
      <w:r>
        <w:rPr>
          <w:rFonts w:ascii="Calibri" w:eastAsia="Calibri" w:hAnsi="Calibri" w:cs="Calibri"/>
          <w:b/>
          <w:bCs/>
          <w:color w:val="1A1A1A"/>
        </w:rPr>
        <w:t>dossier coffre</w:t>
      </w:r>
      <w:r>
        <w:rPr>
          <w:rFonts w:ascii="Calibri" w:eastAsia="Calibri" w:hAnsi="Calibri" w:cs="Calibri"/>
          <w:color w:val="1A1A1A"/>
        </w:rPr>
        <w:t xml:space="preserve"> », jugé contraire aux droits de la défense — et formulé plusieurs réserves d’interprétation. La lutte contre la criminalité organisée doit se faire </w:t>
      </w:r>
      <w:r>
        <w:rPr>
          <w:rFonts w:ascii="Calibri" w:eastAsia="Calibri" w:hAnsi="Calibri" w:cs="Calibri"/>
          <w:b/>
          <w:bCs/>
          <w:color w:val="1A1A1A"/>
        </w:rPr>
        <w:t>dans le respect des droits de la défense et de l’État de droit</w:t>
      </w:r>
      <w:r>
        <w:rPr>
          <w:rFonts w:ascii="Calibri" w:eastAsia="Calibri" w:hAnsi="Calibri" w:cs="Calibri"/>
          <w:color w:val="1A1A1A"/>
        </w:rPr>
        <w:t>.</w:t>
      </w:r>
    </w:p>
    <w:p w14:paraId="00DB76EC" w14:textId="77777777" w:rsidR="00520D98" w:rsidRDefault="00000000">
      <w:pPr>
        <w:pStyle w:val="Titre3"/>
        <w:spacing w:before="200" w:after="90"/>
      </w:pPr>
      <w:r>
        <w:rPr>
          <w:rFonts w:ascii="Calibri" w:eastAsia="Calibri" w:hAnsi="Calibri" w:cs="Calibri"/>
          <w:b/>
          <w:bCs/>
          <w:i/>
          <w:iCs/>
          <w:color w:val="5A5A5A"/>
          <w:sz w:val="21"/>
          <w:szCs w:val="21"/>
        </w:rPr>
        <w:t>Définition en trois lignes</w:t>
      </w:r>
    </w:p>
    <w:p w14:paraId="7E6DD9A1"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Deux séries de garanties</w:t>
      </w:r>
      <w:r>
        <w:rPr>
          <w:rFonts w:ascii="Calibri" w:eastAsia="Calibri" w:hAnsi="Calibri" w:cs="Calibri"/>
          <w:color w:val="1A1A1A"/>
        </w:rPr>
        <w:t xml:space="preserve"> : celles qui entourent la </w:t>
      </w:r>
      <w:r>
        <w:rPr>
          <w:rFonts w:ascii="Calibri" w:eastAsia="Calibri" w:hAnsi="Calibri" w:cs="Calibri"/>
          <w:b/>
          <w:bCs/>
          <w:color w:val="1A1A1A"/>
        </w:rPr>
        <w:t>procédure</w:t>
      </w:r>
      <w:r>
        <w:rPr>
          <w:rFonts w:ascii="Calibri" w:eastAsia="Calibri" w:hAnsi="Calibri" w:cs="Calibri"/>
          <w:color w:val="1A1A1A"/>
        </w:rPr>
        <w:t xml:space="preserve"> (droits de la défense, présomption d’innocence, droit de ne pas s’incriminer, droit à l’assistance d’un avocat) et celles qui entourent le </w:t>
      </w:r>
      <w:r>
        <w:rPr>
          <w:rFonts w:ascii="Calibri" w:eastAsia="Calibri" w:hAnsi="Calibri" w:cs="Calibri"/>
          <w:b/>
          <w:bCs/>
          <w:color w:val="1A1A1A"/>
        </w:rPr>
        <w:t>prononcé de la peine</w:t>
      </w:r>
      <w:r>
        <w:rPr>
          <w:rFonts w:ascii="Calibri" w:eastAsia="Calibri" w:hAnsi="Calibri" w:cs="Calibri"/>
          <w:color w:val="1A1A1A"/>
        </w:rPr>
        <w:t xml:space="preserve"> (légalité des délits et des peines, nécessité, </w:t>
      </w:r>
      <w:r>
        <w:rPr>
          <w:rFonts w:ascii="Calibri" w:eastAsia="Calibri" w:hAnsi="Calibri" w:cs="Calibri"/>
          <w:i/>
          <w:iCs/>
          <w:color w:val="1A1A1A"/>
        </w:rPr>
        <w:t>non bis in idem</w:t>
      </w:r>
      <w:r>
        <w:rPr>
          <w:rFonts w:ascii="Calibri" w:eastAsia="Calibri" w:hAnsi="Calibri" w:cs="Calibri"/>
          <w:color w:val="1A1A1A"/>
        </w:rPr>
        <w:t xml:space="preserve">, non-rétroactivité de la loi pénale plus sévère et rétroactivité </w:t>
      </w:r>
      <w:r>
        <w:rPr>
          <w:rFonts w:ascii="Calibri" w:eastAsia="Calibri" w:hAnsi="Calibri" w:cs="Calibri"/>
          <w:i/>
          <w:iCs/>
          <w:color w:val="1A1A1A"/>
        </w:rPr>
        <w:t>in mitius</w:t>
      </w:r>
      <w:r>
        <w:rPr>
          <w:rFonts w:ascii="Calibri" w:eastAsia="Calibri" w:hAnsi="Calibri" w:cs="Calibri"/>
          <w:color w:val="1A1A1A"/>
        </w:rPr>
        <w:t>, individualisation, motivation, responsabilité du fait personnel).</w:t>
      </w:r>
    </w:p>
    <w:p w14:paraId="5742E189"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S’y ajoute le principe d’</w:t>
      </w:r>
      <w:r>
        <w:rPr>
          <w:rFonts w:ascii="Calibri" w:eastAsia="Calibri" w:hAnsi="Calibri" w:cs="Calibri"/>
          <w:b/>
          <w:bCs/>
          <w:color w:val="1A1A1A"/>
        </w:rPr>
        <w:t>irresponsabilité pénale en cas d’abolition du discernement</w:t>
      </w:r>
      <w:r>
        <w:rPr>
          <w:rFonts w:ascii="Calibri" w:eastAsia="Calibri" w:hAnsi="Calibri" w:cs="Calibri"/>
          <w:color w:val="1A1A1A"/>
        </w:rPr>
        <w:t xml:space="preserve"> (</w:t>
      </w:r>
      <w:r>
        <w:rPr>
          <w:rFonts w:ascii="Calibri" w:eastAsia="Calibri" w:hAnsi="Calibri" w:cs="Calibri"/>
          <w:color w:val="1E88E5"/>
        </w:rPr>
        <w:t>art. 122-1 C. pén.</w:t>
      </w:r>
      <w:r>
        <w:rPr>
          <w:rFonts w:ascii="Calibri" w:eastAsia="Calibri" w:hAnsi="Calibri" w:cs="Calibri"/>
          <w:color w:val="1A1A1A"/>
        </w:rPr>
        <w:t>), à distinguer de l’</w:t>
      </w:r>
      <w:r>
        <w:rPr>
          <w:rFonts w:ascii="Calibri" w:eastAsia="Calibri" w:hAnsi="Calibri" w:cs="Calibri"/>
          <w:b/>
          <w:bCs/>
          <w:color w:val="1A1A1A"/>
        </w:rPr>
        <w:t>altération</w:t>
      </w:r>
      <w:r>
        <w:rPr>
          <w:rFonts w:ascii="Calibri" w:eastAsia="Calibri" w:hAnsi="Calibri" w:cs="Calibri"/>
          <w:color w:val="1A1A1A"/>
        </w:rPr>
        <w:t xml:space="preserve"> du discernement ; la responsabilité civile est maintenue dans les deux cas.</w:t>
      </w:r>
    </w:p>
    <w:p w14:paraId="3BD3274D" w14:textId="77777777" w:rsidR="00520D98" w:rsidRDefault="00000000">
      <w:pPr>
        <w:pStyle w:val="Titre3"/>
        <w:spacing w:before="200" w:after="90"/>
      </w:pPr>
      <w:r>
        <w:rPr>
          <w:rFonts w:ascii="Calibri" w:eastAsia="Calibri" w:hAnsi="Calibri" w:cs="Calibri"/>
          <w:b/>
          <w:bCs/>
          <w:i/>
          <w:iCs/>
          <w:color w:val="5A5A5A"/>
          <w:sz w:val="21"/>
          <w:szCs w:val="21"/>
        </w:rPr>
        <w:t>Les cinq références incontournables</w:t>
      </w:r>
    </w:p>
    <w:p w14:paraId="2E978958"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95-360 DC, 2 février 1995</w:t>
      </w:r>
      <w:r>
        <w:rPr>
          <w:rFonts w:ascii="Calibri" w:eastAsia="Calibri" w:hAnsi="Calibri" w:cs="Calibri"/>
          <w:color w:val="1A1A1A"/>
        </w:rPr>
        <w:t xml:space="preserve"> : les droits de la défense sont un </w:t>
      </w:r>
      <w:r>
        <w:rPr>
          <w:rFonts w:ascii="Calibri" w:eastAsia="Calibri" w:hAnsi="Calibri" w:cs="Calibri"/>
          <w:b/>
          <w:bCs/>
          <w:color w:val="1A1A1A"/>
        </w:rPr>
        <w:t>principe fondamental reconnu par les lois de la République</w:t>
      </w:r>
      <w:r>
        <w:rPr>
          <w:rFonts w:ascii="Calibri" w:eastAsia="Calibri" w:hAnsi="Calibri" w:cs="Calibri"/>
          <w:color w:val="1A1A1A"/>
        </w:rPr>
        <w:t>, impliquant en matière pénale une procédure juste et équitable garantissant l’équilibre des droits des parties.</w:t>
      </w:r>
    </w:p>
    <w:p w14:paraId="067CBCAE"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1er juin 2010, Gäfgen c. Allemagne, n° 22978/05</w:t>
      </w:r>
      <w:r>
        <w:rPr>
          <w:rFonts w:ascii="Calibri" w:eastAsia="Calibri" w:hAnsi="Calibri" w:cs="Calibri"/>
          <w:color w:val="1A1A1A"/>
        </w:rPr>
        <w:t xml:space="preserve"> : des déclarations obtenues au moyen de torture ou de traitements inhumains ou dégradants privent </w:t>
      </w:r>
      <w:r>
        <w:rPr>
          <w:rFonts w:ascii="Calibri" w:eastAsia="Calibri" w:hAnsi="Calibri" w:cs="Calibri"/>
          <w:b/>
          <w:bCs/>
          <w:color w:val="1A1A1A"/>
        </w:rPr>
        <w:t>automatiquement</w:t>
      </w:r>
      <w:r>
        <w:rPr>
          <w:rFonts w:ascii="Calibri" w:eastAsia="Calibri" w:hAnsi="Calibri" w:cs="Calibri"/>
          <w:color w:val="1A1A1A"/>
        </w:rPr>
        <w:t xml:space="preserve"> d’équité la procédure.</w:t>
      </w:r>
    </w:p>
    <w:p w14:paraId="7A5F0C2A"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17 septembre 2009, Scoppola c. Italie (n° 2), n° 10249/03</w:t>
      </w:r>
      <w:r>
        <w:rPr>
          <w:rFonts w:ascii="Calibri" w:eastAsia="Calibri" w:hAnsi="Calibri" w:cs="Calibri"/>
          <w:color w:val="1A1A1A"/>
        </w:rPr>
        <w:t xml:space="preserve"> : la Cour fait découler de l’</w:t>
      </w:r>
      <w:r>
        <w:rPr>
          <w:rFonts w:ascii="Calibri" w:eastAsia="Calibri" w:hAnsi="Calibri" w:cs="Calibri"/>
          <w:color w:val="1E88E5"/>
        </w:rPr>
        <w:t>art. 7 § 1</w:t>
      </w:r>
      <w:r>
        <w:rPr>
          <w:rFonts w:ascii="Calibri" w:eastAsia="Calibri" w:hAnsi="Calibri" w:cs="Calibri"/>
          <w:color w:val="1A1A1A"/>
        </w:rPr>
        <w:t xml:space="preserve"> le principe de </w:t>
      </w:r>
      <w:r>
        <w:rPr>
          <w:rFonts w:ascii="Calibri" w:eastAsia="Calibri" w:hAnsi="Calibri" w:cs="Calibri"/>
          <w:b/>
          <w:bCs/>
          <w:color w:val="1A1A1A"/>
        </w:rPr>
        <w:t>rétroactivité de la loi pénale plus douce</w:t>
      </w:r>
      <w:r>
        <w:rPr>
          <w:rFonts w:ascii="Calibri" w:eastAsia="Calibri" w:hAnsi="Calibri" w:cs="Calibri"/>
          <w:color w:val="1A1A1A"/>
        </w:rPr>
        <w:t xml:space="preserve"> (</w:t>
      </w:r>
      <w:r>
        <w:rPr>
          <w:rFonts w:ascii="Calibri" w:eastAsia="Calibri" w:hAnsi="Calibri" w:cs="Calibri"/>
          <w:i/>
          <w:iCs/>
          <w:color w:val="1A1A1A"/>
        </w:rPr>
        <w:t>in mitius</w:t>
      </w:r>
      <w:r>
        <w:rPr>
          <w:rFonts w:ascii="Calibri" w:eastAsia="Calibri" w:hAnsi="Calibri" w:cs="Calibri"/>
          <w:color w:val="1A1A1A"/>
        </w:rPr>
        <w:t xml:space="preserve">) — repris comme tradition constitutionnelle commune par </w:t>
      </w:r>
      <w:r>
        <w:rPr>
          <w:rFonts w:ascii="Calibri" w:eastAsia="Calibri" w:hAnsi="Calibri" w:cs="Calibri"/>
          <w:color w:val="E91E63"/>
        </w:rPr>
        <w:t>CJUE, 3 mai 2005, Berlusconi et autres, C-387/02</w:t>
      </w:r>
      <w:r>
        <w:rPr>
          <w:rFonts w:ascii="Calibri" w:eastAsia="Calibri" w:hAnsi="Calibri" w:cs="Calibri"/>
          <w:color w:val="1A1A1A"/>
        </w:rPr>
        <w:t>.</w:t>
      </w:r>
    </w:p>
    <w:p w14:paraId="2B62A6DD"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10 février 2009, Zolotoukhine c. Russie, n° 14939/03</w:t>
      </w:r>
      <w:r>
        <w:rPr>
          <w:rFonts w:ascii="Calibri" w:eastAsia="Calibri" w:hAnsi="Calibri" w:cs="Calibri"/>
          <w:color w:val="1A1A1A"/>
        </w:rPr>
        <w:t xml:space="preserve"> : l’</w:t>
      </w:r>
      <w:r>
        <w:rPr>
          <w:rFonts w:ascii="Calibri" w:eastAsia="Calibri" w:hAnsi="Calibri" w:cs="Calibri"/>
          <w:color w:val="1E88E5"/>
        </w:rPr>
        <w:t>art. 4 du Protocole n° 7</w:t>
      </w:r>
      <w:r>
        <w:rPr>
          <w:rFonts w:ascii="Calibri" w:eastAsia="Calibri" w:hAnsi="Calibri" w:cs="Calibri"/>
          <w:color w:val="1A1A1A"/>
        </w:rPr>
        <w:t xml:space="preserve"> s’oppose au </w:t>
      </w:r>
      <w:r>
        <w:rPr>
          <w:rFonts w:ascii="Calibri" w:eastAsia="Calibri" w:hAnsi="Calibri" w:cs="Calibri"/>
          <w:b/>
          <w:bCs/>
          <w:color w:val="1A1A1A"/>
        </w:rPr>
        <w:t>cumul des poursuites administratives et pénales</w:t>
      </w:r>
      <w:r>
        <w:rPr>
          <w:rFonts w:ascii="Calibri" w:eastAsia="Calibri" w:hAnsi="Calibri" w:cs="Calibri"/>
          <w:color w:val="1A1A1A"/>
        </w:rPr>
        <w:t xml:space="preserve"> pour les mêmes faits si la poursuite administrative relève de la matière pénale.</w:t>
      </w:r>
    </w:p>
    <w:p w14:paraId="02A82CA7"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2012-240 QPC, 4 mai 2012, M. Gérard D.</w:t>
      </w:r>
      <w:r>
        <w:rPr>
          <w:rFonts w:ascii="Calibri" w:eastAsia="Calibri" w:hAnsi="Calibri" w:cs="Calibri"/>
          <w:color w:val="1A1A1A"/>
        </w:rPr>
        <w:t xml:space="preserve"> : censure du délit de </w:t>
      </w:r>
      <w:r>
        <w:rPr>
          <w:rFonts w:ascii="Calibri" w:eastAsia="Calibri" w:hAnsi="Calibri" w:cs="Calibri"/>
          <w:b/>
          <w:bCs/>
          <w:color w:val="1A1A1A"/>
        </w:rPr>
        <w:t>harcèlement sexuel</w:t>
      </w:r>
      <w:r>
        <w:rPr>
          <w:rFonts w:ascii="Calibri" w:eastAsia="Calibri" w:hAnsi="Calibri" w:cs="Calibri"/>
          <w:color w:val="1A1A1A"/>
        </w:rPr>
        <w:t xml:space="preserve"> pour définition insuffisamment claire — l’exigence de clarté de la loi comme conséquence du principe de légalité.</w:t>
      </w:r>
    </w:p>
    <w:p w14:paraId="08C5B745" w14:textId="77777777" w:rsidR="00520D98" w:rsidRDefault="00000000">
      <w:pPr>
        <w:pStyle w:val="Titre3"/>
        <w:spacing w:before="200" w:after="90"/>
      </w:pPr>
      <w:r>
        <w:rPr>
          <w:rFonts w:ascii="Calibri" w:eastAsia="Calibri" w:hAnsi="Calibri" w:cs="Calibri"/>
          <w:b/>
          <w:bCs/>
          <w:i/>
          <w:iCs/>
          <w:color w:val="5A5A5A"/>
          <w:sz w:val="21"/>
          <w:szCs w:val="21"/>
        </w:rPr>
        <w:t>Deux matrices de plan</w:t>
      </w:r>
    </w:p>
    <w:p w14:paraId="2414992D"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Sujet « Soutenez que la médiatisation des affaires judiciaires porte atteinte aux garanties fondamentales en matière pénale »</w:t>
      </w:r>
      <w:r>
        <w:rPr>
          <w:rFonts w:ascii="Calibri" w:eastAsia="Calibri" w:hAnsi="Calibri" w:cs="Calibri"/>
          <w:color w:val="1A1A1A"/>
        </w:rPr>
        <w:t xml:space="preserve"> — </w:t>
      </w:r>
      <w:r>
        <w:rPr>
          <w:rFonts w:ascii="Calibri" w:eastAsia="Calibri" w:hAnsi="Calibri" w:cs="Calibri"/>
          <w:b/>
          <w:bCs/>
          <w:color w:val="1A1A1A"/>
        </w:rPr>
        <w:t>I. Une médiatisation indispensable à une société démocratique</w:t>
      </w:r>
      <w:r>
        <w:rPr>
          <w:rFonts w:ascii="Calibri" w:eastAsia="Calibri" w:hAnsi="Calibri" w:cs="Calibri"/>
          <w:color w:val="1A1A1A"/>
        </w:rPr>
        <w:t xml:space="preserve"> (A. La liberté d’expression au fondement de la démocratie libérale : </w:t>
      </w:r>
      <w:r>
        <w:rPr>
          <w:rFonts w:ascii="Calibri" w:eastAsia="Calibri" w:hAnsi="Calibri" w:cs="Calibri"/>
          <w:color w:val="1E88E5"/>
        </w:rPr>
        <w:t>art. 11 DDHC</w:t>
      </w:r>
      <w:r>
        <w:rPr>
          <w:rFonts w:ascii="Calibri" w:eastAsia="Calibri" w:hAnsi="Calibri" w:cs="Calibri"/>
          <w:color w:val="1A1A1A"/>
        </w:rPr>
        <w:t xml:space="preserve">, </w:t>
      </w:r>
      <w:r>
        <w:rPr>
          <w:rFonts w:ascii="Calibri" w:eastAsia="Calibri" w:hAnsi="Calibri" w:cs="Calibri"/>
          <w:color w:val="1E88E5"/>
        </w:rPr>
        <w:t>art. 10 CEDH</w:t>
      </w:r>
      <w:r>
        <w:rPr>
          <w:rFonts w:ascii="Calibri" w:eastAsia="Calibri" w:hAnsi="Calibri" w:cs="Calibri"/>
          <w:color w:val="1A1A1A"/>
        </w:rPr>
        <w:t xml:space="preserve">, </w:t>
      </w:r>
      <w:r>
        <w:rPr>
          <w:rFonts w:ascii="Calibri" w:eastAsia="Calibri" w:hAnsi="Calibri" w:cs="Calibri"/>
          <w:color w:val="1E88E5"/>
        </w:rPr>
        <w:t>art. 19 PIDCP</w:t>
      </w:r>
      <w:r>
        <w:rPr>
          <w:rFonts w:ascii="Calibri" w:eastAsia="Calibri" w:hAnsi="Calibri" w:cs="Calibri"/>
          <w:color w:val="1A1A1A"/>
        </w:rPr>
        <w:t xml:space="preserve">, transparence de la justice, l’opacité étant l’apanage des régimes illibéraux ; B. La liberté d’expression dans le cadre d’un débat d’intérêt général : affaire du film « Grâce à Dieu », </w:t>
      </w:r>
      <w:r>
        <w:rPr>
          <w:rFonts w:ascii="Calibri" w:eastAsia="Calibri" w:hAnsi="Calibri" w:cs="Calibri"/>
          <w:color w:val="E91E63"/>
        </w:rPr>
        <w:t>Cass., 6 janvier 2021</w:t>
      </w:r>
      <w:r>
        <w:rPr>
          <w:rFonts w:ascii="Calibri" w:eastAsia="Calibri" w:hAnsi="Calibri" w:cs="Calibri"/>
          <w:color w:val="1A1A1A"/>
        </w:rPr>
        <w:t xml:space="preserve">, méthode </w:t>
      </w:r>
      <w:r>
        <w:rPr>
          <w:rFonts w:ascii="Calibri" w:eastAsia="Calibri" w:hAnsi="Calibri" w:cs="Calibri"/>
          <w:color w:val="E91E63"/>
        </w:rPr>
        <w:t>Bédat c. Suisse</w:t>
      </w:r>
      <w:r>
        <w:rPr>
          <w:rFonts w:ascii="Calibri" w:eastAsia="Calibri" w:hAnsi="Calibri" w:cs="Calibri"/>
          <w:color w:val="1A1A1A"/>
        </w:rPr>
        <w:t xml:space="preserve"> ; libération de la parole des victimes, affaire des viols de Mazan) / </w:t>
      </w:r>
      <w:r>
        <w:rPr>
          <w:rFonts w:ascii="Calibri" w:eastAsia="Calibri" w:hAnsi="Calibri" w:cs="Calibri"/>
          <w:b/>
          <w:bCs/>
          <w:color w:val="1A1A1A"/>
        </w:rPr>
        <w:t>II. Une médiatisation parfois délétère pour les droits de la défense</w:t>
      </w:r>
      <w:r>
        <w:rPr>
          <w:rFonts w:ascii="Calibri" w:eastAsia="Calibri" w:hAnsi="Calibri" w:cs="Calibri"/>
          <w:color w:val="1A1A1A"/>
        </w:rPr>
        <w:t xml:space="preserve"> (A. Une source de remise en cause des garanties procédurales : entorses à la présomption d’innocence, </w:t>
      </w:r>
      <w:r>
        <w:rPr>
          <w:rFonts w:ascii="Calibri" w:eastAsia="Calibri" w:hAnsi="Calibri" w:cs="Calibri"/>
          <w:b/>
          <w:bCs/>
          <w:color w:val="1A1A1A"/>
        </w:rPr>
        <w:t xml:space="preserve">art. 35 </w:t>
      </w:r>
      <w:r>
        <w:rPr>
          <w:rFonts w:ascii="Calibri" w:eastAsia="Calibri" w:hAnsi="Calibri" w:cs="Calibri"/>
          <w:b/>
          <w:bCs/>
          <w:i/>
          <w:iCs/>
          <w:color w:val="1A1A1A"/>
        </w:rPr>
        <w:t>ter</w:t>
      </w:r>
      <w:r>
        <w:rPr>
          <w:rFonts w:ascii="Calibri" w:eastAsia="Calibri" w:hAnsi="Calibri" w:cs="Calibri"/>
          <w:b/>
          <w:bCs/>
          <w:color w:val="1A1A1A"/>
        </w:rPr>
        <w:t xml:space="preserve"> de la loi de 1881</w:t>
      </w:r>
      <w:r>
        <w:rPr>
          <w:rFonts w:ascii="Calibri" w:eastAsia="Calibri" w:hAnsi="Calibri" w:cs="Calibri"/>
          <w:color w:val="1A1A1A"/>
        </w:rPr>
        <w:t>, « tribunal médiatique », remise en cause du rôle des avocats, affaire d’Outreau ; B. Une source de remise en cause des garanties entourant la peine : irresponsabilité pénale et affaire Sarah Halimi, discours en faveur des peines automatiques, « populisme pénal »).</w:t>
      </w:r>
    </w:p>
    <w:p w14:paraId="45452C4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Sujet « Le principe de légalité des délits et des peines »</w:t>
      </w:r>
      <w:r>
        <w:rPr>
          <w:rFonts w:ascii="Calibri" w:eastAsia="Calibri" w:hAnsi="Calibri" w:cs="Calibri"/>
          <w:color w:val="1A1A1A"/>
        </w:rPr>
        <w:t xml:space="preserve"> — </w:t>
      </w:r>
      <w:r>
        <w:rPr>
          <w:rFonts w:ascii="Calibri" w:eastAsia="Calibri" w:hAnsi="Calibri" w:cs="Calibri"/>
          <w:b/>
          <w:bCs/>
          <w:color w:val="1A1A1A"/>
        </w:rPr>
        <w:t>I. Un principe de compétence et de clarté</w:t>
      </w:r>
      <w:r>
        <w:rPr>
          <w:rFonts w:ascii="Calibri" w:eastAsia="Calibri" w:hAnsi="Calibri" w:cs="Calibri"/>
          <w:color w:val="1A1A1A"/>
        </w:rPr>
        <w:t xml:space="preserve"> (A. La compétence du législateur : </w:t>
      </w:r>
      <w:r>
        <w:rPr>
          <w:rFonts w:ascii="Calibri" w:eastAsia="Calibri" w:hAnsi="Calibri" w:cs="Calibri"/>
          <w:color w:val="1E88E5"/>
        </w:rPr>
        <w:t>art. 8 DDHC</w:t>
      </w:r>
      <w:r>
        <w:rPr>
          <w:rFonts w:ascii="Calibri" w:eastAsia="Calibri" w:hAnsi="Calibri" w:cs="Calibri"/>
          <w:color w:val="1A1A1A"/>
        </w:rPr>
        <w:t xml:space="preserve">, </w:t>
      </w:r>
      <w:r>
        <w:rPr>
          <w:rFonts w:ascii="Calibri" w:eastAsia="Calibri" w:hAnsi="Calibri" w:cs="Calibri"/>
          <w:color w:val="1E88E5"/>
        </w:rPr>
        <w:t>art. 34 C.</w:t>
      </w:r>
      <w:r>
        <w:rPr>
          <w:rFonts w:ascii="Calibri" w:eastAsia="Calibri" w:hAnsi="Calibri" w:cs="Calibri"/>
          <w:color w:val="1A1A1A"/>
        </w:rPr>
        <w:t xml:space="preserve">, </w:t>
      </w:r>
      <w:r>
        <w:rPr>
          <w:rFonts w:ascii="Calibri" w:eastAsia="Calibri" w:hAnsi="Calibri" w:cs="Calibri"/>
          <w:color w:val="1E88E5"/>
        </w:rPr>
        <w:t>art. 111-2 C. pén.</w:t>
      </w:r>
      <w:r>
        <w:rPr>
          <w:rFonts w:ascii="Calibri" w:eastAsia="Calibri" w:hAnsi="Calibri" w:cs="Calibri"/>
          <w:color w:val="1A1A1A"/>
        </w:rPr>
        <w:t xml:space="preserve">, </w:t>
      </w:r>
      <w:r>
        <w:rPr>
          <w:rFonts w:ascii="Calibri" w:eastAsia="Calibri" w:hAnsi="Calibri" w:cs="Calibri"/>
          <w:color w:val="E91E63"/>
        </w:rPr>
        <w:t>80-127 DC</w:t>
      </w:r>
      <w:r>
        <w:rPr>
          <w:rFonts w:ascii="Calibri" w:eastAsia="Calibri" w:hAnsi="Calibri" w:cs="Calibri"/>
          <w:color w:val="1A1A1A"/>
        </w:rPr>
        <w:t xml:space="preserve"> ; B. L’exigence de clarté : </w:t>
      </w:r>
      <w:r>
        <w:rPr>
          <w:rFonts w:ascii="Calibri" w:eastAsia="Calibri" w:hAnsi="Calibri" w:cs="Calibri"/>
          <w:color w:val="E91E63"/>
        </w:rPr>
        <w:t>2012-240 QPC</w:t>
      </w:r>
      <w:r>
        <w:rPr>
          <w:rFonts w:ascii="Calibri" w:eastAsia="Calibri" w:hAnsi="Calibri" w:cs="Calibri"/>
          <w:color w:val="1A1A1A"/>
        </w:rPr>
        <w:t xml:space="preserve">, accessibilité et intelligibilité comme OVC) / </w:t>
      </w:r>
      <w:r>
        <w:rPr>
          <w:rFonts w:ascii="Calibri" w:eastAsia="Calibri" w:hAnsi="Calibri" w:cs="Calibri"/>
          <w:b/>
          <w:bCs/>
          <w:color w:val="1A1A1A"/>
        </w:rPr>
        <w:t>II. Un principe aux conséquences procédurales</w:t>
      </w:r>
      <w:r>
        <w:rPr>
          <w:rFonts w:ascii="Calibri" w:eastAsia="Calibri" w:hAnsi="Calibri" w:cs="Calibri"/>
          <w:color w:val="1A1A1A"/>
        </w:rPr>
        <w:t xml:space="preserve"> (A. Le temps : non-rétroactivité </w:t>
      </w:r>
      <w:r>
        <w:rPr>
          <w:rFonts w:ascii="Calibri" w:eastAsia="Calibri" w:hAnsi="Calibri" w:cs="Calibri"/>
          <w:i/>
          <w:iCs/>
          <w:color w:val="1A1A1A"/>
        </w:rPr>
        <w:t>in pejus</w:t>
      </w:r>
      <w:r>
        <w:rPr>
          <w:rFonts w:ascii="Calibri" w:eastAsia="Calibri" w:hAnsi="Calibri" w:cs="Calibri"/>
          <w:color w:val="1A1A1A"/>
        </w:rPr>
        <w:t xml:space="preserve">, rétroactivité </w:t>
      </w:r>
      <w:r>
        <w:rPr>
          <w:rFonts w:ascii="Calibri" w:eastAsia="Calibri" w:hAnsi="Calibri" w:cs="Calibri"/>
          <w:i/>
          <w:iCs/>
          <w:color w:val="1A1A1A"/>
        </w:rPr>
        <w:t>in mitius</w:t>
      </w:r>
      <w:r>
        <w:rPr>
          <w:rFonts w:ascii="Calibri" w:eastAsia="Calibri" w:hAnsi="Calibri" w:cs="Calibri"/>
          <w:color w:val="1A1A1A"/>
        </w:rPr>
        <w:t xml:space="preserve"> (</w:t>
      </w:r>
      <w:r>
        <w:rPr>
          <w:rFonts w:ascii="Calibri" w:eastAsia="Calibri" w:hAnsi="Calibri" w:cs="Calibri"/>
          <w:color w:val="1E88E5"/>
        </w:rPr>
        <w:t>art. 112-1 C. pén.</w:t>
      </w:r>
      <w:r>
        <w:rPr>
          <w:rFonts w:ascii="Calibri" w:eastAsia="Calibri" w:hAnsi="Calibri" w:cs="Calibri"/>
          <w:color w:val="1A1A1A"/>
        </w:rPr>
        <w:t>), prescription (</w:t>
      </w:r>
      <w:r>
        <w:rPr>
          <w:rFonts w:ascii="Calibri" w:eastAsia="Calibri" w:hAnsi="Calibri" w:cs="Calibri"/>
          <w:color w:val="E91E63"/>
        </w:rPr>
        <w:t>2019-785 QPC</w:t>
      </w:r>
      <w:r>
        <w:rPr>
          <w:rFonts w:ascii="Calibri" w:eastAsia="Calibri" w:hAnsi="Calibri" w:cs="Calibri"/>
          <w:color w:val="1A1A1A"/>
        </w:rPr>
        <w:t xml:space="preserve">) ; B. L’unicité : </w:t>
      </w:r>
      <w:r>
        <w:rPr>
          <w:rFonts w:ascii="Calibri" w:eastAsia="Calibri" w:hAnsi="Calibri" w:cs="Calibri"/>
          <w:i/>
          <w:iCs/>
          <w:color w:val="1A1A1A"/>
        </w:rPr>
        <w:t>non bis in idem</w:t>
      </w:r>
      <w:r>
        <w:rPr>
          <w:rFonts w:ascii="Calibri" w:eastAsia="Calibri" w:hAnsi="Calibri" w:cs="Calibri"/>
          <w:color w:val="1A1A1A"/>
        </w:rPr>
        <w:t xml:space="preserve"> et ses limites en droit français).</w:t>
      </w:r>
    </w:p>
    <w:p w14:paraId="09C081B1" w14:textId="77777777" w:rsidR="00520D98" w:rsidRDefault="00000000">
      <w:pPr>
        <w:pStyle w:val="Titre3"/>
        <w:spacing w:before="200" w:after="90"/>
      </w:pPr>
      <w:r>
        <w:rPr>
          <w:rFonts w:ascii="Calibri" w:eastAsia="Calibri" w:hAnsi="Calibri" w:cs="Calibri"/>
          <w:b/>
          <w:bCs/>
          <w:i/>
          <w:iCs/>
          <w:color w:val="5A5A5A"/>
          <w:sz w:val="21"/>
          <w:szCs w:val="21"/>
        </w:rPr>
        <w:lastRenderedPageBreak/>
        <w:t>Trois pièges</w:t>
      </w:r>
    </w:p>
    <w:p w14:paraId="393C0FA9"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La réserve française au Protocole n° 7</w:t>
      </w:r>
      <w:r>
        <w:rPr>
          <w:rFonts w:ascii="Calibri" w:eastAsia="Calibri" w:hAnsi="Calibri" w:cs="Calibri"/>
          <w:color w:val="1A1A1A"/>
        </w:rPr>
        <w:t xml:space="preserve"> limite le </w:t>
      </w:r>
      <w:r>
        <w:rPr>
          <w:rFonts w:ascii="Calibri" w:eastAsia="Calibri" w:hAnsi="Calibri" w:cs="Calibri"/>
          <w:i/>
          <w:iCs/>
          <w:color w:val="1A1A1A"/>
        </w:rPr>
        <w:t>non bis in idem</w:t>
      </w:r>
      <w:r>
        <w:rPr>
          <w:rFonts w:ascii="Calibri" w:eastAsia="Calibri" w:hAnsi="Calibri" w:cs="Calibri"/>
          <w:color w:val="1A1A1A"/>
        </w:rPr>
        <w:t xml:space="preserve"> à la </w:t>
      </w:r>
      <w:r>
        <w:rPr>
          <w:rFonts w:ascii="Calibri" w:eastAsia="Calibri" w:hAnsi="Calibri" w:cs="Calibri"/>
          <w:b/>
          <w:bCs/>
          <w:color w:val="1A1A1A"/>
        </w:rPr>
        <w:t>seule matière pénale</w:t>
      </w:r>
      <w:r>
        <w:rPr>
          <w:rFonts w:ascii="Calibri" w:eastAsia="Calibri" w:hAnsi="Calibri" w:cs="Calibri"/>
          <w:color w:val="1A1A1A"/>
        </w:rPr>
        <w:t xml:space="preserve">, ce qui permet en droit interne le </w:t>
      </w:r>
      <w:r>
        <w:rPr>
          <w:rFonts w:ascii="Calibri" w:eastAsia="Calibri" w:hAnsi="Calibri" w:cs="Calibri"/>
          <w:b/>
          <w:bCs/>
          <w:color w:val="1A1A1A"/>
        </w:rPr>
        <w:t>cumul des procédures pénales et administratives</w:t>
      </w:r>
      <w:r>
        <w:rPr>
          <w:rFonts w:ascii="Calibri" w:eastAsia="Calibri" w:hAnsi="Calibri" w:cs="Calibri"/>
          <w:color w:val="1A1A1A"/>
        </w:rPr>
        <w:t xml:space="preserve">. C’est la nuance décisive à opposer à </w:t>
      </w:r>
      <w:r>
        <w:rPr>
          <w:rFonts w:ascii="Calibri" w:eastAsia="Calibri" w:hAnsi="Calibri" w:cs="Calibri"/>
          <w:color w:val="E91E63"/>
        </w:rPr>
        <w:t>Zolotoukhine</w:t>
      </w:r>
      <w:r>
        <w:rPr>
          <w:rFonts w:ascii="Calibri" w:eastAsia="Calibri" w:hAnsi="Calibri" w:cs="Calibri"/>
          <w:color w:val="1A1A1A"/>
        </w:rPr>
        <w:t>.</w:t>
      </w:r>
    </w:p>
    <w:p w14:paraId="50318E40"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Une sanction insuffisamment sévère ne méconnaît pas le principe de proportionnalité des peines</w:t>
      </w:r>
      <w:r>
        <w:rPr>
          <w:rFonts w:ascii="Calibri" w:eastAsia="Calibri" w:hAnsi="Calibri" w:cs="Calibri"/>
          <w:color w:val="1A1A1A"/>
        </w:rPr>
        <w:t xml:space="preserve"> (</w:t>
      </w:r>
      <w:r>
        <w:rPr>
          <w:rFonts w:ascii="Calibri" w:eastAsia="Calibri" w:hAnsi="Calibri" w:cs="Calibri"/>
          <w:color w:val="E91E63"/>
        </w:rPr>
        <w:t>Cons. const., déc. n° 2019-795 DC, 20 décembre 2019</w:t>
      </w:r>
      <w:r>
        <w:rPr>
          <w:rFonts w:ascii="Calibri" w:eastAsia="Calibri" w:hAnsi="Calibri" w:cs="Calibri"/>
          <w:color w:val="1A1A1A"/>
        </w:rPr>
        <w:t>) : le contrôle porte sur l’</w:t>
      </w:r>
      <w:r>
        <w:rPr>
          <w:rFonts w:ascii="Calibri" w:eastAsia="Calibri" w:hAnsi="Calibri" w:cs="Calibri"/>
          <w:b/>
          <w:bCs/>
          <w:color w:val="1A1A1A"/>
        </w:rPr>
        <w:t>absence de disproportion manifeste</w:t>
      </w:r>
      <w:r>
        <w:rPr>
          <w:rFonts w:ascii="Calibri" w:eastAsia="Calibri" w:hAnsi="Calibri" w:cs="Calibri"/>
          <w:color w:val="1A1A1A"/>
        </w:rPr>
        <w:t>, non sur l’adéquation.</w:t>
      </w:r>
    </w:p>
    <w:p w14:paraId="182B0E82"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L’individualisation interdit les peines automatiques</w:t>
      </w:r>
      <w:r>
        <w:rPr>
          <w:rFonts w:ascii="Calibri" w:eastAsia="Calibri" w:hAnsi="Calibri" w:cs="Calibri"/>
          <w:color w:val="1A1A1A"/>
        </w:rPr>
        <w:t xml:space="preserve"> mais </w:t>
      </w:r>
      <w:r>
        <w:rPr>
          <w:rFonts w:ascii="Calibri" w:eastAsia="Calibri" w:hAnsi="Calibri" w:cs="Calibri"/>
          <w:b/>
          <w:bCs/>
          <w:color w:val="1A1A1A"/>
        </w:rPr>
        <w:t>n’impose pas</w:t>
      </w:r>
      <w:r>
        <w:rPr>
          <w:rFonts w:ascii="Calibri" w:eastAsia="Calibri" w:hAnsi="Calibri" w:cs="Calibri"/>
          <w:color w:val="1A1A1A"/>
        </w:rPr>
        <w:t xml:space="preserve"> au juge de déterminer la peine exclusivement en fonction de la personnalité de l’auteur. Ce principe « s’impose dans le silence de la loi » (</w:t>
      </w:r>
      <w:r>
        <w:rPr>
          <w:rFonts w:ascii="Calibri" w:eastAsia="Calibri" w:hAnsi="Calibri" w:cs="Calibri"/>
          <w:color w:val="E91E63"/>
        </w:rPr>
        <w:t>2007-553 DC</w:t>
      </w:r>
      <w:r>
        <w:rPr>
          <w:rFonts w:ascii="Calibri" w:eastAsia="Calibri" w:hAnsi="Calibri" w:cs="Calibri"/>
          <w:color w:val="1A1A1A"/>
        </w:rPr>
        <w:t>).</w:t>
      </w:r>
    </w:p>
    <w:p w14:paraId="46D86239" w14:textId="77777777" w:rsidR="00520D98" w:rsidRDefault="00000000">
      <w:r>
        <w:br w:type="page"/>
      </w:r>
    </w:p>
    <w:p w14:paraId="763D0C1B" w14:textId="77777777" w:rsidR="00520D98" w:rsidRDefault="00000000">
      <w:pPr>
        <w:pStyle w:val="Titre2"/>
        <w:spacing w:before="280" w:after="120"/>
      </w:pPr>
      <w:r>
        <w:rPr>
          <w:rFonts w:ascii="Calibri" w:eastAsia="Calibri" w:hAnsi="Calibri" w:cs="Calibri"/>
          <w:b/>
          <w:bCs/>
          <w:color w:val="1A1A1A"/>
          <w:sz w:val="24"/>
          <w:szCs w:val="24"/>
        </w:rPr>
        <w:lastRenderedPageBreak/>
        <w:t>1. Architecture textuelle</w:t>
      </w:r>
    </w:p>
    <w:p w14:paraId="1F065B20" w14:textId="77777777" w:rsidR="00520D98" w:rsidRDefault="00000000">
      <w:pPr>
        <w:pStyle w:val="Paragraphedeliste"/>
        <w:numPr>
          <w:ilvl w:val="0"/>
          <w:numId w:val="2"/>
        </w:numPr>
        <w:spacing w:after="70" w:line="264" w:lineRule="auto"/>
        <w:jc w:val="both"/>
      </w:pPr>
      <w:r>
        <w:rPr>
          <w:rFonts w:ascii="Calibri" w:eastAsia="Calibri" w:hAnsi="Calibri" w:cs="Calibri"/>
          <w:color w:val="1E88E5"/>
        </w:rPr>
        <w:t>Art. 34 de la Constitution</w:t>
      </w:r>
      <w:r>
        <w:rPr>
          <w:rFonts w:ascii="Calibri" w:eastAsia="Calibri" w:hAnsi="Calibri" w:cs="Calibri"/>
          <w:color w:val="1A1A1A"/>
        </w:rPr>
        <w:t xml:space="preserve"> : la loi fixe les règles concernant « la détermination des crimes et délits ainsi que les peines qui leur sont applicables ; la procédure pénale ; l’amnistie ; la création de nouveaux ordres de juridiction et le statut des magistrats ».</w:t>
      </w:r>
    </w:p>
    <w:p w14:paraId="51E2A314" w14:textId="77777777" w:rsidR="00520D98" w:rsidRDefault="00000000">
      <w:pPr>
        <w:pStyle w:val="Paragraphedeliste"/>
        <w:numPr>
          <w:ilvl w:val="0"/>
          <w:numId w:val="2"/>
        </w:numPr>
        <w:spacing w:after="70" w:line="264" w:lineRule="auto"/>
        <w:jc w:val="both"/>
      </w:pPr>
      <w:r>
        <w:rPr>
          <w:rFonts w:ascii="Calibri" w:eastAsia="Calibri" w:hAnsi="Calibri" w:cs="Calibri"/>
          <w:color w:val="1E88E5"/>
        </w:rPr>
        <w:t>Art. 8, 9 et 16 de la DDHC</w:t>
      </w:r>
      <w:r>
        <w:rPr>
          <w:rFonts w:ascii="Calibri" w:eastAsia="Calibri" w:hAnsi="Calibri" w:cs="Calibri"/>
          <w:color w:val="1A1A1A"/>
        </w:rPr>
        <w:t xml:space="preserve"> ; </w:t>
      </w:r>
      <w:r>
        <w:rPr>
          <w:rFonts w:ascii="Calibri" w:eastAsia="Calibri" w:hAnsi="Calibri" w:cs="Calibri"/>
          <w:color w:val="1E88E5"/>
        </w:rPr>
        <w:t>art. 14 PIDCP</w:t>
      </w:r>
      <w:r>
        <w:rPr>
          <w:rFonts w:ascii="Calibri" w:eastAsia="Calibri" w:hAnsi="Calibri" w:cs="Calibri"/>
          <w:color w:val="1A1A1A"/>
        </w:rPr>
        <w:t xml:space="preserve"> ; </w:t>
      </w:r>
      <w:r>
        <w:rPr>
          <w:rFonts w:ascii="Calibri" w:eastAsia="Calibri" w:hAnsi="Calibri" w:cs="Calibri"/>
          <w:color w:val="1E88E5"/>
        </w:rPr>
        <w:t>art. 6 CEDH</w:t>
      </w:r>
      <w:r>
        <w:rPr>
          <w:rFonts w:ascii="Calibri" w:eastAsia="Calibri" w:hAnsi="Calibri" w:cs="Calibri"/>
          <w:color w:val="1A1A1A"/>
        </w:rPr>
        <w:t xml:space="preserve"> ; </w:t>
      </w:r>
      <w:r>
        <w:rPr>
          <w:rFonts w:ascii="Calibri" w:eastAsia="Calibri" w:hAnsi="Calibri" w:cs="Calibri"/>
          <w:color w:val="1E88E5"/>
        </w:rPr>
        <w:t>art. 48 de la Charte des droits fondamentaux</w:t>
      </w:r>
      <w:r>
        <w:rPr>
          <w:rFonts w:ascii="Calibri" w:eastAsia="Calibri" w:hAnsi="Calibri" w:cs="Calibri"/>
          <w:color w:val="1A1A1A"/>
        </w:rPr>
        <w:t xml:space="preserve"> (droits de la défense, légalité et proportionnalité des délits et des peines) ; </w:t>
      </w:r>
      <w:r>
        <w:rPr>
          <w:rFonts w:ascii="Calibri" w:eastAsia="Calibri" w:hAnsi="Calibri" w:cs="Calibri"/>
          <w:color w:val="1E88E5"/>
        </w:rPr>
        <w:t>art. 50 de la Charte</w:t>
      </w:r>
      <w:r>
        <w:rPr>
          <w:rFonts w:ascii="Calibri" w:eastAsia="Calibri" w:hAnsi="Calibri" w:cs="Calibri"/>
          <w:color w:val="1A1A1A"/>
        </w:rPr>
        <w:t xml:space="preserve"> et </w:t>
      </w:r>
      <w:r>
        <w:rPr>
          <w:rFonts w:ascii="Calibri" w:eastAsia="Calibri" w:hAnsi="Calibri" w:cs="Calibri"/>
          <w:color w:val="1E88E5"/>
        </w:rPr>
        <w:t>art. 14 § 7 PIDCP</w:t>
      </w:r>
      <w:r>
        <w:rPr>
          <w:rFonts w:ascii="Calibri" w:eastAsia="Calibri" w:hAnsi="Calibri" w:cs="Calibri"/>
          <w:color w:val="1A1A1A"/>
        </w:rPr>
        <w:t xml:space="preserve"> (</w:t>
      </w:r>
      <w:r>
        <w:rPr>
          <w:rFonts w:ascii="Calibri" w:eastAsia="Calibri" w:hAnsi="Calibri" w:cs="Calibri"/>
          <w:i/>
          <w:iCs/>
          <w:color w:val="1A1A1A"/>
        </w:rPr>
        <w:t>non bis in idem</w:t>
      </w:r>
      <w:r>
        <w:rPr>
          <w:rFonts w:ascii="Calibri" w:eastAsia="Calibri" w:hAnsi="Calibri" w:cs="Calibri"/>
          <w:color w:val="1A1A1A"/>
        </w:rPr>
        <w:t xml:space="preserve">) ; </w:t>
      </w:r>
      <w:r>
        <w:rPr>
          <w:rFonts w:ascii="Calibri" w:eastAsia="Calibri" w:hAnsi="Calibri" w:cs="Calibri"/>
          <w:color w:val="1E88E5"/>
        </w:rPr>
        <w:t>article préliminaire du Code de procédure pénale</w:t>
      </w:r>
      <w:r>
        <w:rPr>
          <w:rFonts w:ascii="Calibri" w:eastAsia="Calibri" w:hAnsi="Calibri" w:cs="Calibri"/>
          <w:color w:val="1A1A1A"/>
        </w:rPr>
        <w:t>.</w:t>
      </w:r>
    </w:p>
    <w:p w14:paraId="7E9728E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Textes récents</w:t>
      </w:r>
      <w:r>
        <w:rPr>
          <w:rFonts w:ascii="Calibri" w:eastAsia="Calibri" w:hAnsi="Calibri" w:cs="Calibri"/>
          <w:color w:val="1A1A1A"/>
        </w:rPr>
        <w:t xml:space="preserve"> : </w:t>
      </w:r>
      <w:r>
        <w:rPr>
          <w:rFonts w:ascii="Calibri" w:eastAsia="Calibri" w:hAnsi="Calibri" w:cs="Calibri"/>
          <w:color w:val="1E88E5"/>
        </w:rPr>
        <w:t>loi n° 2011-392 du 14 avril 2011 relative à la garde à vue</w:t>
      </w:r>
      <w:r>
        <w:rPr>
          <w:rFonts w:ascii="Calibri" w:eastAsia="Calibri" w:hAnsi="Calibri" w:cs="Calibri"/>
          <w:color w:val="1A1A1A"/>
        </w:rPr>
        <w:t xml:space="preserve"> ; </w:t>
      </w:r>
      <w:r>
        <w:rPr>
          <w:rFonts w:ascii="Calibri" w:eastAsia="Calibri" w:hAnsi="Calibri" w:cs="Calibri"/>
          <w:color w:val="1E88E5"/>
        </w:rPr>
        <w:t>loi n° 2024-364 du 22 avril 2024 portant diverses dispositions d’adaptation au droit de l’Union européenne</w:t>
      </w:r>
      <w:r>
        <w:rPr>
          <w:rFonts w:ascii="Calibri" w:eastAsia="Calibri" w:hAnsi="Calibri" w:cs="Calibri"/>
          <w:color w:val="1A1A1A"/>
        </w:rPr>
        <w:t xml:space="preserve"> ; </w:t>
      </w:r>
      <w:r>
        <w:rPr>
          <w:rFonts w:ascii="Calibri" w:eastAsia="Calibri" w:hAnsi="Calibri" w:cs="Calibri"/>
          <w:color w:val="1E88E5"/>
        </w:rPr>
        <w:t>loi n° 2025-532 du 13 juin 2025 visant à sortir la France du piège du narcotrafic</w:t>
      </w:r>
      <w:r>
        <w:rPr>
          <w:rFonts w:ascii="Calibri" w:eastAsia="Calibri" w:hAnsi="Calibri" w:cs="Calibri"/>
          <w:color w:val="1A1A1A"/>
        </w:rPr>
        <w:t>.</w:t>
      </w:r>
    </w:p>
    <w:p w14:paraId="080922AD"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Les exceptions au principe d’égalité devant la loi pénale</w:t>
      </w:r>
      <w:r>
        <w:rPr>
          <w:rFonts w:ascii="Calibri" w:eastAsia="Calibri" w:hAnsi="Calibri" w:cs="Calibri"/>
          <w:color w:val="1A1A1A"/>
        </w:rPr>
        <w:t xml:space="preserve"> tirées de la séparation des pouvoirs : </w:t>
      </w:r>
      <w:r>
        <w:rPr>
          <w:rFonts w:ascii="Calibri" w:eastAsia="Calibri" w:hAnsi="Calibri" w:cs="Calibri"/>
          <w:color w:val="1E88E5"/>
        </w:rPr>
        <w:t>art. 26 de la Constitution</w:t>
      </w:r>
      <w:r>
        <w:rPr>
          <w:rFonts w:ascii="Calibri" w:eastAsia="Calibri" w:hAnsi="Calibri" w:cs="Calibri"/>
          <w:color w:val="1A1A1A"/>
        </w:rPr>
        <w:t xml:space="preserve"> — les parlementaires ne peuvent faire l’objet d’une arrestation ou d’une mesure privative ou restrictive de liberté sans l’accord du bureau de l’assemblée dont ils font partie (</w:t>
      </w:r>
      <w:r>
        <w:rPr>
          <w:rFonts w:ascii="Calibri" w:eastAsia="Calibri" w:hAnsi="Calibri" w:cs="Calibri"/>
          <w:b/>
          <w:bCs/>
          <w:color w:val="1A1A1A"/>
        </w:rPr>
        <w:t>levée de l’immunité parlementaire</w:t>
      </w:r>
      <w:r>
        <w:rPr>
          <w:rFonts w:ascii="Calibri" w:eastAsia="Calibri" w:hAnsi="Calibri" w:cs="Calibri"/>
          <w:color w:val="1A1A1A"/>
        </w:rPr>
        <w:t xml:space="preserve">) ; </w:t>
      </w:r>
      <w:r>
        <w:rPr>
          <w:rFonts w:ascii="Calibri" w:eastAsia="Calibri" w:hAnsi="Calibri" w:cs="Calibri"/>
          <w:color w:val="1E88E5"/>
        </w:rPr>
        <w:t>art. 53-2 C.</w:t>
      </w:r>
      <w:r>
        <w:rPr>
          <w:rFonts w:ascii="Calibri" w:eastAsia="Calibri" w:hAnsi="Calibri" w:cs="Calibri"/>
          <w:color w:val="1A1A1A"/>
        </w:rPr>
        <w:t xml:space="preserve"> — pendant l’exercice de son mandat, le président de la République ne peut faire l’objet de poursuites pénales, sauf devant la Cour pénale internationale.</w:t>
      </w:r>
    </w:p>
    <w:p w14:paraId="61840AF5" w14:textId="77777777" w:rsidR="00520D98" w:rsidRDefault="00000000">
      <w:pPr>
        <w:pStyle w:val="Titre2"/>
        <w:spacing w:before="280" w:after="120"/>
      </w:pPr>
      <w:r>
        <w:rPr>
          <w:rFonts w:ascii="Calibri" w:eastAsia="Calibri" w:hAnsi="Calibri" w:cs="Calibri"/>
          <w:b/>
          <w:bCs/>
          <w:color w:val="1A1A1A"/>
          <w:sz w:val="24"/>
          <w:szCs w:val="24"/>
        </w:rPr>
        <w:t>2. Les garanties entourant la procédure</w:t>
      </w:r>
    </w:p>
    <w:p w14:paraId="21A5371E" w14:textId="77777777" w:rsidR="00520D98" w:rsidRDefault="00000000">
      <w:pPr>
        <w:pStyle w:val="Titre3"/>
        <w:spacing w:before="200" w:after="90"/>
      </w:pPr>
      <w:r>
        <w:rPr>
          <w:rFonts w:ascii="Calibri" w:eastAsia="Calibri" w:hAnsi="Calibri" w:cs="Calibri"/>
          <w:b/>
          <w:bCs/>
          <w:i/>
          <w:iCs/>
          <w:color w:val="5A5A5A"/>
          <w:sz w:val="21"/>
          <w:szCs w:val="21"/>
        </w:rPr>
        <w:t>2.1. La présomption d’innocence</w:t>
      </w:r>
    </w:p>
    <w:p w14:paraId="5A4032C5"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Définition</w:t>
      </w:r>
      <w:r>
        <w:rPr>
          <w:rFonts w:ascii="Calibri" w:eastAsia="Calibri" w:hAnsi="Calibri" w:cs="Calibri"/>
          <w:color w:val="1A1A1A"/>
        </w:rPr>
        <w:t xml:space="preserve"> : « </w:t>
      </w:r>
      <w:r>
        <w:rPr>
          <w:rFonts w:ascii="Calibri" w:eastAsia="Calibri" w:hAnsi="Calibri" w:cs="Calibri"/>
          <w:i/>
          <w:iCs/>
          <w:color w:val="1A1A1A"/>
        </w:rPr>
        <w:t>L’atteinte à la présomption d’innocence contre laquelle l’article 9-1 instaure une protection, consiste à présenter publiquement comme coupable, avant condamnation, une personne poursuivie pénalement</w:t>
      </w:r>
      <w:r>
        <w:rPr>
          <w:rFonts w:ascii="Calibri" w:eastAsia="Calibri" w:hAnsi="Calibri" w:cs="Calibri"/>
          <w:color w:val="1A1A1A"/>
        </w:rPr>
        <w:t xml:space="preserve"> » (</w:t>
      </w:r>
      <w:r>
        <w:rPr>
          <w:rFonts w:ascii="Calibri" w:eastAsia="Calibri" w:hAnsi="Calibri" w:cs="Calibri"/>
          <w:color w:val="E91E63"/>
        </w:rPr>
        <w:t>Cass. civ. 1re, 6 mars 1996, n° 93-20.478 P</w:t>
      </w:r>
      <w:r>
        <w:rPr>
          <w:rFonts w:ascii="Calibri" w:eastAsia="Calibri" w:hAnsi="Calibri" w:cs="Calibri"/>
          <w:color w:val="1A1A1A"/>
        </w:rPr>
        <w:t>).</w:t>
      </w:r>
    </w:p>
    <w:p w14:paraId="6BE8843C"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Fondements</w:t>
      </w:r>
      <w:r>
        <w:rPr>
          <w:rFonts w:ascii="Calibri" w:eastAsia="Calibri" w:hAnsi="Calibri" w:cs="Calibri"/>
          <w:color w:val="1A1A1A"/>
        </w:rPr>
        <w:t xml:space="preserve"> : </w:t>
      </w:r>
      <w:r>
        <w:rPr>
          <w:rFonts w:ascii="Calibri" w:eastAsia="Calibri" w:hAnsi="Calibri" w:cs="Calibri"/>
          <w:color w:val="1E88E5"/>
        </w:rPr>
        <w:t>art. 9 DDHC</w:t>
      </w:r>
      <w:r>
        <w:rPr>
          <w:rFonts w:ascii="Calibri" w:eastAsia="Calibri" w:hAnsi="Calibri" w:cs="Calibri"/>
          <w:color w:val="1A1A1A"/>
        </w:rPr>
        <w:t xml:space="preserve"> ; </w:t>
      </w:r>
      <w:r>
        <w:rPr>
          <w:rFonts w:ascii="Calibri" w:eastAsia="Calibri" w:hAnsi="Calibri" w:cs="Calibri"/>
          <w:color w:val="1E88E5"/>
        </w:rPr>
        <w:t>art. 48 de la Charte</w:t>
      </w:r>
      <w:r>
        <w:rPr>
          <w:rFonts w:ascii="Calibri" w:eastAsia="Calibri" w:hAnsi="Calibri" w:cs="Calibri"/>
          <w:color w:val="1A1A1A"/>
        </w:rPr>
        <w:t xml:space="preserve"> ; </w:t>
      </w:r>
      <w:r>
        <w:rPr>
          <w:rFonts w:ascii="Calibri" w:eastAsia="Calibri" w:hAnsi="Calibri" w:cs="Calibri"/>
          <w:color w:val="1E88E5"/>
        </w:rPr>
        <w:t>art. 14 § 2 PIDCP</w:t>
      </w:r>
      <w:r>
        <w:rPr>
          <w:rFonts w:ascii="Calibri" w:eastAsia="Calibri" w:hAnsi="Calibri" w:cs="Calibri"/>
          <w:color w:val="1A1A1A"/>
        </w:rPr>
        <w:t xml:space="preserve"> ; </w:t>
      </w:r>
      <w:r>
        <w:rPr>
          <w:rFonts w:ascii="Calibri" w:eastAsia="Calibri" w:hAnsi="Calibri" w:cs="Calibri"/>
          <w:color w:val="1E88E5"/>
        </w:rPr>
        <w:t>art. 6 § 2 CEDH</w:t>
      </w:r>
      <w:r>
        <w:rPr>
          <w:rFonts w:ascii="Calibri" w:eastAsia="Calibri" w:hAnsi="Calibri" w:cs="Calibri"/>
          <w:color w:val="1A1A1A"/>
        </w:rPr>
        <w:t xml:space="preserve"> ; </w:t>
      </w:r>
      <w:r>
        <w:rPr>
          <w:rFonts w:ascii="Calibri" w:eastAsia="Calibri" w:hAnsi="Calibri" w:cs="Calibri"/>
          <w:color w:val="1E88E5"/>
        </w:rPr>
        <w:t>article préliminaire du CPP</w:t>
      </w:r>
      <w:r>
        <w:rPr>
          <w:rFonts w:ascii="Calibri" w:eastAsia="Calibri" w:hAnsi="Calibri" w:cs="Calibri"/>
          <w:color w:val="1A1A1A"/>
        </w:rPr>
        <w:t xml:space="preserve"> ; </w:t>
      </w:r>
      <w:r>
        <w:rPr>
          <w:rFonts w:ascii="Calibri" w:eastAsia="Calibri" w:hAnsi="Calibri" w:cs="Calibri"/>
          <w:color w:val="1E88E5"/>
        </w:rPr>
        <w:t>art. 9-1 du Code civil</w:t>
      </w:r>
      <w:r>
        <w:rPr>
          <w:rFonts w:ascii="Calibri" w:eastAsia="Calibri" w:hAnsi="Calibri" w:cs="Calibri"/>
          <w:color w:val="1A1A1A"/>
        </w:rPr>
        <w:t xml:space="preserve">. </w:t>
      </w:r>
      <w:r>
        <w:rPr>
          <w:rFonts w:ascii="Calibri" w:eastAsia="Calibri" w:hAnsi="Calibri" w:cs="Calibri"/>
          <w:b/>
          <w:bCs/>
          <w:color w:val="1A1A1A"/>
        </w:rPr>
        <w:t>Double lecture européenne</w:t>
      </w:r>
      <w:r>
        <w:rPr>
          <w:rFonts w:ascii="Calibri" w:eastAsia="Calibri" w:hAnsi="Calibri" w:cs="Calibri"/>
          <w:color w:val="1A1A1A"/>
        </w:rPr>
        <w:t xml:space="preserve"> : la présomption d’innocence constitue une </w:t>
      </w:r>
      <w:r>
        <w:rPr>
          <w:rFonts w:ascii="Calibri" w:eastAsia="Calibri" w:hAnsi="Calibri" w:cs="Calibri"/>
          <w:b/>
          <w:bCs/>
          <w:color w:val="1A1A1A"/>
        </w:rPr>
        <w:t>garantie procédurale</w:t>
      </w:r>
      <w:r>
        <w:rPr>
          <w:rFonts w:ascii="Calibri" w:eastAsia="Calibri" w:hAnsi="Calibri" w:cs="Calibri"/>
          <w:color w:val="1A1A1A"/>
        </w:rPr>
        <w:t xml:space="preserve"> et une garantie visant à éviter que les autorités publiques ne considèrent une personne acquittée ou ayant fait l’objet d’un abandon des poursuites comme étant une personne coupable (</w:t>
      </w:r>
      <w:r>
        <w:rPr>
          <w:rFonts w:ascii="Calibri" w:eastAsia="Calibri" w:hAnsi="Calibri" w:cs="Calibri"/>
          <w:color w:val="E91E63"/>
        </w:rPr>
        <w:t>CEDH, 12 juillet 2013, Allen c. Royaume-Uni, n° 25424/09</w:t>
      </w:r>
      <w:r>
        <w:rPr>
          <w:rFonts w:ascii="Calibri" w:eastAsia="Calibri" w:hAnsi="Calibri" w:cs="Calibri"/>
          <w:color w:val="1A1A1A"/>
        </w:rPr>
        <w:t>).</w:t>
      </w:r>
    </w:p>
    <w:p w14:paraId="5225D560"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Conséquence</w:t>
      </w:r>
      <w:r>
        <w:rPr>
          <w:rFonts w:ascii="Calibri" w:eastAsia="Calibri" w:hAnsi="Calibri" w:cs="Calibri"/>
          <w:color w:val="1A1A1A"/>
        </w:rPr>
        <w:t xml:space="preserve"> : la </w:t>
      </w:r>
      <w:r>
        <w:rPr>
          <w:rFonts w:ascii="Calibri" w:eastAsia="Calibri" w:hAnsi="Calibri" w:cs="Calibri"/>
          <w:b/>
          <w:bCs/>
          <w:color w:val="1A1A1A"/>
        </w:rPr>
        <w:t>charge de la preuve pèse sur l’accusation</w:t>
      </w:r>
      <w:r>
        <w:rPr>
          <w:rFonts w:ascii="Calibri" w:eastAsia="Calibri" w:hAnsi="Calibri" w:cs="Calibri"/>
          <w:color w:val="1A1A1A"/>
        </w:rPr>
        <w:t xml:space="preserve">. </w:t>
      </w:r>
      <w:r w:rsidRPr="009C4693">
        <w:rPr>
          <w:rFonts w:ascii="Calibri" w:eastAsia="Calibri" w:hAnsi="Calibri" w:cs="Calibri"/>
          <w:b/>
          <w:bCs/>
          <w:color w:val="1A1A1A"/>
          <w:highlight w:val="yellow"/>
        </w:rPr>
        <w:t>Exceptions</w:t>
      </w:r>
      <w:r>
        <w:rPr>
          <w:rFonts w:ascii="Calibri" w:eastAsia="Calibri" w:hAnsi="Calibri" w:cs="Calibri"/>
          <w:color w:val="1A1A1A"/>
        </w:rPr>
        <w:t xml:space="preserve"> : les présomptions de culpabilité sont admises depuis 1999 sous réserve de plusieurs exigences — « </w:t>
      </w:r>
      <w:r>
        <w:rPr>
          <w:rFonts w:ascii="Calibri" w:eastAsia="Calibri" w:hAnsi="Calibri" w:cs="Calibri"/>
          <w:i/>
          <w:iCs/>
          <w:color w:val="1A1A1A"/>
        </w:rPr>
        <w:t>Ne revêtent pas de caractère irréfragable, qu’est assuré le respect des droits de la défense et que les faits induisent raisonnablement la vraisemblance de l’imputabilité</w:t>
      </w:r>
      <w:r>
        <w:rPr>
          <w:rFonts w:ascii="Calibri" w:eastAsia="Calibri" w:hAnsi="Calibri" w:cs="Calibri"/>
          <w:color w:val="1A1A1A"/>
        </w:rPr>
        <w:t xml:space="preserve"> » (</w:t>
      </w:r>
      <w:r>
        <w:rPr>
          <w:rFonts w:ascii="Calibri" w:eastAsia="Calibri" w:hAnsi="Calibri" w:cs="Calibri"/>
          <w:color w:val="E91E63"/>
        </w:rPr>
        <w:t>Cons. const., déc. n° 99-411 DC, 16 juin 1999</w:t>
      </w:r>
      <w:r>
        <w:rPr>
          <w:rFonts w:ascii="Calibri" w:eastAsia="Calibri" w:hAnsi="Calibri" w:cs="Calibri"/>
          <w:color w:val="1A1A1A"/>
        </w:rPr>
        <w:t xml:space="preserve">). Illustration : </w:t>
      </w:r>
      <w:r>
        <w:rPr>
          <w:rFonts w:ascii="Calibri" w:eastAsia="Calibri" w:hAnsi="Calibri" w:cs="Calibri"/>
          <w:color w:val="1E88E5"/>
        </w:rPr>
        <w:t>art. 392, al. 1er du Code des douanes</w:t>
      </w:r>
      <w:r>
        <w:rPr>
          <w:rFonts w:ascii="Calibri" w:eastAsia="Calibri" w:hAnsi="Calibri" w:cs="Calibri"/>
          <w:color w:val="1A1A1A"/>
        </w:rPr>
        <w:t xml:space="preserve"> — « le détenteur de marchandises de fraude est réputé responsable de la fraude ».</w:t>
      </w:r>
    </w:p>
    <w:p w14:paraId="1077AD2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Présomption d’innocence et détention provisoire</w:t>
      </w:r>
      <w:r>
        <w:rPr>
          <w:rFonts w:ascii="Calibri" w:eastAsia="Calibri" w:hAnsi="Calibri" w:cs="Calibri"/>
          <w:color w:val="1A1A1A"/>
        </w:rPr>
        <w:t xml:space="preserve"> : le placement en détention provisoire n’est pas incompatible avec l’</w:t>
      </w:r>
      <w:r>
        <w:rPr>
          <w:rFonts w:ascii="Calibri" w:eastAsia="Calibri" w:hAnsi="Calibri" w:cs="Calibri"/>
          <w:color w:val="1E88E5"/>
        </w:rPr>
        <w:t>art. 9 DDHC</w:t>
      </w:r>
      <w:r>
        <w:rPr>
          <w:rFonts w:ascii="Calibri" w:eastAsia="Calibri" w:hAnsi="Calibri" w:cs="Calibri"/>
          <w:color w:val="1A1A1A"/>
        </w:rPr>
        <w:t>, à condition qu’il soit nécessaire à la manifestation de la vérité et au maintien de la personne à la disposition de la justice, dans le respect des droits de la défense (</w:t>
      </w:r>
      <w:r>
        <w:rPr>
          <w:rFonts w:ascii="Calibri" w:eastAsia="Calibri" w:hAnsi="Calibri" w:cs="Calibri"/>
          <w:color w:val="E91E63"/>
        </w:rPr>
        <w:t>Cons. const., déc. n° 2002-461 DC, 29 août 2002</w:t>
      </w:r>
      <w:r>
        <w:rPr>
          <w:rFonts w:ascii="Calibri" w:eastAsia="Calibri" w:hAnsi="Calibri" w:cs="Calibri"/>
          <w:color w:val="1A1A1A"/>
        </w:rPr>
        <w:t>).</w:t>
      </w:r>
    </w:p>
    <w:p w14:paraId="5A3A6C83" w14:textId="77777777" w:rsidR="00520D98" w:rsidRDefault="00000000">
      <w:pPr>
        <w:pStyle w:val="Titre3"/>
        <w:spacing w:before="200" w:after="90"/>
      </w:pPr>
      <w:r>
        <w:rPr>
          <w:rFonts w:ascii="Calibri" w:eastAsia="Calibri" w:hAnsi="Calibri" w:cs="Calibri"/>
          <w:b/>
          <w:bCs/>
          <w:i/>
          <w:iCs/>
          <w:color w:val="5A5A5A"/>
          <w:sz w:val="21"/>
          <w:szCs w:val="21"/>
        </w:rPr>
        <w:t>2.2. Le droit de ne pas s’incriminer</w:t>
      </w:r>
    </w:p>
    <w:p w14:paraId="0E61B20A"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Une personne peut </w:t>
      </w:r>
      <w:r>
        <w:rPr>
          <w:rFonts w:ascii="Calibri" w:eastAsia="Calibri" w:hAnsi="Calibri" w:cs="Calibri"/>
          <w:b/>
          <w:bCs/>
          <w:color w:val="1A1A1A"/>
        </w:rPr>
        <w:t>librement reconnaître sa culpabilité</w:t>
      </w:r>
      <w:r>
        <w:rPr>
          <w:rFonts w:ascii="Calibri" w:eastAsia="Calibri" w:hAnsi="Calibri" w:cs="Calibri"/>
          <w:color w:val="1A1A1A"/>
        </w:rPr>
        <w:t xml:space="preserve"> sans que cela soit contraire à des dispositions constitutionnelles (</w:t>
      </w:r>
      <w:r>
        <w:rPr>
          <w:rFonts w:ascii="Calibri" w:eastAsia="Calibri" w:hAnsi="Calibri" w:cs="Calibri"/>
          <w:color w:val="E91E63"/>
        </w:rPr>
        <w:t>Cons. const., déc. n° 2004-492 DC, 2 mars 2004</w:t>
      </w:r>
      <w:r>
        <w:rPr>
          <w:rFonts w:ascii="Calibri" w:eastAsia="Calibri" w:hAnsi="Calibri" w:cs="Calibri"/>
          <w:color w:val="1A1A1A"/>
        </w:rPr>
        <w:t xml:space="preserve">). Mais une personne accusée a le </w:t>
      </w:r>
      <w:r>
        <w:rPr>
          <w:rFonts w:ascii="Calibri" w:eastAsia="Calibri" w:hAnsi="Calibri" w:cs="Calibri"/>
          <w:b/>
          <w:bCs/>
          <w:color w:val="1A1A1A"/>
        </w:rPr>
        <w:t>droit de garder le silence</w:t>
      </w:r>
      <w:r>
        <w:rPr>
          <w:rFonts w:ascii="Calibri" w:eastAsia="Calibri" w:hAnsi="Calibri" w:cs="Calibri"/>
          <w:color w:val="1A1A1A"/>
        </w:rPr>
        <w:t>, explicitement indiqué à l’</w:t>
      </w:r>
      <w:r>
        <w:rPr>
          <w:rFonts w:ascii="Calibri" w:eastAsia="Calibri" w:hAnsi="Calibri" w:cs="Calibri"/>
          <w:color w:val="1E88E5"/>
        </w:rPr>
        <w:t>art. 14 § 3 PIDCP</w:t>
      </w:r>
      <w:r>
        <w:rPr>
          <w:rFonts w:ascii="Calibri" w:eastAsia="Calibri" w:hAnsi="Calibri" w:cs="Calibri"/>
          <w:color w:val="1A1A1A"/>
        </w:rPr>
        <w:t xml:space="preserve"> et déduit de l’</w:t>
      </w:r>
      <w:r>
        <w:rPr>
          <w:rFonts w:ascii="Calibri" w:eastAsia="Calibri" w:hAnsi="Calibri" w:cs="Calibri"/>
          <w:color w:val="1E88E5"/>
        </w:rPr>
        <w:t>art. 6 § 1 CEDH</w:t>
      </w:r>
      <w:r>
        <w:rPr>
          <w:rFonts w:ascii="Calibri" w:eastAsia="Calibri" w:hAnsi="Calibri" w:cs="Calibri"/>
          <w:color w:val="1A1A1A"/>
        </w:rPr>
        <w:t xml:space="preserve">. </w:t>
      </w:r>
      <w:r>
        <w:rPr>
          <w:rFonts w:ascii="Calibri" w:eastAsia="Calibri" w:hAnsi="Calibri" w:cs="Calibri"/>
          <w:b/>
          <w:bCs/>
          <w:color w:val="1A1A1A"/>
        </w:rPr>
        <w:t>L’exercice du droit de se taire ne saurait être interprété comme une marque de culpabilité.</w:t>
      </w:r>
      <w:r>
        <w:rPr>
          <w:rFonts w:ascii="Calibri" w:eastAsia="Calibri" w:hAnsi="Calibri" w:cs="Calibri"/>
          <w:color w:val="1A1A1A"/>
        </w:rPr>
        <w:t xml:space="preserve"> Le droit de se taire implique le </w:t>
      </w:r>
      <w:r>
        <w:rPr>
          <w:rFonts w:ascii="Calibri" w:eastAsia="Calibri" w:hAnsi="Calibri" w:cs="Calibri"/>
          <w:b/>
          <w:bCs/>
          <w:color w:val="1A1A1A"/>
        </w:rPr>
        <w:t>droit d’être informé de ce droit</w:t>
      </w:r>
      <w:r>
        <w:rPr>
          <w:rFonts w:ascii="Calibri" w:eastAsia="Calibri" w:hAnsi="Calibri" w:cs="Calibri"/>
          <w:color w:val="1A1A1A"/>
        </w:rPr>
        <w:t>, et ce à toute étape de la procédure : garde à vue (</w:t>
      </w:r>
      <w:r>
        <w:rPr>
          <w:rFonts w:ascii="Calibri" w:eastAsia="Calibri" w:hAnsi="Calibri" w:cs="Calibri"/>
          <w:color w:val="1E88E5"/>
        </w:rPr>
        <w:t>art. 63-1 CPP</w:t>
      </w:r>
      <w:r>
        <w:rPr>
          <w:rFonts w:ascii="Calibri" w:eastAsia="Calibri" w:hAnsi="Calibri" w:cs="Calibri"/>
          <w:color w:val="1A1A1A"/>
        </w:rPr>
        <w:t>), audition (</w:t>
      </w:r>
      <w:r>
        <w:rPr>
          <w:rFonts w:ascii="Calibri" w:eastAsia="Calibri" w:hAnsi="Calibri" w:cs="Calibri"/>
          <w:color w:val="1E88E5"/>
        </w:rPr>
        <w:t>art. 61-1 CPP</w:t>
      </w:r>
      <w:r>
        <w:rPr>
          <w:rFonts w:ascii="Calibri" w:eastAsia="Calibri" w:hAnsi="Calibri" w:cs="Calibri"/>
          <w:color w:val="1A1A1A"/>
        </w:rPr>
        <w:t>), comparution devant le juge d’instruction (</w:t>
      </w:r>
      <w:r>
        <w:rPr>
          <w:rFonts w:ascii="Calibri" w:eastAsia="Calibri" w:hAnsi="Calibri" w:cs="Calibri"/>
          <w:color w:val="1E88E5"/>
        </w:rPr>
        <w:t>art. 116 CPP</w:t>
      </w:r>
      <w:r>
        <w:rPr>
          <w:rFonts w:ascii="Calibri" w:eastAsia="Calibri" w:hAnsi="Calibri" w:cs="Calibri"/>
          <w:color w:val="1A1A1A"/>
        </w:rPr>
        <w:t>).</w:t>
      </w:r>
    </w:p>
    <w:p w14:paraId="54F7D1F1"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Des déclarations obtenues au moyen de torture ou de traitements inhumains ou dégradants privent </w:t>
      </w:r>
      <w:r>
        <w:rPr>
          <w:rFonts w:ascii="Calibri" w:eastAsia="Calibri" w:hAnsi="Calibri" w:cs="Calibri"/>
          <w:b/>
          <w:bCs/>
          <w:color w:val="1A1A1A"/>
        </w:rPr>
        <w:t>automatiquement</w:t>
      </w:r>
      <w:r>
        <w:rPr>
          <w:rFonts w:ascii="Calibri" w:eastAsia="Calibri" w:hAnsi="Calibri" w:cs="Calibri"/>
          <w:color w:val="1A1A1A"/>
        </w:rPr>
        <w:t xml:space="preserve"> d’équité la procédure (</w:t>
      </w:r>
      <w:r>
        <w:rPr>
          <w:rFonts w:ascii="Calibri" w:eastAsia="Calibri" w:hAnsi="Calibri" w:cs="Calibri"/>
          <w:color w:val="E91E63"/>
        </w:rPr>
        <w:t>CEDH, 1er juin 2010, Gäfgen c. Allemagne, n° 22978/05</w:t>
      </w:r>
      <w:r>
        <w:rPr>
          <w:rFonts w:ascii="Calibri" w:eastAsia="Calibri" w:hAnsi="Calibri" w:cs="Calibri"/>
          <w:color w:val="1A1A1A"/>
        </w:rPr>
        <w:t>).</w:t>
      </w:r>
    </w:p>
    <w:p w14:paraId="423E001D" w14:textId="77777777" w:rsidR="00520D98" w:rsidRDefault="00000000">
      <w:pPr>
        <w:pStyle w:val="Titre3"/>
        <w:spacing w:before="200" w:after="90"/>
      </w:pPr>
      <w:r>
        <w:rPr>
          <w:rFonts w:ascii="Calibri" w:eastAsia="Calibri" w:hAnsi="Calibri" w:cs="Calibri"/>
          <w:b/>
          <w:bCs/>
          <w:i/>
          <w:iCs/>
          <w:color w:val="5A5A5A"/>
          <w:sz w:val="21"/>
          <w:szCs w:val="21"/>
        </w:rPr>
        <w:t>2.3. Le droit à l’assistance d’un avocat</w:t>
      </w:r>
    </w:p>
    <w:p w14:paraId="5F973226"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Reconnu explicitement à l’</w:t>
      </w:r>
      <w:r>
        <w:rPr>
          <w:rFonts w:ascii="Calibri" w:eastAsia="Calibri" w:hAnsi="Calibri" w:cs="Calibri"/>
          <w:color w:val="1E88E5"/>
        </w:rPr>
        <w:t>art. 6 § 3 CEDH</w:t>
      </w:r>
      <w:r>
        <w:rPr>
          <w:rFonts w:ascii="Calibri" w:eastAsia="Calibri" w:hAnsi="Calibri" w:cs="Calibri"/>
          <w:color w:val="1A1A1A"/>
        </w:rPr>
        <w:t xml:space="preserve">, il vaut durant toute la procédure, pendant l’instruction et pendant le jugement. En 2011, à la suite de la condamnation de la France dans l’affaire </w:t>
      </w:r>
      <w:r>
        <w:rPr>
          <w:rFonts w:ascii="Calibri" w:eastAsia="Calibri" w:hAnsi="Calibri" w:cs="Calibri"/>
          <w:color w:val="E91E63"/>
        </w:rPr>
        <w:t>Brusco</w:t>
      </w:r>
      <w:r>
        <w:rPr>
          <w:rFonts w:ascii="Calibri" w:eastAsia="Calibri" w:hAnsi="Calibri" w:cs="Calibri"/>
          <w:color w:val="1A1A1A"/>
        </w:rPr>
        <w:t xml:space="preserve">, le Code de procédure pénale a été modifié afin que les personnes gardées à vue puissent demander à être assistées par un avocat </w:t>
      </w:r>
      <w:r>
        <w:rPr>
          <w:rFonts w:ascii="Calibri" w:eastAsia="Calibri" w:hAnsi="Calibri" w:cs="Calibri"/>
          <w:b/>
          <w:bCs/>
          <w:color w:val="1A1A1A"/>
        </w:rPr>
        <w:t>dès le début de leur garde à vue</w:t>
      </w:r>
      <w:r>
        <w:rPr>
          <w:rFonts w:ascii="Calibri" w:eastAsia="Calibri" w:hAnsi="Calibri" w:cs="Calibri"/>
          <w:color w:val="1A1A1A"/>
        </w:rPr>
        <w:t xml:space="preserve"> (</w:t>
      </w:r>
      <w:r>
        <w:rPr>
          <w:rFonts w:ascii="Calibri" w:eastAsia="Calibri" w:hAnsi="Calibri" w:cs="Calibri"/>
          <w:color w:val="1E88E5"/>
        </w:rPr>
        <w:t>loi n° 2011-392 du 14 avril 2011</w:t>
      </w:r>
      <w:r>
        <w:rPr>
          <w:rFonts w:ascii="Calibri" w:eastAsia="Calibri" w:hAnsi="Calibri" w:cs="Calibri"/>
          <w:color w:val="1A1A1A"/>
        </w:rPr>
        <w:t xml:space="preserve">). La </w:t>
      </w:r>
      <w:r>
        <w:rPr>
          <w:rFonts w:ascii="Calibri" w:eastAsia="Calibri" w:hAnsi="Calibri" w:cs="Calibri"/>
          <w:color w:val="1E88E5"/>
        </w:rPr>
        <w:t>loi du 22 avril 2024</w:t>
      </w:r>
      <w:r>
        <w:rPr>
          <w:rFonts w:ascii="Calibri" w:eastAsia="Calibri" w:hAnsi="Calibri" w:cs="Calibri"/>
          <w:color w:val="1A1A1A"/>
        </w:rPr>
        <w:t xml:space="preserve"> a supprimé le </w:t>
      </w:r>
      <w:r>
        <w:rPr>
          <w:rFonts w:ascii="Calibri" w:eastAsia="Calibri" w:hAnsi="Calibri" w:cs="Calibri"/>
          <w:b/>
          <w:bCs/>
          <w:color w:val="1A1A1A"/>
        </w:rPr>
        <w:t xml:space="preserve">délai de carence de deux </w:t>
      </w:r>
      <w:r>
        <w:rPr>
          <w:rFonts w:ascii="Calibri" w:eastAsia="Calibri" w:hAnsi="Calibri" w:cs="Calibri"/>
          <w:b/>
          <w:bCs/>
          <w:color w:val="1A1A1A"/>
        </w:rPr>
        <w:lastRenderedPageBreak/>
        <w:t>heures</w:t>
      </w:r>
      <w:r>
        <w:rPr>
          <w:rFonts w:ascii="Calibri" w:eastAsia="Calibri" w:hAnsi="Calibri" w:cs="Calibri"/>
          <w:color w:val="1A1A1A"/>
        </w:rPr>
        <w:t xml:space="preserve"> : désormais, aucune audition ne peut commencer sans la présence de l’avocat ; elle a également étendu le droit d’accès au dossier pendant la garde à vue par l’avocat.</w:t>
      </w:r>
    </w:p>
    <w:p w14:paraId="466BBEEF"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Le secret professionnel</w:t>
      </w:r>
      <w:r>
        <w:rPr>
          <w:rFonts w:ascii="Calibri" w:eastAsia="Calibri" w:hAnsi="Calibri" w:cs="Calibri"/>
          <w:color w:val="1A1A1A"/>
        </w:rPr>
        <w:t xml:space="preserve"> : </w:t>
      </w:r>
      <w:r>
        <w:rPr>
          <w:rFonts w:ascii="Calibri" w:eastAsia="Calibri" w:hAnsi="Calibri" w:cs="Calibri"/>
          <w:color w:val="1E88E5"/>
        </w:rPr>
        <w:t>art. 4 du décret du 30 juin 2023 portant Code de déontologie des avocats</w:t>
      </w:r>
      <w:r>
        <w:rPr>
          <w:rFonts w:ascii="Calibri" w:eastAsia="Calibri" w:hAnsi="Calibri" w:cs="Calibri"/>
          <w:color w:val="1A1A1A"/>
        </w:rPr>
        <w:t xml:space="preserve"> — « L’avocat est le </w:t>
      </w:r>
      <w:r>
        <w:rPr>
          <w:rFonts w:ascii="Calibri" w:eastAsia="Calibri" w:hAnsi="Calibri" w:cs="Calibri"/>
          <w:i/>
          <w:iCs/>
          <w:color w:val="1A1A1A"/>
        </w:rPr>
        <w:t>confident nécessaire</w:t>
      </w:r>
      <w:r>
        <w:rPr>
          <w:rFonts w:ascii="Calibri" w:eastAsia="Calibri" w:hAnsi="Calibri" w:cs="Calibri"/>
          <w:color w:val="1A1A1A"/>
        </w:rPr>
        <w:t xml:space="preserve"> de son client. Le secret professionnel de l’avocat est d’ordre public, absolu, général et illimité dans le temps. L’avocat ne peut en être relevé par son client ni par quelque autorité ou personne que ce soit, sauf dans les cas prévus par la loi […] » ; repris à l’</w:t>
      </w:r>
      <w:r>
        <w:rPr>
          <w:rFonts w:ascii="Calibri" w:eastAsia="Calibri" w:hAnsi="Calibri" w:cs="Calibri"/>
          <w:color w:val="1E88E5"/>
        </w:rPr>
        <w:t>art. 2 du Règlement Intérieur National</w:t>
      </w:r>
      <w:r>
        <w:rPr>
          <w:rFonts w:ascii="Calibri" w:eastAsia="Calibri" w:hAnsi="Calibri" w:cs="Calibri"/>
          <w:color w:val="1A1A1A"/>
        </w:rPr>
        <w:t xml:space="preserve">. Le secret peut néanmoins être levé pour que l’avocat assure sa </w:t>
      </w:r>
      <w:r>
        <w:rPr>
          <w:rFonts w:ascii="Calibri" w:eastAsia="Calibri" w:hAnsi="Calibri" w:cs="Calibri"/>
          <w:b/>
          <w:bCs/>
          <w:color w:val="1A1A1A"/>
        </w:rPr>
        <w:t>propre défense</w:t>
      </w:r>
      <w:r>
        <w:rPr>
          <w:rFonts w:ascii="Calibri" w:eastAsia="Calibri" w:hAnsi="Calibri" w:cs="Calibri"/>
          <w:color w:val="1A1A1A"/>
        </w:rPr>
        <w:t xml:space="preserve">. </w:t>
      </w:r>
      <w:r>
        <w:rPr>
          <w:rFonts w:ascii="Calibri" w:eastAsia="Calibri" w:hAnsi="Calibri" w:cs="Calibri"/>
          <w:b/>
          <w:bCs/>
          <w:color w:val="1A1A1A"/>
        </w:rPr>
        <w:t>Assistance obligatoire</w:t>
      </w:r>
      <w:r>
        <w:rPr>
          <w:rFonts w:ascii="Calibri" w:eastAsia="Calibri" w:hAnsi="Calibri" w:cs="Calibri"/>
          <w:color w:val="1A1A1A"/>
        </w:rPr>
        <w:t xml:space="preserve"> : devant la cour d’assises (</w:t>
      </w:r>
      <w:r>
        <w:rPr>
          <w:rFonts w:ascii="Calibri" w:eastAsia="Calibri" w:hAnsi="Calibri" w:cs="Calibri"/>
          <w:color w:val="1E88E5"/>
        </w:rPr>
        <w:t>art. 274 du Code de procédure pénale</w:t>
      </w:r>
      <w:r>
        <w:rPr>
          <w:rFonts w:ascii="Calibri" w:eastAsia="Calibri" w:hAnsi="Calibri" w:cs="Calibri"/>
          <w:color w:val="1A1A1A"/>
        </w:rPr>
        <w:t xml:space="preserve"> — l’accusé choisit son avocat, à défaut il lui en est désigné un d’office) ; tout mineur prévenu est assisté d’un avocat tout au long de la procédure (</w:t>
      </w:r>
      <w:r>
        <w:rPr>
          <w:rFonts w:ascii="Calibri" w:eastAsia="Calibri" w:hAnsi="Calibri" w:cs="Calibri"/>
          <w:color w:val="1E88E5"/>
        </w:rPr>
        <w:t>art. L. 12-4 du Code de la justice pénale des mineurs</w:t>
      </w:r>
      <w:r>
        <w:rPr>
          <w:rFonts w:ascii="Calibri" w:eastAsia="Calibri" w:hAnsi="Calibri" w:cs="Calibri"/>
          <w:color w:val="1A1A1A"/>
        </w:rPr>
        <w:t>).</w:t>
      </w:r>
    </w:p>
    <w:p w14:paraId="2E88BC94" w14:textId="77777777" w:rsidR="00520D98" w:rsidRDefault="00000000">
      <w:pPr>
        <w:pStyle w:val="Paragraphedeliste"/>
        <w:numPr>
          <w:ilvl w:val="0"/>
          <w:numId w:val="2"/>
        </w:numPr>
        <w:spacing w:after="70" w:line="264" w:lineRule="auto"/>
        <w:jc w:val="both"/>
      </w:pPr>
      <w:r w:rsidRPr="00025292">
        <w:rPr>
          <w:rFonts w:ascii="Calibri" w:eastAsia="Calibri" w:hAnsi="Calibri" w:cs="Calibri"/>
          <w:b/>
          <w:bCs/>
          <w:color w:val="1A1A1A"/>
          <w:highlight w:val="yellow"/>
        </w:rPr>
        <w:t>Actualité</w:t>
      </w:r>
      <w:r>
        <w:rPr>
          <w:rFonts w:ascii="Calibri" w:eastAsia="Calibri" w:hAnsi="Calibri" w:cs="Calibri"/>
          <w:color w:val="1A1A1A"/>
        </w:rPr>
        <w:t xml:space="preserve"> : le </w:t>
      </w:r>
      <w:r>
        <w:rPr>
          <w:rFonts w:ascii="Calibri" w:eastAsia="Calibri" w:hAnsi="Calibri" w:cs="Calibri"/>
          <w:b/>
          <w:bCs/>
          <w:color w:val="1A1A1A"/>
        </w:rPr>
        <w:t>29 avril 2025</w:t>
      </w:r>
      <w:r>
        <w:rPr>
          <w:rFonts w:ascii="Calibri" w:eastAsia="Calibri" w:hAnsi="Calibri" w:cs="Calibri"/>
          <w:color w:val="1A1A1A"/>
        </w:rPr>
        <w:t xml:space="preserve">, le Conseil constitutionnel a censuré des dispositions du Code de procédure pénale qui ne prévoyaient pas le </w:t>
      </w:r>
      <w:r>
        <w:rPr>
          <w:rFonts w:ascii="Calibri" w:eastAsia="Calibri" w:hAnsi="Calibri" w:cs="Calibri"/>
          <w:b/>
          <w:bCs/>
          <w:color w:val="1A1A1A"/>
        </w:rPr>
        <w:t>droit de visite des bâtonniers</w:t>
      </w:r>
      <w:r>
        <w:rPr>
          <w:rFonts w:ascii="Calibri" w:eastAsia="Calibri" w:hAnsi="Calibri" w:cs="Calibri"/>
          <w:color w:val="1A1A1A"/>
        </w:rPr>
        <w:t xml:space="preserve"> dans les geôles et dépôts des juridictions judiciaires, sur le fondement du principe d’égalité, les autres lieux de privation de liberté pouvant faire l’objet d’une visite notamment par les parlementaires. Pour éviter que le droit de visite de ces autres lieux ne soit supprimé, le Conseil a </w:t>
      </w:r>
      <w:r>
        <w:rPr>
          <w:rFonts w:ascii="Calibri" w:eastAsia="Calibri" w:hAnsi="Calibri" w:cs="Calibri"/>
          <w:b/>
          <w:bCs/>
          <w:color w:val="1A1A1A"/>
        </w:rPr>
        <w:t>reporté les effets de sa décision au 30 avril 2026</w:t>
      </w:r>
      <w:r>
        <w:rPr>
          <w:rFonts w:ascii="Calibri" w:eastAsia="Calibri" w:hAnsi="Calibri" w:cs="Calibri"/>
          <w:color w:val="1A1A1A"/>
        </w:rPr>
        <w:t>, afin de laisser au législateur le temps d’en tirer les conséquences.</w:t>
      </w:r>
    </w:p>
    <w:p w14:paraId="4EB746DE" w14:textId="77777777" w:rsidR="00520D98" w:rsidRDefault="00000000">
      <w:pPr>
        <w:pStyle w:val="Titre2"/>
        <w:spacing w:before="280" w:after="120"/>
      </w:pPr>
      <w:r>
        <w:rPr>
          <w:rFonts w:ascii="Calibri" w:eastAsia="Calibri" w:hAnsi="Calibri" w:cs="Calibri"/>
          <w:b/>
          <w:bCs/>
          <w:color w:val="1A1A1A"/>
          <w:sz w:val="24"/>
          <w:szCs w:val="24"/>
        </w:rPr>
        <w:t>3. Les garanties entourant le prononcé de la peine</w:t>
      </w:r>
    </w:p>
    <w:p w14:paraId="682688F7" w14:textId="77777777" w:rsidR="00520D98" w:rsidRDefault="00000000">
      <w:pPr>
        <w:pStyle w:val="Titre3"/>
        <w:spacing w:before="200" w:after="90"/>
      </w:pPr>
      <w:r>
        <w:rPr>
          <w:rFonts w:ascii="Calibri" w:eastAsia="Calibri" w:hAnsi="Calibri" w:cs="Calibri"/>
          <w:b/>
          <w:bCs/>
          <w:i/>
          <w:iCs/>
          <w:color w:val="5A5A5A"/>
          <w:sz w:val="21"/>
          <w:szCs w:val="21"/>
        </w:rPr>
        <w:t>3.1. La légalité des délits et des peines</w:t>
      </w:r>
    </w:p>
    <w:p w14:paraId="29614F29"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Une personne ne peut être poursuivie et condamnée que sur le fondement de peines qui sont expressément prévues par la loi. Valeur constitutionnelle affirmée à partir de 1981 au regard de l’</w:t>
      </w:r>
      <w:r>
        <w:rPr>
          <w:rFonts w:ascii="Calibri" w:eastAsia="Calibri" w:hAnsi="Calibri" w:cs="Calibri"/>
          <w:color w:val="1E88E5"/>
        </w:rPr>
        <w:t>art. 8 DDHC</w:t>
      </w:r>
      <w:r>
        <w:rPr>
          <w:rFonts w:ascii="Calibri" w:eastAsia="Calibri" w:hAnsi="Calibri" w:cs="Calibri"/>
          <w:color w:val="1A1A1A"/>
        </w:rPr>
        <w:t xml:space="preserve"> (</w:t>
      </w:r>
      <w:r>
        <w:rPr>
          <w:rFonts w:ascii="Calibri" w:eastAsia="Calibri" w:hAnsi="Calibri" w:cs="Calibri"/>
          <w:color w:val="E91E63"/>
        </w:rPr>
        <w:t>Cons. const., déc. n° 80-127 DC, 20 janvier 1981, Loi renforçant la sécurité et protégeant la liberté des personnes</w:t>
      </w:r>
      <w:r>
        <w:rPr>
          <w:rFonts w:ascii="Calibri" w:eastAsia="Calibri" w:hAnsi="Calibri" w:cs="Calibri"/>
          <w:color w:val="1A1A1A"/>
        </w:rPr>
        <w:t xml:space="preserve">). </w:t>
      </w:r>
      <w:r>
        <w:rPr>
          <w:rFonts w:ascii="Calibri" w:eastAsia="Calibri" w:hAnsi="Calibri" w:cs="Calibri"/>
          <w:color w:val="1E88E5"/>
        </w:rPr>
        <w:t>Art. 8 DDHC</w:t>
      </w:r>
      <w:r>
        <w:rPr>
          <w:rFonts w:ascii="Calibri" w:eastAsia="Calibri" w:hAnsi="Calibri" w:cs="Calibri"/>
          <w:color w:val="1A1A1A"/>
        </w:rPr>
        <w:t xml:space="preserve"> : « La loi ne doit établir que des peines strictement et évidemment nécessaires, et nul ne peut être puni qu’en vertu d’une loi établie et promulguée antérieurement au délit, et légalement appliquée. » Compétence législative : </w:t>
      </w:r>
      <w:r>
        <w:rPr>
          <w:rFonts w:ascii="Calibri" w:eastAsia="Calibri" w:hAnsi="Calibri" w:cs="Calibri"/>
          <w:color w:val="1E88E5"/>
        </w:rPr>
        <w:t>art. 34 C.</w:t>
      </w:r>
      <w:r>
        <w:rPr>
          <w:rFonts w:ascii="Calibri" w:eastAsia="Calibri" w:hAnsi="Calibri" w:cs="Calibri"/>
          <w:color w:val="1A1A1A"/>
        </w:rPr>
        <w:t>, rappelé à l’</w:t>
      </w:r>
      <w:r>
        <w:rPr>
          <w:rFonts w:ascii="Calibri" w:eastAsia="Calibri" w:hAnsi="Calibri" w:cs="Calibri"/>
          <w:color w:val="1E88E5"/>
        </w:rPr>
        <w:t>art. 111-2 du Code pénal</w:t>
      </w:r>
      <w:r>
        <w:rPr>
          <w:rFonts w:ascii="Calibri" w:eastAsia="Calibri" w:hAnsi="Calibri" w:cs="Calibri"/>
          <w:color w:val="1A1A1A"/>
        </w:rPr>
        <w:t xml:space="preserve">. Sources conventionnelles : </w:t>
      </w:r>
      <w:r>
        <w:rPr>
          <w:rFonts w:ascii="Calibri" w:eastAsia="Calibri" w:hAnsi="Calibri" w:cs="Calibri"/>
          <w:color w:val="1E88E5"/>
        </w:rPr>
        <w:t>art. 7 CEDH</w:t>
      </w:r>
      <w:r>
        <w:rPr>
          <w:rFonts w:ascii="Calibri" w:eastAsia="Calibri" w:hAnsi="Calibri" w:cs="Calibri"/>
          <w:color w:val="1A1A1A"/>
        </w:rPr>
        <w:t xml:space="preserve"> ; </w:t>
      </w:r>
      <w:r>
        <w:rPr>
          <w:rFonts w:ascii="Calibri" w:eastAsia="Calibri" w:hAnsi="Calibri" w:cs="Calibri"/>
          <w:color w:val="1E88E5"/>
        </w:rPr>
        <w:t>art. 48 de la Charte</w:t>
      </w:r>
      <w:r>
        <w:rPr>
          <w:rFonts w:ascii="Calibri" w:eastAsia="Calibri" w:hAnsi="Calibri" w:cs="Calibri"/>
          <w:color w:val="1A1A1A"/>
        </w:rPr>
        <w:t xml:space="preserve"> (légalité et proportionnalité des délits et des peines).</w:t>
      </w:r>
    </w:p>
    <w:p w14:paraId="1526B329"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L’exigence de clarté</w:t>
      </w:r>
      <w:r>
        <w:rPr>
          <w:rFonts w:ascii="Calibri" w:eastAsia="Calibri" w:hAnsi="Calibri" w:cs="Calibri"/>
          <w:color w:val="1A1A1A"/>
        </w:rPr>
        <w:t xml:space="preserve"> : nécessaire pour éviter l’arbitraire. Rappel : l’accessibilité et l’intelligibilité de la loi constituent un </w:t>
      </w:r>
      <w:r>
        <w:rPr>
          <w:rFonts w:ascii="Calibri" w:eastAsia="Calibri" w:hAnsi="Calibri" w:cs="Calibri"/>
          <w:b/>
          <w:bCs/>
          <w:color w:val="1A1A1A"/>
        </w:rPr>
        <w:t>objectif de valeur constitutionnelle</w:t>
      </w:r>
      <w:r>
        <w:rPr>
          <w:rFonts w:ascii="Calibri" w:eastAsia="Calibri" w:hAnsi="Calibri" w:cs="Calibri"/>
          <w:color w:val="1A1A1A"/>
        </w:rPr>
        <w:t xml:space="preserve"> depuis 1999, rattaché aux </w:t>
      </w:r>
      <w:r>
        <w:rPr>
          <w:rFonts w:ascii="Calibri" w:eastAsia="Calibri" w:hAnsi="Calibri" w:cs="Calibri"/>
          <w:color w:val="1E88E5"/>
        </w:rPr>
        <w:t>art. 4, 5, 6 et 16 de la DDHC</w:t>
      </w:r>
      <w:r>
        <w:rPr>
          <w:rFonts w:ascii="Calibri" w:eastAsia="Calibri" w:hAnsi="Calibri" w:cs="Calibri"/>
          <w:color w:val="1A1A1A"/>
        </w:rPr>
        <w:t xml:space="preserve"> (</w:t>
      </w:r>
      <w:r>
        <w:rPr>
          <w:rFonts w:ascii="Calibri" w:eastAsia="Calibri" w:hAnsi="Calibri" w:cs="Calibri"/>
          <w:color w:val="E91E63"/>
        </w:rPr>
        <w:t>Cons. const., déc. n° 99-421 DC, 16 décembre 1999</w:t>
      </w:r>
      <w:r>
        <w:rPr>
          <w:rFonts w:ascii="Calibri" w:eastAsia="Calibri" w:hAnsi="Calibri" w:cs="Calibri"/>
          <w:color w:val="1A1A1A"/>
        </w:rPr>
        <w:t xml:space="preserve">). Cette exigence a conduit à la censure du délit de </w:t>
      </w:r>
      <w:r>
        <w:rPr>
          <w:rFonts w:ascii="Calibri" w:eastAsia="Calibri" w:hAnsi="Calibri" w:cs="Calibri"/>
          <w:b/>
          <w:bCs/>
          <w:color w:val="1A1A1A"/>
        </w:rPr>
        <w:t>harcèlement sexuel</w:t>
      </w:r>
      <w:r>
        <w:rPr>
          <w:rFonts w:ascii="Calibri" w:eastAsia="Calibri" w:hAnsi="Calibri" w:cs="Calibri"/>
          <w:color w:val="1A1A1A"/>
        </w:rPr>
        <w:t>, dont la définition était insuffisamment claire et les éléments constitutifs insuffisamment définis (</w:t>
      </w:r>
      <w:r>
        <w:rPr>
          <w:rFonts w:ascii="Calibri" w:eastAsia="Calibri" w:hAnsi="Calibri" w:cs="Calibri"/>
          <w:color w:val="E91E63"/>
        </w:rPr>
        <w:t>Cons. const., déc. n° 2012-240 QPC, 4 mai 2012, M. Gérard D.</w:t>
      </w:r>
      <w:r>
        <w:rPr>
          <w:rFonts w:ascii="Calibri" w:eastAsia="Calibri" w:hAnsi="Calibri" w:cs="Calibri"/>
          <w:color w:val="1A1A1A"/>
        </w:rPr>
        <w:t>).</w:t>
      </w:r>
    </w:p>
    <w:p w14:paraId="08B3E884" w14:textId="77777777" w:rsidR="00520D98" w:rsidRDefault="00000000">
      <w:pPr>
        <w:pStyle w:val="Titre3"/>
        <w:spacing w:before="200" w:after="90"/>
      </w:pPr>
      <w:r>
        <w:rPr>
          <w:rFonts w:ascii="Calibri" w:eastAsia="Calibri" w:hAnsi="Calibri" w:cs="Calibri"/>
          <w:b/>
          <w:bCs/>
          <w:i/>
          <w:iCs/>
          <w:color w:val="5A5A5A"/>
          <w:sz w:val="21"/>
          <w:szCs w:val="21"/>
        </w:rPr>
        <w:t>3.2. La nécessité des peines</w:t>
      </w:r>
    </w:p>
    <w:p w14:paraId="78EBC167"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Les peines prononcées doivent être </w:t>
      </w:r>
      <w:r>
        <w:rPr>
          <w:rFonts w:ascii="Calibri" w:eastAsia="Calibri" w:hAnsi="Calibri" w:cs="Calibri"/>
          <w:b/>
          <w:bCs/>
          <w:color w:val="1A1A1A"/>
        </w:rPr>
        <w:t>proportionnées à la gravité des infractions</w:t>
      </w:r>
      <w:r>
        <w:rPr>
          <w:rFonts w:ascii="Calibri" w:eastAsia="Calibri" w:hAnsi="Calibri" w:cs="Calibri"/>
          <w:color w:val="1A1A1A"/>
        </w:rPr>
        <w:t xml:space="preserve"> que la loi sanctionne (</w:t>
      </w:r>
      <w:r>
        <w:rPr>
          <w:rFonts w:ascii="Calibri" w:eastAsia="Calibri" w:hAnsi="Calibri" w:cs="Calibri"/>
          <w:color w:val="1E88E5"/>
        </w:rPr>
        <w:t>art. 8 et 16 DDHC</w:t>
      </w:r>
      <w:r>
        <w:rPr>
          <w:rFonts w:ascii="Calibri" w:eastAsia="Calibri" w:hAnsi="Calibri" w:cs="Calibri"/>
          <w:color w:val="1A1A1A"/>
        </w:rPr>
        <w:t xml:space="preserve">). Le législateur est compétent pour apprécier la nécessité des peines ; le Conseil constitutionnel s’assure « </w:t>
      </w:r>
      <w:r>
        <w:rPr>
          <w:rFonts w:ascii="Calibri" w:eastAsia="Calibri" w:hAnsi="Calibri" w:cs="Calibri"/>
          <w:i/>
          <w:iCs/>
          <w:color w:val="1A1A1A"/>
        </w:rPr>
        <w:t>de l’absence de disproportion manifeste entre l’infraction et la peine encourue</w:t>
      </w:r>
      <w:r>
        <w:rPr>
          <w:rFonts w:ascii="Calibri" w:eastAsia="Calibri" w:hAnsi="Calibri" w:cs="Calibri"/>
          <w:color w:val="1A1A1A"/>
        </w:rPr>
        <w:t xml:space="preserve"> » (</w:t>
      </w:r>
      <w:r>
        <w:rPr>
          <w:rFonts w:ascii="Calibri" w:eastAsia="Calibri" w:hAnsi="Calibri" w:cs="Calibri"/>
          <w:color w:val="E91E63"/>
        </w:rPr>
        <w:t>Cons. const., déc. n° 2011-217 QPC, 3 février 2012, M. Mohammed Akli B.</w:t>
      </w:r>
      <w:r>
        <w:rPr>
          <w:rFonts w:ascii="Calibri" w:eastAsia="Calibri" w:hAnsi="Calibri" w:cs="Calibri"/>
          <w:color w:val="1A1A1A"/>
        </w:rPr>
        <w:t xml:space="preserve">). </w:t>
      </w:r>
      <w:r w:rsidRPr="0031252F">
        <w:rPr>
          <w:rFonts w:ascii="Calibri" w:eastAsia="Calibri" w:hAnsi="Calibri" w:cs="Calibri"/>
          <w:b/>
          <w:bCs/>
          <w:color w:val="1A1A1A"/>
          <w:highlight w:val="yellow"/>
        </w:rPr>
        <w:t>Une sanction qui présenterait un caractère insuffisamment sévère ne constitue pas une méconnaissance du principe de proportionnalité</w:t>
      </w:r>
      <w:r>
        <w:rPr>
          <w:rFonts w:ascii="Calibri" w:eastAsia="Calibri" w:hAnsi="Calibri" w:cs="Calibri"/>
          <w:color w:val="1A1A1A"/>
        </w:rPr>
        <w:t xml:space="preserve"> (</w:t>
      </w:r>
      <w:r>
        <w:rPr>
          <w:rFonts w:ascii="Calibri" w:eastAsia="Calibri" w:hAnsi="Calibri" w:cs="Calibri"/>
          <w:color w:val="E91E63"/>
        </w:rPr>
        <w:t>Cons. const., déc. n° 2019-795 DC, 20 décembre 2019</w:t>
      </w:r>
      <w:r>
        <w:rPr>
          <w:rFonts w:ascii="Calibri" w:eastAsia="Calibri" w:hAnsi="Calibri" w:cs="Calibri"/>
          <w:color w:val="1A1A1A"/>
        </w:rPr>
        <w:t xml:space="preserve">). Le Conseil a également affirmé que « </w:t>
      </w:r>
      <w:r>
        <w:rPr>
          <w:rFonts w:ascii="Calibri" w:eastAsia="Calibri" w:hAnsi="Calibri" w:cs="Calibri"/>
          <w:i/>
          <w:iCs/>
          <w:color w:val="1A1A1A"/>
        </w:rPr>
        <w:t>le législateur ne saurait, sans méconnaître le principe de nécessité des délits et des peines, réprimer la seule intention délictueuse ou criminelle</w:t>
      </w:r>
      <w:r>
        <w:rPr>
          <w:rFonts w:ascii="Calibri" w:eastAsia="Calibri" w:hAnsi="Calibri" w:cs="Calibri"/>
          <w:color w:val="1A1A1A"/>
        </w:rPr>
        <w:t xml:space="preserve"> » (</w:t>
      </w:r>
      <w:r>
        <w:rPr>
          <w:rFonts w:ascii="Calibri" w:eastAsia="Calibri" w:hAnsi="Calibri" w:cs="Calibri"/>
          <w:color w:val="E91E63"/>
        </w:rPr>
        <w:t>Cons. const., déc. n° 2017-625 QPC, 7 avril 2017, M. Amadou S.</w:t>
      </w:r>
      <w:r>
        <w:rPr>
          <w:rFonts w:ascii="Calibri" w:eastAsia="Calibri" w:hAnsi="Calibri" w:cs="Calibri"/>
          <w:color w:val="1A1A1A"/>
        </w:rPr>
        <w:t>).</w:t>
      </w:r>
    </w:p>
    <w:p w14:paraId="07678821"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La prescription</w:t>
      </w:r>
      <w:r>
        <w:rPr>
          <w:rFonts w:ascii="Calibri" w:eastAsia="Calibri" w:hAnsi="Calibri" w:cs="Calibri"/>
          <w:color w:val="1A1A1A"/>
        </w:rPr>
        <w:t xml:space="preserve"> : du principe de nécessité découle, sur le fondement des </w:t>
      </w:r>
      <w:r>
        <w:rPr>
          <w:rFonts w:ascii="Calibri" w:eastAsia="Calibri" w:hAnsi="Calibri" w:cs="Calibri"/>
          <w:color w:val="1E88E5"/>
        </w:rPr>
        <w:t>art. 8 et 16 DDHC</w:t>
      </w:r>
      <w:r>
        <w:rPr>
          <w:rFonts w:ascii="Calibri" w:eastAsia="Calibri" w:hAnsi="Calibri" w:cs="Calibri"/>
          <w:color w:val="1A1A1A"/>
        </w:rPr>
        <w:t xml:space="preserve">, « </w:t>
      </w:r>
      <w:r>
        <w:rPr>
          <w:rFonts w:ascii="Calibri" w:eastAsia="Calibri" w:hAnsi="Calibri" w:cs="Calibri"/>
          <w:i/>
          <w:iCs/>
          <w:color w:val="1A1A1A"/>
        </w:rPr>
        <w:t>un principe selon lequel, en matière pénale, il appartient au législateur, afin de tenir compte des conséquences attachées à l’écoulement du temps, de fixer des règles relatives à la prescription de l’action publique qui ne soient pas manifestement inadaptées à la nature ou à la gravité des infractions</w:t>
      </w:r>
      <w:r>
        <w:rPr>
          <w:rFonts w:ascii="Calibri" w:eastAsia="Calibri" w:hAnsi="Calibri" w:cs="Calibri"/>
          <w:color w:val="1A1A1A"/>
        </w:rPr>
        <w:t xml:space="preserve"> » (</w:t>
      </w:r>
      <w:r>
        <w:rPr>
          <w:rFonts w:ascii="Calibri" w:eastAsia="Calibri" w:hAnsi="Calibri" w:cs="Calibri"/>
          <w:color w:val="E91E63"/>
        </w:rPr>
        <w:t>Cons. const., déc. n° 2019-785 QPC, 24 mai 2019, M. Mario S.</w:t>
      </w:r>
      <w:r>
        <w:rPr>
          <w:rFonts w:ascii="Calibri" w:eastAsia="Calibri" w:hAnsi="Calibri" w:cs="Calibri"/>
          <w:color w:val="1A1A1A"/>
        </w:rPr>
        <w:t>). L’</w:t>
      </w:r>
      <w:r>
        <w:rPr>
          <w:rFonts w:ascii="Calibri" w:eastAsia="Calibri" w:hAnsi="Calibri" w:cs="Calibri"/>
          <w:color w:val="1E88E5"/>
        </w:rPr>
        <w:t>art. 8 du Code pénal</w:t>
      </w:r>
      <w:r>
        <w:rPr>
          <w:rFonts w:ascii="Calibri" w:eastAsia="Calibri" w:hAnsi="Calibri" w:cs="Calibri"/>
          <w:color w:val="1A1A1A"/>
        </w:rPr>
        <w:t xml:space="preserve"> prévoit des délais de prescription variant selon la catégorie d’infractions ; les </w:t>
      </w:r>
      <w:r>
        <w:rPr>
          <w:rFonts w:ascii="Calibri" w:eastAsia="Calibri" w:hAnsi="Calibri" w:cs="Calibri"/>
          <w:b/>
          <w:bCs/>
          <w:color w:val="1A1A1A"/>
        </w:rPr>
        <w:t>crimes contre l’humanité sont imprescriptibles</w:t>
      </w:r>
      <w:r>
        <w:rPr>
          <w:rFonts w:ascii="Calibri" w:eastAsia="Calibri" w:hAnsi="Calibri" w:cs="Calibri"/>
          <w:color w:val="1A1A1A"/>
        </w:rPr>
        <w:t>.</w:t>
      </w:r>
    </w:p>
    <w:p w14:paraId="29DE0945" w14:textId="26933B40" w:rsidR="00520D98" w:rsidRDefault="00000000">
      <w:pPr>
        <w:pStyle w:val="Titre3"/>
        <w:spacing w:before="200" w:after="90"/>
      </w:pPr>
      <w:r>
        <w:rPr>
          <w:rFonts w:ascii="Calibri" w:eastAsia="Calibri" w:hAnsi="Calibri" w:cs="Calibri"/>
          <w:b/>
          <w:bCs/>
          <w:i/>
          <w:iCs/>
          <w:color w:val="5A5A5A"/>
          <w:sz w:val="21"/>
          <w:szCs w:val="21"/>
        </w:rPr>
        <w:t>3.3. Le principe {</w:t>
      </w:r>
      <w:r w:rsidR="00025292">
        <w:rPr>
          <w:rFonts w:ascii="Calibri" w:eastAsia="Calibri" w:hAnsi="Calibri" w:cs="Calibri"/>
          <w:b/>
          <w:bCs/>
          <w:i/>
          <w:iCs/>
          <w:color w:val="5A5A5A"/>
          <w:sz w:val="21"/>
          <w:szCs w:val="21"/>
        </w:rPr>
        <w:t>non</w:t>
      </w:r>
      <w:r>
        <w:rPr>
          <w:rFonts w:ascii="Calibri" w:eastAsia="Calibri" w:hAnsi="Calibri" w:cs="Calibri"/>
          <w:b/>
          <w:bCs/>
          <w:i/>
          <w:iCs/>
          <w:color w:val="5A5A5A"/>
          <w:sz w:val="21"/>
          <w:szCs w:val="21"/>
        </w:rPr>
        <w:t xml:space="preserve"> bis in idem}</w:t>
      </w:r>
    </w:p>
    <w:p w14:paraId="46166725"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Fondements</w:t>
      </w:r>
      <w:r>
        <w:rPr>
          <w:rFonts w:ascii="Calibri" w:eastAsia="Calibri" w:hAnsi="Calibri" w:cs="Calibri"/>
          <w:color w:val="1A1A1A"/>
        </w:rPr>
        <w:t xml:space="preserve"> : </w:t>
      </w:r>
      <w:r>
        <w:rPr>
          <w:rFonts w:ascii="Calibri" w:eastAsia="Calibri" w:hAnsi="Calibri" w:cs="Calibri"/>
          <w:color w:val="1E88E5"/>
        </w:rPr>
        <w:t>art. 4 du Protocole n° 7</w:t>
      </w:r>
      <w:r>
        <w:rPr>
          <w:rFonts w:ascii="Calibri" w:eastAsia="Calibri" w:hAnsi="Calibri" w:cs="Calibri"/>
          <w:color w:val="1A1A1A"/>
        </w:rPr>
        <w:t xml:space="preserve"> — mais </w:t>
      </w:r>
      <w:r>
        <w:rPr>
          <w:rFonts w:ascii="Calibri" w:eastAsia="Calibri" w:hAnsi="Calibri" w:cs="Calibri"/>
          <w:b/>
          <w:bCs/>
          <w:color w:val="1A1A1A"/>
        </w:rPr>
        <w:t>au moment de la ratification, la France a posé une réserve d’interprétation</w:t>
      </w:r>
      <w:r>
        <w:rPr>
          <w:rFonts w:ascii="Calibri" w:eastAsia="Calibri" w:hAnsi="Calibri" w:cs="Calibri"/>
          <w:color w:val="1A1A1A"/>
        </w:rPr>
        <w:t xml:space="preserve"> visant à ce que ces dispositions ne s’appliquent qu’à la </w:t>
      </w:r>
      <w:r>
        <w:rPr>
          <w:rFonts w:ascii="Calibri" w:eastAsia="Calibri" w:hAnsi="Calibri" w:cs="Calibri"/>
          <w:b/>
          <w:bCs/>
          <w:color w:val="1A1A1A"/>
        </w:rPr>
        <w:t>matière pénale</w:t>
      </w:r>
      <w:r>
        <w:rPr>
          <w:rFonts w:ascii="Calibri" w:eastAsia="Calibri" w:hAnsi="Calibri" w:cs="Calibri"/>
          <w:color w:val="1A1A1A"/>
        </w:rPr>
        <w:t>, permettant ainsi le cumul des procédures pénales et administratives. Également inscrit à l’</w:t>
      </w:r>
      <w:r>
        <w:rPr>
          <w:rFonts w:ascii="Calibri" w:eastAsia="Calibri" w:hAnsi="Calibri" w:cs="Calibri"/>
          <w:color w:val="1E88E5"/>
        </w:rPr>
        <w:t>art. 50 de la Charte</w:t>
      </w:r>
      <w:r>
        <w:rPr>
          <w:rFonts w:ascii="Calibri" w:eastAsia="Calibri" w:hAnsi="Calibri" w:cs="Calibri"/>
          <w:color w:val="1A1A1A"/>
        </w:rPr>
        <w:t xml:space="preserve"> et à l’</w:t>
      </w:r>
      <w:r>
        <w:rPr>
          <w:rFonts w:ascii="Calibri" w:eastAsia="Calibri" w:hAnsi="Calibri" w:cs="Calibri"/>
          <w:color w:val="1E88E5"/>
        </w:rPr>
        <w:t>art. 14 § 7 PIDCP</w:t>
      </w:r>
      <w:r>
        <w:rPr>
          <w:rFonts w:ascii="Calibri" w:eastAsia="Calibri" w:hAnsi="Calibri" w:cs="Calibri"/>
          <w:color w:val="1A1A1A"/>
        </w:rPr>
        <w:t xml:space="preserve">. </w:t>
      </w:r>
      <w:r>
        <w:rPr>
          <w:rFonts w:ascii="Calibri" w:eastAsia="Calibri" w:hAnsi="Calibri" w:cs="Calibri"/>
          <w:b/>
          <w:bCs/>
          <w:color w:val="1A1A1A"/>
        </w:rPr>
        <w:t>Le principe n’est pas expressément prévu par la Constitution</w:t>
      </w:r>
      <w:r>
        <w:rPr>
          <w:rFonts w:ascii="Calibri" w:eastAsia="Calibri" w:hAnsi="Calibri" w:cs="Calibri"/>
          <w:color w:val="1A1A1A"/>
        </w:rPr>
        <w:t xml:space="preserve"> : le Conseil constitutionnel le fait découler du principe de nécessité des délits et des peines.</w:t>
      </w:r>
    </w:p>
    <w:p w14:paraId="647FD06E"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Formulation constitutionnelle</w:t>
      </w:r>
      <w:r>
        <w:rPr>
          <w:rFonts w:ascii="Calibri" w:eastAsia="Calibri" w:hAnsi="Calibri" w:cs="Calibri"/>
          <w:color w:val="1A1A1A"/>
        </w:rPr>
        <w:t xml:space="preserve"> : « </w:t>
      </w:r>
      <w:r>
        <w:rPr>
          <w:rFonts w:ascii="Calibri" w:eastAsia="Calibri" w:hAnsi="Calibri" w:cs="Calibri"/>
          <w:i/>
          <w:iCs/>
          <w:color w:val="1A1A1A"/>
        </w:rPr>
        <w:t>Qu’une même personne ne peut faire l’objet de plusieurs poursuites tendant à réprimer de mêmes faits qualifiés de manière identique, par des sanctions de même nature, aux fins de protéger les mêmes intérêts sociaux. Si l’éventualité que deux procédures soient engagées peut conduire à un cumul de sanctions, le principe de proportionnalité implique qu’en tout état de cause le montant global des sanctions éventuellement prononcées ne dépasse pas le montant le plus élevé de l’une des sanctions encourues</w:t>
      </w:r>
      <w:r>
        <w:rPr>
          <w:rFonts w:ascii="Calibri" w:eastAsia="Calibri" w:hAnsi="Calibri" w:cs="Calibri"/>
          <w:color w:val="1A1A1A"/>
        </w:rPr>
        <w:t xml:space="preserve"> » (</w:t>
      </w:r>
      <w:r>
        <w:rPr>
          <w:rFonts w:ascii="Calibri" w:eastAsia="Calibri" w:hAnsi="Calibri" w:cs="Calibri"/>
          <w:color w:val="E91E63"/>
        </w:rPr>
        <w:t>Cons. const., déc. n° 2021-953 QPC, 3 décembre 2021, Société Specitubes</w:t>
      </w:r>
      <w:r>
        <w:rPr>
          <w:rFonts w:ascii="Calibri" w:eastAsia="Calibri" w:hAnsi="Calibri" w:cs="Calibri"/>
          <w:color w:val="1A1A1A"/>
        </w:rPr>
        <w:t>).</w:t>
      </w:r>
    </w:p>
    <w:p w14:paraId="1B9487B4" w14:textId="77777777" w:rsidR="00866FAB" w:rsidRPr="00866FAB" w:rsidRDefault="00000000">
      <w:pPr>
        <w:pStyle w:val="Paragraphedeliste"/>
        <w:numPr>
          <w:ilvl w:val="0"/>
          <w:numId w:val="2"/>
        </w:numPr>
        <w:spacing w:after="70" w:line="264" w:lineRule="auto"/>
        <w:jc w:val="both"/>
      </w:pPr>
      <w:r>
        <w:rPr>
          <w:rFonts w:ascii="Calibri" w:eastAsia="Calibri" w:hAnsi="Calibri" w:cs="Calibri"/>
          <w:b/>
          <w:bCs/>
          <w:color w:val="1A1A1A"/>
        </w:rPr>
        <w:t>Position européenne</w:t>
      </w:r>
      <w:r>
        <w:rPr>
          <w:rFonts w:ascii="Calibri" w:eastAsia="Calibri" w:hAnsi="Calibri" w:cs="Calibri"/>
          <w:color w:val="1A1A1A"/>
        </w:rPr>
        <w:t xml:space="preserve"> : l’</w:t>
      </w:r>
      <w:r>
        <w:rPr>
          <w:rFonts w:ascii="Calibri" w:eastAsia="Calibri" w:hAnsi="Calibri" w:cs="Calibri"/>
          <w:color w:val="1E88E5"/>
        </w:rPr>
        <w:t>art. 4 du Protocole n° 7</w:t>
      </w:r>
      <w:r>
        <w:rPr>
          <w:rFonts w:ascii="Calibri" w:eastAsia="Calibri" w:hAnsi="Calibri" w:cs="Calibri"/>
          <w:color w:val="1A1A1A"/>
        </w:rPr>
        <w:t xml:space="preserve"> s’oppose au cumul des poursuites administratives et pénales pour les mêmes faits </w:t>
      </w:r>
      <w:r>
        <w:rPr>
          <w:rFonts w:ascii="Calibri" w:eastAsia="Calibri" w:hAnsi="Calibri" w:cs="Calibri"/>
          <w:b/>
          <w:bCs/>
          <w:color w:val="1A1A1A"/>
        </w:rPr>
        <w:t>si la poursuite administrative relève de la matière pénale</w:t>
      </w:r>
      <w:r>
        <w:rPr>
          <w:rFonts w:ascii="Calibri" w:eastAsia="Calibri" w:hAnsi="Calibri" w:cs="Calibri"/>
          <w:color w:val="1A1A1A"/>
        </w:rPr>
        <w:t xml:space="preserve"> (</w:t>
      </w:r>
      <w:r>
        <w:rPr>
          <w:rFonts w:ascii="Calibri" w:eastAsia="Calibri" w:hAnsi="Calibri" w:cs="Calibri"/>
          <w:color w:val="E91E63"/>
        </w:rPr>
        <w:t>CEDH, 10 février 2009, Zolotoukhine c. Russie, n° 14939/03</w:t>
      </w:r>
      <w:r>
        <w:rPr>
          <w:rFonts w:ascii="Calibri" w:eastAsia="Calibri" w:hAnsi="Calibri" w:cs="Calibri"/>
          <w:color w:val="1A1A1A"/>
        </w:rPr>
        <w:t xml:space="preserve">). </w:t>
      </w:r>
    </w:p>
    <w:p w14:paraId="166BEB93" w14:textId="530901BD" w:rsidR="00520D98" w:rsidRDefault="00000000" w:rsidP="00866FAB">
      <w:pPr>
        <w:pStyle w:val="Paragraphedeliste"/>
        <w:spacing w:after="70" w:line="264" w:lineRule="auto"/>
        <w:ind w:left="340"/>
        <w:jc w:val="both"/>
      </w:pPr>
      <w:r w:rsidRPr="00866FAB">
        <w:rPr>
          <w:rFonts w:ascii="Calibri" w:eastAsia="Calibri" w:hAnsi="Calibri" w:cs="Calibri"/>
          <w:b/>
          <w:bCs/>
          <w:color w:val="EE0000"/>
        </w:rPr>
        <w:t>Limite interne</w:t>
      </w:r>
      <w:r w:rsidRPr="00866FAB">
        <w:rPr>
          <w:rFonts w:ascii="Calibri" w:eastAsia="Calibri" w:hAnsi="Calibri" w:cs="Calibri"/>
          <w:color w:val="EE0000"/>
        </w:rPr>
        <w:t xml:space="preserve"> : le fait, pour un fonctionnaire, d’avoir été condamné pénalement n’empêche pas le prononcé d’une mesure disciplinaire</w:t>
      </w:r>
      <w:r>
        <w:rPr>
          <w:rFonts w:ascii="Calibri" w:eastAsia="Calibri" w:hAnsi="Calibri" w:cs="Calibri"/>
          <w:color w:val="1A1A1A"/>
        </w:rPr>
        <w:t xml:space="preserve"> — un gendarme condamné pénalement pour harcèlement à l’encontre de son épouse et radié par décret a vu la mesure jugée proportionnée, la gravité des faits étant incompatible avec le devoir d’exemplarité d’un officier supérieur de la gendarmerie (</w:t>
      </w:r>
      <w:r>
        <w:rPr>
          <w:rFonts w:ascii="Calibri" w:eastAsia="Calibri" w:hAnsi="Calibri" w:cs="Calibri"/>
          <w:color w:val="E91E63"/>
        </w:rPr>
        <w:t>CE, 5 juin 2024, M. A. c. ministre des Armées, n° 492310</w:t>
      </w:r>
      <w:r>
        <w:rPr>
          <w:rFonts w:ascii="Calibri" w:eastAsia="Calibri" w:hAnsi="Calibri" w:cs="Calibri"/>
          <w:color w:val="1A1A1A"/>
        </w:rPr>
        <w:t>).</w:t>
      </w:r>
    </w:p>
    <w:p w14:paraId="45391130" w14:textId="46A88E36" w:rsidR="00520D98" w:rsidRDefault="00000000">
      <w:pPr>
        <w:pStyle w:val="Titre3"/>
        <w:spacing w:before="200" w:after="90"/>
      </w:pPr>
      <w:r>
        <w:rPr>
          <w:rFonts w:ascii="Calibri" w:eastAsia="Calibri" w:hAnsi="Calibri" w:cs="Calibri"/>
          <w:b/>
          <w:bCs/>
          <w:i/>
          <w:iCs/>
          <w:color w:val="5A5A5A"/>
          <w:sz w:val="21"/>
          <w:szCs w:val="21"/>
        </w:rPr>
        <w:t>3.4. Non-rétroactivité {</w:t>
      </w:r>
      <w:r w:rsidR="0031252F">
        <w:rPr>
          <w:rFonts w:ascii="Calibri" w:eastAsia="Calibri" w:hAnsi="Calibri" w:cs="Calibri"/>
          <w:b/>
          <w:bCs/>
          <w:i/>
          <w:iCs/>
          <w:color w:val="5A5A5A"/>
          <w:sz w:val="21"/>
          <w:szCs w:val="21"/>
        </w:rPr>
        <w:t>in</w:t>
      </w:r>
      <w:r>
        <w:rPr>
          <w:rFonts w:ascii="Calibri" w:eastAsia="Calibri" w:hAnsi="Calibri" w:cs="Calibri"/>
          <w:b/>
          <w:bCs/>
          <w:i/>
          <w:iCs/>
          <w:color w:val="5A5A5A"/>
          <w:sz w:val="21"/>
          <w:szCs w:val="21"/>
        </w:rPr>
        <w:t xml:space="preserve"> pejus} et rétroactivité {</w:t>
      </w:r>
      <w:r w:rsidR="0031252F">
        <w:rPr>
          <w:rFonts w:ascii="Calibri" w:eastAsia="Calibri" w:hAnsi="Calibri" w:cs="Calibri"/>
          <w:b/>
          <w:bCs/>
          <w:i/>
          <w:iCs/>
          <w:color w:val="5A5A5A"/>
          <w:sz w:val="21"/>
          <w:szCs w:val="21"/>
        </w:rPr>
        <w:t>in</w:t>
      </w:r>
      <w:r>
        <w:rPr>
          <w:rFonts w:ascii="Calibri" w:eastAsia="Calibri" w:hAnsi="Calibri" w:cs="Calibri"/>
          <w:b/>
          <w:bCs/>
          <w:i/>
          <w:iCs/>
          <w:color w:val="5A5A5A"/>
          <w:sz w:val="21"/>
          <w:szCs w:val="21"/>
        </w:rPr>
        <w:t xml:space="preserve"> mitius}</w:t>
      </w:r>
    </w:p>
    <w:p w14:paraId="39552D6A"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Le principe de </w:t>
      </w:r>
      <w:r>
        <w:rPr>
          <w:rFonts w:ascii="Calibri" w:eastAsia="Calibri" w:hAnsi="Calibri" w:cs="Calibri"/>
          <w:b/>
          <w:bCs/>
          <w:color w:val="1A1A1A"/>
        </w:rPr>
        <w:t>non-rétroactivité de la loi pénale plus sévère</w:t>
      </w:r>
      <w:r>
        <w:rPr>
          <w:rFonts w:ascii="Calibri" w:eastAsia="Calibri" w:hAnsi="Calibri" w:cs="Calibri"/>
          <w:color w:val="1A1A1A"/>
        </w:rPr>
        <w:t xml:space="preserve"> est une conséquence du principe de légalité des peines, se rattachant à l’</w:t>
      </w:r>
      <w:r>
        <w:rPr>
          <w:rFonts w:ascii="Calibri" w:eastAsia="Calibri" w:hAnsi="Calibri" w:cs="Calibri"/>
          <w:color w:val="1E88E5"/>
        </w:rPr>
        <w:t>art. 8 DDHC</w:t>
      </w:r>
      <w:r>
        <w:rPr>
          <w:rFonts w:ascii="Calibri" w:eastAsia="Calibri" w:hAnsi="Calibri" w:cs="Calibri"/>
          <w:color w:val="1A1A1A"/>
        </w:rPr>
        <w:t xml:space="preserve">. Lorsque des faits n’ont pas fait l’objet d’un jugement et qu’une loi pénale plus douce est entrée en vigueur, c’est la </w:t>
      </w:r>
      <w:r>
        <w:rPr>
          <w:rFonts w:ascii="Calibri" w:eastAsia="Calibri" w:hAnsi="Calibri" w:cs="Calibri"/>
          <w:b/>
          <w:bCs/>
          <w:color w:val="1A1A1A"/>
        </w:rPr>
        <w:t>loi pénale moins sévère qui s’applique</w:t>
      </w:r>
      <w:r>
        <w:rPr>
          <w:rFonts w:ascii="Calibri" w:eastAsia="Calibri" w:hAnsi="Calibri" w:cs="Calibri"/>
          <w:color w:val="1A1A1A"/>
        </w:rPr>
        <w:t xml:space="preserve"> : </w:t>
      </w:r>
      <w:r>
        <w:rPr>
          <w:rFonts w:ascii="Calibri" w:eastAsia="Calibri" w:hAnsi="Calibri" w:cs="Calibri"/>
          <w:b/>
          <w:bCs/>
          <w:color w:val="1A1A1A"/>
        </w:rPr>
        <w:t xml:space="preserve">rétroactivité </w:t>
      </w:r>
      <w:r>
        <w:rPr>
          <w:rFonts w:ascii="Calibri" w:eastAsia="Calibri" w:hAnsi="Calibri" w:cs="Calibri"/>
          <w:b/>
          <w:bCs/>
          <w:i/>
          <w:iCs/>
          <w:color w:val="1A1A1A"/>
        </w:rPr>
        <w:t>in mitius</w:t>
      </w:r>
      <w:r>
        <w:rPr>
          <w:rFonts w:ascii="Calibri" w:eastAsia="Calibri" w:hAnsi="Calibri" w:cs="Calibri"/>
          <w:color w:val="1A1A1A"/>
        </w:rPr>
        <w:t>, consacrée à l’</w:t>
      </w:r>
      <w:r>
        <w:rPr>
          <w:rFonts w:ascii="Calibri" w:eastAsia="Calibri" w:hAnsi="Calibri" w:cs="Calibri"/>
          <w:color w:val="1E88E5"/>
        </w:rPr>
        <w:t>art. 112-1 du Code pénal</w:t>
      </w:r>
      <w:r>
        <w:rPr>
          <w:rFonts w:ascii="Calibri" w:eastAsia="Calibri" w:hAnsi="Calibri" w:cs="Calibri"/>
          <w:color w:val="1A1A1A"/>
        </w:rPr>
        <w:t>. À l’échelle conventionnelle, la Cour européenne l’a fait découler de l’</w:t>
      </w:r>
      <w:r>
        <w:rPr>
          <w:rFonts w:ascii="Calibri" w:eastAsia="Calibri" w:hAnsi="Calibri" w:cs="Calibri"/>
          <w:color w:val="1E88E5"/>
        </w:rPr>
        <w:t>art. 7 § 1</w:t>
      </w:r>
      <w:r>
        <w:rPr>
          <w:rFonts w:ascii="Calibri" w:eastAsia="Calibri" w:hAnsi="Calibri" w:cs="Calibri"/>
          <w:color w:val="1A1A1A"/>
        </w:rPr>
        <w:t xml:space="preserve"> (</w:t>
      </w:r>
      <w:r>
        <w:rPr>
          <w:rFonts w:ascii="Calibri" w:eastAsia="Calibri" w:hAnsi="Calibri" w:cs="Calibri"/>
          <w:color w:val="E91E63"/>
        </w:rPr>
        <w:t>CEDH, 17 septembre 2009, Scoppola c. Italie (n° 2), n° 10249/03</w:t>
      </w:r>
      <w:r>
        <w:rPr>
          <w:rFonts w:ascii="Calibri" w:eastAsia="Calibri" w:hAnsi="Calibri" w:cs="Calibri"/>
          <w:color w:val="1A1A1A"/>
        </w:rPr>
        <w:t xml:space="preserve">) ; la Cour de justice affirme que « </w:t>
      </w:r>
      <w:r>
        <w:rPr>
          <w:rFonts w:ascii="Calibri" w:eastAsia="Calibri" w:hAnsi="Calibri" w:cs="Calibri"/>
          <w:i/>
          <w:iCs/>
          <w:color w:val="1A1A1A"/>
        </w:rPr>
        <w:t>le principe d’application rétroactive de la peine plus légère fait partie des traditions constitutionnelles communes aux États membres</w:t>
      </w:r>
      <w:r>
        <w:rPr>
          <w:rFonts w:ascii="Calibri" w:eastAsia="Calibri" w:hAnsi="Calibri" w:cs="Calibri"/>
          <w:color w:val="1A1A1A"/>
        </w:rPr>
        <w:t xml:space="preserve"> » (</w:t>
      </w:r>
      <w:r>
        <w:rPr>
          <w:rFonts w:ascii="Calibri" w:eastAsia="Calibri" w:hAnsi="Calibri" w:cs="Calibri"/>
          <w:color w:val="E91E63"/>
        </w:rPr>
        <w:t>CJUE, 3 mai 2005, Berlusconi et autres, C-387/02</w:t>
      </w:r>
      <w:r>
        <w:rPr>
          <w:rFonts w:ascii="Calibri" w:eastAsia="Calibri" w:hAnsi="Calibri" w:cs="Calibri"/>
          <w:color w:val="1A1A1A"/>
        </w:rPr>
        <w:t xml:space="preserve">). L’appréciation du caractère moins sévère se fait à l’aune de la </w:t>
      </w:r>
      <w:r>
        <w:rPr>
          <w:rFonts w:ascii="Calibri" w:eastAsia="Calibri" w:hAnsi="Calibri" w:cs="Calibri"/>
          <w:b/>
          <w:bCs/>
          <w:color w:val="1A1A1A"/>
        </w:rPr>
        <w:t>réduction du champ de l’infraction</w:t>
      </w:r>
      <w:r>
        <w:rPr>
          <w:rFonts w:ascii="Calibri" w:eastAsia="Calibri" w:hAnsi="Calibri" w:cs="Calibri"/>
          <w:color w:val="1A1A1A"/>
        </w:rPr>
        <w:t xml:space="preserve"> ou du </w:t>
      </w:r>
      <w:r>
        <w:rPr>
          <w:rFonts w:ascii="Calibri" w:eastAsia="Calibri" w:hAnsi="Calibri" w:cs="Calibri"/>
          <w:b/>
          <w:bCs/>
          <w:i/>
          <w:iCs/>
          <w:color w:val="1A1A1A"/>
        </w:rPr>
        <w:t>quantum</w:t>
      </w:r>
      <w:r>
        <w:rPr>
          <w:rFonts w:ascii="Calibri" w:eastAsia="Calibri" w:hAnsi="Calibri" w:cs="Calibri"/>
          <w:b/>
          <w:bCs/>
          <w:color w:val="1A1A1A"/>
        </w:rPr>
        <w:t xml:space="preserve"> de peine</w:t>
      </w:r>
      <w:r>
        <w:rPr>
          <w:rFonts w:ascii="Calibri" w:eastAsia="Calibri" w:hAnsi="Calibri" w:cs="Calibri"/>
          <w:color w:val="1A1A1A"/>
        </w:rPr>
        <w:t xml:space="preserve"> qu’elle prévoit.</w:t>
      </w:r>
    </w:p>
    <w:p w14:paraId="13BC0038" w14:textId="77777777" w:rsidR="00520D98" w:rsidRDefault="00000000">
      <w:pPr>
        <w:pStyle w:val="Titre3"/>
        <w:spacing w:before="200" w:after="90"/>
      </w:pPr>
      <w:r>
        <w:rPr>
          <w:rFonts w:ascii="Calibri" w:eastAsia="Calibri" w:hAnsi="Calibri" w:cs="Calibri"/>
          <w:b/>
          <w:bCs/>
          <w:i/>
          <w:iCs/>
          <w:color w:val="5A5A5A"/>
          <w:sz w:val="21"/>
          <w:szCs w:val="21"/>
        </w:rPr>
        <w:t>3.5. Individualisation, motivation et responsabilité du fait personnel</w:t>
      </w:r>
    </w:p>
    <w:p w14:paraId="2E612D7A"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Individualisation</w:t>
      </w:r>
      <w:r>
        <w:rPr>
          <w:rFonts w:ascii="Calibri" w:eastAsia="Calibri" w:hAnsi="Calibri" w:cs="Calibri"/>
          <w:color w:val="1A1A1A"/>
        </w:rPr>
        <w:t xml:space="preserve"> : rattaché à l’</w:t>
      </w:r>
      <w:r>
        <w:rPr>
          <w:rFonts w:ascii="Calibri" w:eastAsia="Calibri" w:hAnsi="Calibri" w:cs="Calibri"/>
          <w:color w:val="1E88E5"/>
        </w:rPr>
        <w:t>art. 8 DDHC</w:t>
      </w:r>
      <w:r>
        <w:rPr>
          <w:rFonts w:ascii="Calibri" w:eastAsia="Calibri" w:hAnsi="Calibri" w:cs="Calibri"/>
          <w:color w:val="1A1A1A"/>
        </w:rPr>
        <w:t xml:space="preserve">, ce principe implique que le juge </w:t>
      </w:r>
      <w:r>
        <w:rPr>
          <w:rFonts w:ascii="Calibri" w:eastAsia="Calibri" w:hAnsi="Calibri" w:cs="Calibri"/>
          <w:b/>
          <w:bCs/>
          <w:color w:val="1A1A1A"/>
        </w:rPr>
        <w:t>tienne compte des circonstances propres à chaque espèce</w:t>
      </w:r>
      <w:r>
        <w:rPr>
          <w:rFonts w:ascii="Calibri" w:eastAsia="Calibri" w:hAnsi="Calibri" w:cs="Calibri"/>
          <w:color w:val="1A1A1A"/>
        </w:rPr>
        <w:t xml:space="preserve"> pour le prononcé d’une peine ; il « </w:t>
      </w:r>
      <w:r>
        <w:rPr>
          <w:rFonts w:ascii="Calibri" w:eastAsia="Calibri" w:hAnsi="Calibri" w:cs="Calibri"/>
          <w:i/>
          <w:iCs/>
          <w:color w:val="1A1A1A"/>
        </w:rPr>
        <w:t>s’impose dans le silence de la loi</w:t>
      </w:r>
      <w:r>
        <w:rPr>
          <w:rFonts w:ascii="Calibri" w:eastAsia="Calibri" w:hAnsi="Calibri" w:cs="Calibri"/>
          <w:color w:val="1A1A1A"/>
        </w:rPr>
        <w:t xml:space="preserve"> » (</w:t>
      </w:r>
      <w:r>
        <w:rPr>
          <w:rFonts w:ascii="Calibri" w:eastAsia="Calibri" w:hAnsi="Calibri" w:cs="Calibri"/>
          <w:color w:val="E91E63"/>
        </w:rPr>
        <w:t>Cons. const., déc. n° 2007-553 DC, 3 mars 2007, Loi relative à la prévention de la délinquance</w:t>
      </w:r>
      <w:r>
        <w:rPr>
          <w:rFonts w:ascii="Calibri" w:eastAsia="Calibri" w:hAnsi="Calibri" w:cs="Calibri"/>
          <w:color w:val="1A1A1A"/>
        </w:rPr>
        <w:t>). Conséquence : l’</w:t>
      </w:r>
      <w:r>
        <w:rPr>
          <w:rFonts w:ascii="Calibri" w:eastAsia="Calibri" w:hAnsi="Calibri" w:cs="Calibri"/>
          <w:b/>
          <w:bCs/>
          <w:color w:val="1A1A1A"/>
        </w:rPr>
        <w:t>impossibilité des peines automatiques</w:t>
      </w:r>
      <w:r>
        <w:rPr>
          <w:rFonts w:ascii="Calibri" w:eastAsia="Calibri" w:hAnsi="Calibri" w:cs="Calibri"/>
          <w:color w:val="1A1A1A"/>
        </w:rPr>
        <w:t xml:space="preserve">, qui ne permettent pas un pouvoir d’appréciation du juge. </w:t>
      </w:r>
      <w:r>
        <w:rPr>
          <w:rFonts w:ascii="Calibri" w:eastAsia="Calibri" w:hAnsi="Calibri" w:cs="Calibri"/>
          <w:b/>
          <w:bCs/>
          <w:color w:val="1A1A1A"/>
        </w:rPr>
        <w:t>Toutefois</w:t>
      </w:r>
      <w:r>
        <w:rPr>
          <w:rFonts w:ascii="Calibri" w:eastAsia="Calibri" w:hAnsi="Calibri" w:cs="Calibri"/>
          <w:color w:val="1A1A1A"/>
        </w:rPr>
        <w:t>, ce principe ne suppose pas que le juge doive déterminer la peine exclusivement en fonction de la personnalité de l’auteur (</w:t>
      </w:r>
      <w:r>
        <w:rPr>
          <w:rFonts w:ascii="Calibri" w:eastAsia="Calibri" w:hAnsi="Calibri" w:cs="Calibri"/>
          <w:color w:val="E91E63"/>
        </w:rPr>
        <w:t>Cons. const., déc. n° 2007-554 DC, 9 août 2007, Loi renforçant la lutte contre la récidive des majeurs et des mineurs</w:t>
      </w:r>
      <w:r>
        <w:rPr>
          <w:rFonts w:ascii="Calibri" w:eastAsia="Calibri" w:hAnsi="Calibri" w:cs="Calibri"/>
          <w:color w:val="1A1A1A"/>
        </w:rPr>
        <w:t>).</w:t>
      </w:r>
    </w:p>
    <w:p w14:paraId="611A5F96"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Motivation des peines</w:t>
      </w:r>
      <w:r>
        <w:rPr>
          <w:rFonts w:ascii="Calibri" w:eastAsia="Calibri" w:hAnsi="Calibri" w:cs="Calibri"/>
          <w:color w:val="1A1A1A"/>
        </w:rPr>
        <w:t xml:space="preserve"> : conséquence du principe d’individualisation. </w:t>
      </w:r>
      <w:r>
        <w:rPr>
          <w:rFonts w:ascii="Calibri" w:eastAsia="Calibri" w:hAnsi="Calibri" w:cs="Calibri"/>
          <w:color w:val="1E88E5"/>
        </w:rPr>
        <w:t>Art. 485 CPP</w:t>
      </w:r>
      <w:r>
        <w:rPr>
          <w:rFonts w:ascii="Calibri" w:eastAsia="Calibri" w:hAnsi="Calibri" w:cs="Calibri"/>
          <w:color w:val="1A1A1A"/>
        </w:rPr>
        <w:t xml:space="preserve"> — un jugement doit contenir des motifs et un dispositif, ces « motifs constituent la base de la décision » ; </w:t>
      </w:r>
      <w:r>
        <w:rPr>
          <w:rFonts w:ascii="Calibri" w:eastAsia="Calibri" w:hAnsi="Calibri" w:cs="Calibri"/>
          <w:color w:val="1E88E5"/>
        </w:rPr>
        <w:t>art. 593 CPP</w:t>
      </w:r>
      <w:r>
        <w:rPr>
          <w:rFonts w:ascii="Calibri" w:eastAsia="Calibri" w:hAnsi="Calibri" w:cs="Calibri"/>
          <w:color w:val="1A1A1A"/>
        </w:rPr>
        <w:t xml:space="preserve"> — « Les arrêts de la chambre de l’instruction, ainsi que les arrêts et jugements en dernier ressort sont déclarés nuls s’ils ne contiennent pas des motifs ou si leurs motifs sont insuffisants et ne permettent pas à la Cour de cassation d’exercer son contrôle et de reconnaître si la loi a été respectée dans le dispositif. »</w:t>
      </w:r>
    </w:p>
    <w:p w14:paraId="4BD1D528"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Responsabilité du fait personnel</w:t>
      </w:r>
      <w:r>
        <w:rPr>
          <w:rFonts w:ascii="Calibri" w:eastAsia="Calibri" w:hAnsi="Calibri" w:cs="Calibri"/>
          <w:color w:val="1A1A1A"/>
        </w:rPr>
        <w:t xml:space="preserve"> : </w:t>
      </w:r>
      <w:r>
        <w:rPr>
          <w:rFonts w:ascii="Calibri" w:eastAsia="Calibri" w:hAnsi="Calibri" w:cs="Calibri"/>
          <w:color w:val="1E88E5"/>
        </w:rPr>
        <w:t>art. 121-1 CPP</w:t>
      </w:r>
      <w:r>
        <w:rPr>
          <w:rFonts w:ascii="Calibri" w:eastAsia="Calibri" w:hAnsi="Calibri" w:cs="Calibri"/>
          <w:color w:val="1A1A1A"/>
        </w:rPr>
        <w:t xml:space="preserve"> — « Nul n’est responsable pénalement que de son propre fait » ; principe à valeur constitutionnelle résultant des </w:t>
      </w:r>
      <w:r>
        <w:rPr>
          <w:rFonts w:ascii="Calibri" w:eastAsia="Calibri" w:hAnsi="Calibri" w:cs="Calibri"/>
          <w:color w:val="1E88E5"/>
        </w:rPr>
        <w:t>art. 8 et 9 DDHC</w:t>
      </w:r>
      <w:r>
        <w:rPr>
          <w:rFonts w:ascii="Calibri" w:eastAsia="Calibri" w:hAnsi="Calibri" w:cs="Calibri"/>
          <w:color w:val="1A1A1A"/>
        </w:rPr>
        <w:t xml:space="preserve"> (</w:t>
      </w:r>
      <w:r>
        <w:rPr>
          <w:rFonts w:ascii="Calibri" w:eastAsia="Calibri" w:hAnsi="Calibri" w:cs="Calibri"/>
          <w:color w:val="E91E63"/>
        </w:rPr>
        <w:t>Cons. const., déc. n° 99-411 DC, 16 juin 1999</w:t>
      </w:r>
      <w:r>
        <w:rPr>
          <w:rFonts w:ascii="Calibri" w:eastAsia="Calibri" w:hAnsi="Calibri" w:cs="Calibri"/>
          <w:color w:val="1A1A1A"/>
        </w:rPr>
        <w:t xml:space="preserve">). Il </w:t>
      </w:r>
      <w:r>
        <w:rPr>
          <w:rFonts w:ascii="Calibri" w:eastAsia="Calibri" w:hAnsi="Calibri" w:cs="Calibri"/>
          <w:b/>
          <w:bCs/>
          <w:color w:val="1A1A1A"/>
        </w:rPr>
        <w:t>n’a pas pour objet d’exclure les peines aggravantes en cas de faits commis en réunion</w:t>
      </w:r>
      <w:r>
        <w:rPr>
          <w:rFonts w:ascii="Calibri" w:eastAsia="Calibri" w:hAnsi="Calibri" w:cs="Calibri"/>
          <w:color w:val="1A1A1A"/>
        </w:rPr>
        <w:t>, qui constituent une circonstance aggravante n’impliquant pas l’instauration d’une responsabilité collective (</w:t>
      </w:r>
      <w:r>
        <w:rPr>
          <w:rFonts w:ascii="Calibri" w:eastAsia="Calibri" w:hAnsi="Calibri" w:cs="Calibri"/>
          <w:color w:val="E91E63"/>
        </w:rPr>
        <w:t>Cons. const., déc. n° 2010-604 DC, 25 février 2010</w:t>
      </w:r>
      <w:r>
        <w:rPr>
          <w:rFonts w:ascii="Calibri" w:eastAsia="Calibri" w:hAnsi="Calibri" w:cs="Calibri"/>
          <w:color w:val="1A1A1A"/>
        </w:rPr>
        <w:t xml:space="preserve">). Le Code pénal prévoit un régime de responsabilité pénale des </w:t>
      </w:r>
      <w:r>
        <w:rPr>
          <w:rFonts w:ascii="Calibri" w:eastAsia="Calibri" w:hAnsi="Calibri" w:cs="Calibri"/>
          <w:b/>
          <w:bCs/>
          <w:color w:val="1A1A1A"/>
        </w:rPr>
        <w:t>personnes morales</w:t>
      </w:r>
      <w:r>
        <w:rPr>
          <w:rFonts w:ascii="Calibri" w:eastAsia="Calibri" w:hAnsi="Calibri" w:cs="Calibri"/>
          <w:color w:val="1A1A1A"/>
        </w:rPr>
        <w:t xml:space="preserve"> pour certaines infractions « pour leur compte, par leurs organes ou représentants », à l’exclusion de l’État, avec un régime spécifique pour les collectivités territoriales et leurs groupements.</w:t>
      </w:r>
    </w:p>
    <w:p w14:paraId="4BEB4D4D" w14:textId="77777777" w:rsidR="00520D98" w:rsidRDefault="00000000">
      <w:pPr>
        <w:pStyle w:val="Titre2"/>
        <w:spacing w:before="280" w:after="120"/>
      </w:pPr>
      <w:r>
        <w:rPr>
          <w:rFonts w:ascii="Calibri" w:eastAsia="Calibri" w:hAnsi="Calibri" w:cs="Calibri"/>
          <w:b/>
          <w:bCs/>
          <w:color w:val="1A1A1A"/>
          <w:sz w:val="24"/>
          <w:szCs w:val="24"/>
        </w:rPr>
        <w:t>4. L’irresponsabilité pénale en cas d’abolition du discernement</w:t>
      </w:r>
    </w:p>
    <w:p w14:paraId="1D0160C9" w14:textId="0DC93FF6" w:rsidR="00520D98" w:rsidRPr="00866FAB" w:rsidRDefault="00000000">
      <w:pPr>
        <w:pStyle w:val="Paragraphedeliste"/>
        <w:numPr>
          <w:ilvl w:val="0"/>
          <w:numId w:val="2"/>
        </w:numPr>
        <w:spacing w:after="70" w:line="264" w:lineRule="auto"/>
        <w:jc w:val="both"/>
        <w:rPr>
          <w:highlight w:val="yellow"/>
        </w:rPr>
      </w:pPr>
      <w:r>
        <w:rPr>
          <w:rFonts w:ascii="Calibri" w:eastAsia="Calibri" w:hAnsi="Calibri" w:cs="Calibri"/>
          <w:color w:val="1E88E5"/>
        </w:rPr>
        <w:t>Art. 122-1 du Code pénal</w:t>
      </w:r>
      <w:r>
        <w:rPr>
          <w:rFonts w:ascii="Calibri" w:eastAsia="Calibri" w:hAnsi="Calibri" w:cs="Calibri"/>
          <w:color w:val="1A1A1A"/>
        </w:rPr>
        <w:t xml:space="preserve"> : une personne atteinte d’un trouble psychique ou neuropsychique ayant </w:t>
      </w:r>
      <w:r>
        <w:rPr>
          <w:rFonts w:ascii="Calibri" w:eastAsia="Calibri" w:hAnsi="Calibri" w:cs="Calibri"/>
          <w:b/>
          <w:bCs/>
          <w:color w:val="1A1A1A"/>
        </w:rPr>
        <w:t>aboli</w:t>
      </w:r>
      <w:r>
        <w:rPr>
          <w:rFonts w:ascii="Calibri" w:eastAsia="Calibri" w:hAnsi="Calibri" w:cs="Calibri"/>
          <w:color w:val="1A1A1A"/>
        </w:rPr>
        <w:t xml:space="preserve"> son discernement ou le contrôle de ses actes au moment de la commission des faits n’est pas pénalement responsable. Le même article distingue l’</w:t>
      </w:r>
      <w:r>
        <w:rPr>
          <w:rFonts w:ascii="Calibri" w:eastAsia="Calibri" w:hAnsi="Calibri" w:cs="Calibri"/>
          <w:b/>
          <w:bCs/>
          <w:color w:val="1A1A1A"/>
        </w:rPr>
        <w:t>abolition</w:t>
      </w:r>
      <w:r>
        <w:rPr>
          <w:rFonts w:ascii="Calibri" w:eastAsia="Calibri" w:hAnsi="Calibri" w:cs="Calibri"/>
          <w:color w:val="1A1A1A"/>
        </w:rPr>
        <w:t xml:space="preserve"> du discernement de son </w:t>
      </w:r>
      <w:r>
        <w:rPr>
          <w:rFonts w:ascii="Calibri" w:eastAsia="Calibri" w:hAnsi="Calibri" w:cs="Calibri"/>
          <w:b/>
          <w:bCs/>
          <w:color w:val="1A1A1A"/>
        </w:rPr>
        <w:t>altération</w:t>
      </w:r>
      <w:r>
        <w:rPr>
          <w:rFonts w:ascii="Calibri" w:eastAsia="Calibri" w:hAnsi="Calibri" w:cs="Calibri"/>
          <w:color w:val="1A1A1A"/>
        </w:rPr>
        <w:t xml:space="preserve">. </w:t>
      </w:r>
      <w:r w:rsidRPr="00866FAB">
        <w:rPr>
          <w:rFonts w:ascii="Calibri" w:eastAsia="Calibri" w:hAnsi="Calibri" w:cs="Calibri"/>
          <w:color w:val="1A1A1A"/>
          <w:highlight w:val="yellow"/>
        </w:rPr>
        <w:t xml:space="preserve">La </w:t>
      </w:r>
      <w:r w:rsidRPr="00866FAB">
        <w:rPr>
          <w:rFonts w:ascii="Calibri" w:eastAsia="Calibri" w:hAnsi="Calibri" w:cs="Calibri"/>
          <w:b/>
          <w:bCs/>
          <w:color w:val="1A1A1A"/>
          <w:highlight w:val="yellow"/>
        </w:rPr>
        <w:t xml:space="preserve">responsabilité civile est </w:t>
      </w:r>
      <w:r w:rsidR="00866FAB">
        <w:rPr>
          <w:rFonts w:ascii="Calibri" w:eastAsia="Calibri" w:hAnsi="Calibri" w:cs="Calibri"/>
          <w:b/>
          <w:bCs/>
          <w:color w:val="1A1A1A"/>
          <w:highlight w:val="yellow"/>
        </w:rPr>
        <w:t xml:space="preserve">néanmoins </w:t>
      </w:r>
      <w:r w:rsidRPr="00866FAB">
        <w:rPr>
          <w:rFonts w:ascii="Calibri" w:eastAsia="Calibri" w:hAnsi="Calibri" w:cs="Calibri"/>
          <w:b/>
          <w:bCs/>
          <w:color w:val="1A1A1A"/>
          <w:highlight w:val="yellow"/>
        </w:rPr>
        <w:t>maintenue</w:t>
      </w:r>
      <w:r w:rsidRPr="00866FAB">
        <w:rPr>
          <w:rFonts w:ascii="Calibri" w:eastAsia="Calibri" w:hAnsi="Calibri" w:cs="Calibri"/>
          <w:color w:val="1A1A1A"/>
          <w:highlight w:val="yellow"/>
        </w:rPr>
        <w:t xml:space="preserve"> lorsque l’altération ou l’abolition est retenue.</w:t>
      </w:r>
    </w:p>
    <w:p w14:paraId="58EAC261" w14:textId="77777777" w:rsidR="00520D98" w:rsidRPr="00866FAB" w:rsidRDefault="00000000">
      <w:pPr>
        <w:pStyle w:val="Paragraphedeliste"/>
        <w:numPr>
          <w:ilvl w:val="0"/>
          <w:numId w:val="2"/>
        </w:numPr>
        <w:spacing w:after="70" w:line="264" w:lineRule="auto"/>
        <w:jc w:val="both"/>
        <w:rPr>
          <w:color w:val="EE0000"/>
        </w:rPr>
      </w:pPr>
      <w:r>
        <w:rPr>
          <w:rFonts w:ascii="Calibri" w:eastAsia="Calibri" w:hAnsi="Calibri" w:cs="Calibri"/>
          <w:color w:val="1A1A1A"/>
        </w:rPr>
        <w:t xml:space="preserve">Une </w:t>
      </w:r>
      <w:r>
        <w:rPr>
          <w:rFonts w:ascii="Calibri" w:eastAsia="Calibri" w:hAnsi="Calibri" w:cs="Calibri"/>
          <w:b/>
          <w:bCs/>
          <w:color w:val="1A1A1A"/>
        </w:rPr>
        <w:t>loi de 2022</w:t>
      </w:r>
      <w:r>
        <w:rPr>
          <w:rFonts w:ascii="Calibri" w:eastAsia="Calibri" w:hAnsi="Calibri" w:cs="Calibri"/>
          <w:color w:val="1A1A1A"/>
        </w:rPr>
        <w:t xml:space="preserve"> a ajouté l’</w:t>
      </w:r>
      <w:r>
        <w:rPr>
          <w:rFonts w:ascii="Calibri" w:eastAsia="Calibri" w:hAnsi="Calibri" w:cs="Calibri"/>
          <w:color w:val="1E88E5"/>
        </w:rPr>
        <w:t>art. 122-1-1 du Code pénal</w:t>
      </w:r>
      <w:r>
        <w:rPr>
          <w:rFonts w:ascii="Calibri" w:eastAsia="Calibri" w:hAnsi="Calibri" w:cs="Calibri"/>
          <w:color w:val="1A1A1A"/>
        </w:rPr>
        <w:t xml:space="preserve">, qui dispose que </w:t>
      </w:r>
      <w:r w:rsidRPr="00866FAB">
        <w:rPr>
          <w:rFonts w:ascii="Calibri" w:eastAsia="Calibri" w:hAnsi="Calibri" w:cs="Calibri"/>
          <w:color w:val="EE0000"/>
        </w:rPr>
        <w:t xml:space="preserve">l’abolition temporaire du discernement ne peut être retenue en cas de </w:t>
      </w:r>
      <w:r w:rsidRPr="00866FAB">
        <w:rPr>
          <w:rFonts w:ascii="Calibri" w:eastAsia="Calibri" w:hAnsi="Calibri" w:cs="Calibri"/>
          <w:b/>
          <w:bCs/>
          <w:color w:val="EE0000"/>
        </w:rPr>
        <w:t>consommation volontaire de substances psychoactives</w:t>
      </w:r>
      <w:r w:rsidRPr="00866FAB">
        <w:rPr>
          <w:rFonts w:ascii="Calibri" w:eastAsia="Calibri" w:hAnsi="Calibri" w:cs="Calibri"/>
          <w:color w:val="EE0000"/>
        </w:rPr>
        <w:t xml:space="preserve"> « dans le dessein de commettre l’infraction ou une infraction de même nature ou d’en faciliter la commission ».</w:t>
      </w:r>
    </w:p>
    <w:p w14:paraId="412FE864" w14:textId="77777777" w:rsidR="00520D98" w:rsidRDefault="00000000">
      <w:pPr>
        <w:pStyle w:val="Titre2"/>
        <w:spacing w:before="280" w:after="120"/>
      </w:pPr>
      <w:r>
        <w:rPr>
          <w:rFonts w:ascii="Calibri" w:eastAsia="Calibri" w:hAnsi="Calibri" w:cs="Calibri"/>
          <w:b/>
          <w:bCs/>
          <w:color w:val="1A1A1A"/>
          <w:sz w:val="24"/>
          <w:szCs w:val="24"/>
        </w:rPr>
        <w:lastRenderedPageBreak/>
        <w:t>5. Débats doctrinaux &amp; critiques</w:t>
      </w:r>
    </w:p>
    <w:p w14:paraId="65F32668"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866FAB">
        <w:rPr>
          <w:rFonts w:ascii="Calibri" w:eastAsia="Calibri" w:hAnsi="Calibri" w:cs="Calibri"/>
          <w:b/>
          <w:bCs/>
          <w:color w:val="1A1A1A"/>
          <w:highlight w:val="yellow"/>
        </w:rPr>
        <w:t>La loi « narcotrafic »</w:t>
      </w:r>
      <w:r>
        <w:rPr>
          <w:rFonts w:ascii="Calibri" w:eastAsia="Calibri" w:hAnsi="Calibri" w:cs="Calibri"/>
          <w:b/>
          <w:bCs/>
          <w:color w:val="1A1A1A"/>
        </w:rPr>
        <w:t xml:space="preserve"> et les garanties fondamentales</w:t>
      </w:r>
      <w:r>
        <w:rPr>
          <w:rFonts w:ascii="Calibri" w:eastAsia="Calibri" w:hAnsi="Calibri" w:cs="Calibri"/>
          <w:color w:val="1A1A1A"/>
        </w:rPr>
        <w:t xml:space="preserve"> : la </w:t>
      </w:r>
      <w:r>
        <w:rPr>
          <w:rFonts w:ascii="Calibri" w:eastAsia="Calibri" w:hAnsi="Calibri" w:cs="Calibri"/>
          <w:color w:val="1E88E5"/>
        </w:rPr>
        <w:t>loi n° 2025-532 du 13 juin 2025 visant à sortir la France du piège du narcotrafic</w:t>
      </w:r>
      <w:r>
        <w:rPr>
          <w:rFonts w:ascii="Calibri" w:eastAsia="Calibri" w:hAnsi="Calibri" w:cs="Calibri"/>
          <w:color w:val="1A1A1A"/>
        </w:rPr>
        <w:t xml:space="preserve"> a fait couler beaucoup d’encre. De nombreux avocats ont exprimé leurs inquiétudes quant à ses conséquences sur les garanties fondamentales en matière pénale — ainsi de </w:t>
      </w:r>
      <w:r>
        <w:rPr>
          <w:rFonts w:ascii="Calibri" w:eastAsia="Calibri" w:hAnsi="Calibri" w:cs="Calibri"/>
          <w:color w:val="2E7D32"/>
        </w:rPr>
        <w:t>Maître Julie Couturier, présidente du Conseil national des barreaux</w:t>
      </w:r>
      <w:r>
        <w:rPr>
          <w:rFonts w:ascii="Calibri" w:eastAsia="Calibri" w:hAnsi="Calibri" w:cs="Calibri"/>
          <w:color w:val="1A1A1A"/>
        </w:rPr>
        <w:t xml:space="preserve">, pour qui la lutte contre le trafic de stupéfiants doit se faire dans le respect des droits de la défense et de l’État de droit. Le </w:t>
      </w:r>
      <w:r>
        <w:rPr>
          <w:rFonts w:ascii="Calibri" w:eastAsia="Calibri" w:hAnsi="Calibri" w:cs="Calibri"/>
          <w:b/>
          <w:bCs/>
          <w:color w:val="1A1A1A"/>
        </w:rPr>
        <w:t>12 juin 2025</w:t>
      </w:r>
      <w:r>
        <w:rPr>
          <w:rFonts w:ascii="Calibri" w:eastAsia="Calibri" w:hAnsi="Calibri" w:cs="Calibri"/>
          <w:color w:val="1A1A1A"/>
        </w:rPr>
        <w:t xml:space="preserve">, le Conseil constitutionnel a contrôlé la loi : </w:t>
      </w:r>
      <w:r>
        <w:rPr>
          <w:rFonts w:ascii="Calibri" w:eastAsia="Calibri" w:hAnsi="Calibri" w:cs="Calibri"/>
          <w:b/>
          <w:bCs/>
          <w:color w:val="1A1A1A"/>
        </w:rPr>
        <w:t>32 articles déclarés conformes</w:t>
      </w:r>
      <w:r>
        <w:rPr>
          <w:rFonts w:ascii="Calibri" w:eastAsia="Calibri" w:hAnsi="Calibri" w:cs="Calibri"/>
          <w:color w:val="1A1A1A"/>
        </w:rPr>
        <w:t xml:space="preserve">, comportant notamment l’activation à distance d’appareils électroniques fixes et mobiles pour enregistrer l’image et le son afin de lutter contre la criminalité organisée, ainsi que la prolongation exceptionnelle de la garde à vue pour certaines infractions liées aux trafics de stupéfiants ; </w:t>
      </w:r>
      <w:r>
        <w:rPr>
          <w:rFonts w:ascii="Calibri" w:eastAsia="Calibri" w:hAnsi="Calibri" w:cs="Calibri"/>
          <w:b/>
          <w:bCs/>
          <w:color w:val="1A1A1A"/>
        </w:rPr>
        <w:t>6 articles censurés totalement ou partiellement</w:t>
      </w:r>
      <w:r>
        <w:rPr>
          <w:rFonts w:ascii="Calibri" w:eastAsia="Calibri" w:hAnsi="Calibri" w:cs="Calibri"/>
          <w:color w:val="1A1A1A"/>
        </w:rPr>
        <w:t>, dont l’</w:t>
      </w:r>
      <w:r>
        <w:rPr>
          <w:rFonts w:ascii="Calibri" w:eastAsia="Calibri" w:hAnsi="Calibri" w:cs="Calibri"/>
          <w:b/>
          <w:bCs/>
          <w:color w:val="1A1A1A"/>
        </w:rPr>
        <w:t>article 40</w:t>
      </w:r>
      <w:r>
        <w:rPr>
          <w:rFonts w:ascii="Calibri" w:eastAsia="Calibri" w:hAnsi="Calibri" w:cs="Calibri"/>
          <w:color w:val="1A1A1A"/>
        </w:rPr>
        <w:t xml:space="preserve"> relatif au « </w:t>
      </w:r>
      <w:r>
        <w:rPr>
          <w:rFonts w:ascii="Calibri" w:eastAsia="Calibri" w:hAnsi="Calibri" w:cs="Calibri"/>
          <w:b/>
          <w:bCs/>
          <w:color w:val="1A1A1A"/>
        </w:rPr>
        <w:t>dossier coffre</w:t>
      </w:r>
      <w:r>
        <w:rPr>
          <w:rFonts w:ascii="Calibri" w:eastAsia="Calibri" w:hAnsi="Calibri" w:cs="Calibri"/>
          <w:color w:val="1A1A1A"/>
        </w:rPr>
        <w:t xml:space="preserve"> », jugé contraire aux droits de la défense, et l’</w:t>
      </w:r>
      <w:r>
        <w:rPr>
          <w:rFonts w:ascii="Calibri" w:eastAsia="Calibri" w:hAnsi="Calibri" w:cs="Calibri"/>
          <w:b/>
          <w:bCs/>
          <w:color w:val="1A1A1A"/>
        </w:rPr>
        <w:t>article 56</w:t>
      </w:r>
      <w:r>
        <w:rPr>
          <w:rFonts w:ascii="Calibri" w:eastAsia="Calibri" w:hAnsi="Calibri" w:cs="Calibri"/>
          <w:color w:val="1A1A1A"/>
        </w:rPr>
        <w:t xml:space="preserve"> qui prévoyait le seul recours à la visioconférence pour la comparution des personnes placées en quartier de lutte contre la criminalité organisée ; plusieurs </w:t>
      </w:r>
      <w:r>
        <w:rPr>
          <w:rFonts w:ascii="Calibri" w:eastAsia="Calibri" w:hAnsi="Calibri" w:cs="Calibri"/>
          <w:b/>
          <w:bCs/>
          <w:color w:val="1A1A1A"/>
        </w:rPr>
        <w:t>réserves d’interprétation</w:t>
      </w:r>
      <w:r>
        <w:rPr>
          <w:rFonts w:ascii="Calibri" w:eastAsia="Calibri" w:hAnsi="Calibri" w:cs="Calibri"/>
          <w:color w:val="1A1A1A"/>
        </w:rPr>
        <w:t>.</w:t>
      </w:r>
    </w:p>
    <w:p w14:paraId="3C155B11"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La médiatisation des affaires judiciaires</w:t>
      </w:r>
      <w:r>
        <w:rPr>
          <w:rFonts w:ascii="Calibri" w:eastAsia="Calibri" w:hAnsi="Calibri" w:cs="Calibri"/>
          <w:color w:val="1A1A1A"/>
        </w:rPr>
        <w:t xml:space="preserve"> : elle s’inscrit en démocratie libérale dans un équilibre sensible entre le respect de la liberté d’expression et le respect des droits de la défense. Elle comporte un </w:t>
      </w:r>
      <w:r>
        <w:rPr>
          <w:rFonts w:ascii="Calibri" w:eastAsia="Calibri" w:hAnsi="Calibri" w:cs="Calibri"/>
          <w:b/>
          <w:bCs/>
          <w:color w:val="1A1A1A"/>
        </w:rPr>
        <w:t>enjeu crucial de libération de la parole des victimes</w:t>
      </w:r>
      <w:r>
        <w:rPr>
          <w:rFonts w:ascii="Calibri" w:eastAsia="Calibri" w:hAnsi="Calibri" w:cs="Calibri"/>
          <w:color w:val="1A1A1A"/>
        </w:rPr>
        <w:t xml:space="preserve">, notamment dans des matières où le traitement judiciaire est souvent insuffisant — violences faites aux mineurs et aux femmes. Mais elle mène aussi à des </w:t>
      </w:r>
      <w:r>
        <w:rPr>
          <w:rFonts w:ascii="Calibri" w:eastAsia="Calibri" w:hAnsi="Calibri" w:cs="Calibri"/>
          <w:b/>
          <w:bCs/>
          <w:color w:val="1A1A1A"/>
        </w:rPr>
        <w:t>entorses à la présomption d’innocence</w:t>
      </w:r>
      <w:r>
        <w:rPr>
          <w:rFonts w:ascii="Calibri" w:eastAsia="Calibri" w:hAnsi="Calibri" w:cs="Calibri"/>
          <w:color w:val="1A1A1A"/>
        </w:rPr>
        <w:t xml:space="preserve"> : la </w:t>
      </w:r>
      <w:r>
        <w:rPr>
          <w:rFonts w:ascii="Calibri" w:eastAsia="Calibri" w:hAnsi="Calibri" w:cs="Calibri"/>
          <w:color w:val="2E7D32"/>
        </w:rPr>
        <w:t>Commission de Venise</w:t>
      </w:r>
      <w:r>
        <w:rPr>
          <w:rFonts w:ascii="Calibri" w:eastAsia="Calibri" w:hAnsi="Calibri" w:cs="Calibri"/>
          <w:color w:val="1A1A1A"/>
        </w:rPr>
        <w:t xml:space="preserve"> inclut la présomption d’innocence dans sa liste des critères de l’État de droit comme « élément essentiel du droit à un procès équitable » et mentionne « certains faiseurs d’opinions, comme les médias ». Certains juristes dénoncent l’existence d’un « </w:t>
      </w:r>
      <w:r>
        <w:rPr>
          <w:rFonts w:ascii="Calibri" w:eastAsia="Calibri" w:hAnsi="Calibri" w:cs="Calibri"/>
          <w:b/>
          <w:bCs/>
          <w:color w:val="1A1A1A"/>
        </w:rPr>
        <w:t>tribunal médiatique</w:t>
      </w:r>
      <w:r>
        <w:rPr>
          <w:rFonts w:ascii="Calibri" w:eastAsia="Calibri" w:hAnsi="Calibri" w:cs="Calibri"/>
          <w:color w:val="1A1A1A"/>
        </w:rPr>
        <w:t xml:space="preserve"> » en dehors des prétoires.</w:t>
      </w:r>
    </w:p>
    <w:p w14:paraId="1A537B9C"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Les garde-fous existants</w:t>
      </w:r>
      <w:r>
        <w:rPr>
          <w:rFonts w:ascii="Calibri" w:eastAsia="Calibri" w:hAnsi="Calibri" w:cs="Calibri"/>
          <w:color w:val="1A1A1A"/>
        </w:rPr>
        <w:t xml:space="preserve"> : l’</w:t>
      </w:r>
      <w:r>
        <w:rPr>
          <w:rFonts w:ascii="Calibri" w:eastAsia="Calibri" w:hAnsi="Calibri" w:cs="Calibri"/>
          <w:color w:val="1E88E5"/>
        </w:rPr>
        <w:t xml:space="preserve">art. 35 </w:t>
      </w:r>
      <w:r>
        <w:rPr>
          <w:rFonts w:ascii="Calibri" w:eastAsia="Calibri" w:hAnsi="Calibri" w:cs="Calibri"/>
          <w:i/>
          <w:iCs/>
          <w:color w:val="1E88E5"/>
        </w:rPr>
        <w:t>ter</w:t>
      </w:r>
      <w:r>
        <w:rPr>
          <w:rFonts w:ascii="Calibri" w:eastAsia="Calibri" w:hAnsi="Calibri" w:cs="Calibri"/>
          <w:color w:val="1E88E5"/>
        </w:rPr>
        <w:t xml:space="preserve"> de la loi du 29 juillet 1881</w:t>
      </w:r>
      <w:r>
        <w:rPr>
          <w:rFonts w:ascii="Calibri" w:eastAsia="Calibri" w:hAnsi="Calibri" w:cs="Calibri"/>
          <w:color w:val="1A1A1A"/>
        </w:rPr>
        <w:t xml:space="preserve"> punit le fait « </w:t>
      </w:r>
      <w:r>
        <w:rPr>
          <w:rFonts w:ascii="Calibri" w:eastAsia="Calibri" w:hAnsi="Calibri" w:cs="Calibri"/>
          <w:i/>
          <w:iCs/>
          <w:color w:val="1A1A1A"/>
        </w:rPr>
        <w:t>de réaliser, de publier ou de commenter un sondage d’opinion, ou toute autre consultation, portant sur la culpabilité d’une personne mise en cause à l’occasion d’une procédure pénale ou sur la peine susceptible d’être prononcée à son encontre</w:t>
      </w:r>
      <w:r>
        <w:rPr>
          <w:rFonts w:ascii="Calibri" w:eastAsia="Calibri" w:hAnsi="Calibri" w:cs="Calibri"/>
          <w:color w:val="1A1A1A"/>
        </w:rPr>
        <w:t xml:space="preserve"> » — à rattacher à la pratique du « </w:t>
      </w:r>
      <w:r>
        <w:rPr>
          <w:rFonts w:ascii="Calibri" w:eastAsia="Calibri" w:hAnsi="Calibri" w:cs="Calibri"/>
          <w:i/>
          <w:iCs/>
          <w:color w:val="1A1A1A"/>
        </w:rPr>
        <w:t>live-tweet</w:t>
      </w:r>
      <w:r>
        <w:rPr>
          <w:rFonts w:ascii="Calibri" w:eastAsia="Calibri" w:hAnsi="Calibri" w:cs="Calibri"/>
          <w:color w:val="1A1A1A"/>
        </w:rPr>
        <w:t xml:space="preserve"> » ; le même article punit la diffusion d’images d’une personne identifiée ou identifiable portant des menottes ou de sa détention provisoire sans son accord (dispositions insérées par la </w:t>
      </w:r>
      <w:r>
        <w:rPr>
          <w:rFonts w:ascii="Calibri" w:eastAsia="Calibri" w:hAnsi="Calibri" w:cs="Calibri"/>
          <w:color w:val="1E88E5"/>
        </w:rPr>
        <w:t>loi du 15 juin 2000</w:t>
      </w:r>
      <w:r>
        <w:rPr>
          <w:rFonts w:ascii="Calibri" w:eastAsia="Calibri" w:hAnsi="Calibri" w:cs="Calibri"/>
          <w:color w:val="1A1A1A"/>
        </w:rPr>
        <w:t xml:space="preserve">). </w:t>
      </w:r>
      <w:r>
        <w:rPr>
          <w:rFonts w:ascii="Calibri" w:eastAsia="Calibri" w:hAnsi="Calibri" w:cs="Calibri"/>
          <w:color w:val="E91E63"/>
        </w:rPr>
        <w:t>Cass. crim., 20 février 2007</w:t>
      </w:r>
      <w:r>
        <w:rPr>
          <w:rFonts w:ascii="Calibri" w:eastAsia="Calibri" w:hAnsi="Calibri" w:cs="Calibri"/>
          <w:color w:val="1A1A1A"/>
        </w:rPr>
        <w:t xml:space="preserve"> : la liberté d’expression peut être restreinte pour faire respecter le principe de la présomption d’innocence. Exemple de mise en balance : à propos de la diffusion du film « Grâce à Dieu », </w:t>
      </w:r>
      <w:r>
        <w:rPr>
          <w:rFonts w:ascii="Calibri" w:eastAsia="Calibri" w:hAnsi="Calibri" w:cs="Calibri"/>
          <w:color w:val="E91E63"/>
        </w:rPr>
        <w:t>Cass., 6 janvier 2021</w:t>
      </w:r>
      <w:r>
        <w:rPr>
          <w:rFonts w:ascii="Calibri" w:eastAsia="Calibri" w:hAnsi="Calibri" w:cs="Calibri"/>
          <w:color w:val="1A1A1A"/>
        </w:rPr>
        <w:t xml:space="preserve"> opère un contrôle de proportionnalité en reprenant la méthode européenne de l’affaire </w:t>
      </w:r>
      <w:r>
        <w:rPr>
          <w:rFonts w:ascii="Calibri" w:eastAsia="Calibri" w:hAnsi="Calibri" w:cs="Calibri"/>
          <w:color w:val="E91E63"/>
        </w:rPr>
        <w:t>Bédat c. Suisse</w:t>
      </w:r>
      <w:r>
        <w:rPr>
          <w:rFonts w:ascii="Calibri" w:eastAsia="Calibri" w:hAnsi="Calibri" w:cs="Calibri"/>
          <w:color w:val="1A1A1A"/>
        </w:rPr>
        <w:t xml:space="preserve"> (2016) et juge que la suspension du film avant jugement n’était pas nécessaire.</w:t>
      </w:r>
    </w:p>
    <w:p w14:paraId="0FB9E0BF"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Les dérives observées</w:t>
      </w:r>
      <w:r>
        <w:rPr>
          <w:rFonts w:ascii="Calibri" w:eastAsia="Calibri" w:hAnsi="Calibri" w:cs="Calibri"/>
          <w:color w:val="1A1A1A"/>
        </w:rPr>
        <w:t xml:space="preserve"> : des affaires surexposées médiatiquement ont mené à des « catastrophes judiciaires » — l’</w:t>
      </w:r>
      <w:r>
        <w:rPr>
          <w:rFonts w:ascii="Calibri" w:eastAsia="Calibri" w:hAnsi="Calibri" w:cs="Calibri"/>
          <w:b/>
          <w:bCs/>
          <w:color w:val="1A1A1A"/>
        </w:rPr>
        <w:t>affaire d’Outreau</w:t>
      </w:r>
      <w:r>
        <w:rPr>
          <w:rFonts w:ascii="Calibri" w:eastAsia="Calibri" w:hAnsi="Calibri" w:cs="Calibri"/>
          <w:color w:val="1A1A1A"/>
        </w:rPr>
        <w:t>, dont une commission d’enquête parlementaire a évoqué en 2006 la pression médiatique excessive. La forte exposition médiatique mène également à une remise en cause du principe d’</w:t>
      </w:r>
      <w:r>
        <w:rPr>
          <w:rFonts w:ascii="Calibri" w:eastAsia="Calibri" w:hAnsi="Calibri" w:cs="Calibri"/>
          <w:b/>
          <w:bCs/>
          <w:color w:val="1A1A1A"/>
        </w:rPr>
        <w:t>irresponsabilité pénale</w:t>
      </w:r>
      <w:r>
        <w:rPr>
          <w:rFonts w:ascii="Calibri" w:eastAsia="Calibri" w:hAnsi="Calibri" w:cs="Calibri"/>
          <w:color w:val="1A1A1A"/>
        </w:rPr>
        <w:t xml:space="preserve"> (affaire Sarah Halimi et modification de l’</w:t>
      </w:r>
      <w:r>
        <w:rPr>
          <w:rFonts w:ascii="Calibri" w:eastAsia="Calibri" w:hAnsi="Calibri" w:cs="Calibri"/>
          <w:color w:val="1E88E5"/>
        </w:rPr>
        <w:t>art. 122-1-1 C. pén.</w:t>
      </w:r>
      <w:r>
        <w:rPr>
          <w:rFonts w:ascii="Calibri" w:eastAsia="Calibri" w:hAnsi="Calibri" w:cs="Calibri"/>
          <w:color w:val="1A1A1A"/>
        </w:rPr>
        <w:t xml:space="preserve"> en 2022) et à des discours en faveur de </w:t>
      </w:r>
      <w:r>
        <w:rPr>
          <w:rFonts w:ascii="Calibri" w:eastAsia="Calibri" w:hAnsi="Calibri" w:cs="Calibri"/>
          <w:b/>
          <w:bCs/>
          <w:color w:val="1A1A1A"/>
        </w:rPr>
        <w:t>peines automatiques</w:t>
      </w:r>
      <w:r>
        <w:rPr>
          <w:rFonts w:ascii="Calibri" w:eastAsia="Calibri" w:hAnsi="Calibri" w:cs="Calibri"/>
          <w:color w:val="1A1A1A"/>
        </w:rPr>
        <w:t xml:space="preserve">, au détriment du principe d’individualisation. Ces carences d’encadrement donnent lieu à un « </w:t>
      </w:r>
      <w:r>
        <w:rPr>
          <w:rFonts w:ascii="Calibri" w:eastAsia="Calibri" w:hAnsi="Calibri" w:cs="Calibri"/>
          <w:b/>
          <w:bCs/>
          <w:color w:val="1A1A1A"/>
        </w:rPr>
        <w:t>populisme pénal</w:t>
      </w:r>
      <w:r>
        <w:rPr>
          <w:rFonts w:ascii="Calibri" w:eastAsia="Calibri" w:hAnsi="Calibri" w:cs="Calibri"/>
          <w:color w:val="1A1A1A"/>
        </w:rPr>
        <w:t xml:space="preserve"> » susceptible de perturber le travail des acteurs de la justice et de diffuser des désinformations sur les règles juridiques en matière pénale.</w:t>
      </w:r>
    </w:p>
    <w:p w14:paraId="68EFC764" w14:textId="77777777" w:rsidR="00520D98" w:rsidRDefault="00000000">
      <w:pPr>
        <w:pStyle w:val="Titre2"/>
        <w:spacing w:before="280" w:after="120"/>
      </w:pPr>
      <w:r>
        <w:rPr>
          <w:rFonts w:ascii="Calibri" w:eastAsia="Calibri" w:hAnsi="Calibri" w:cs="Calibri"/>
          <w:b/>
          <w:bCs/>
          <w:color w:val="1A1A1A"/>
          <w:sz w:val="24"/>
          <w:szCs w:val="24"/>
        </w:rPr>
        <w:t>6. Dispositif « Grand Oral »</w:t>
      </w:r>
    </w:p>
    <w:p w14:paraId="51C13685" w14:textId="77777777" w:rsidR="00520D98" w:rsidRDefault="00000000">
      <w:pPr>
        <w:pStyle w:val="Titre3"/>
        <w:spacing w:before="200" w:after="90"/>
      </w:pPr>
      <w:r>
        <w:rPr>
          <w:rFonts w:ascii="Calibri" w:eastAsia="Calibri" w:hAnsi="Calibri" w:cs="Calibri"/>
          <w:b/>
          <w:bCs/>
          <w:i/>
          <w:iCs/>
          <w:color w:val="5A5A5A"/>
          <w:sz w:val="21"/>
          <w:szCs w:val="21"/>
        </w:rPr>
        <w:t>6.1. Trois relances / questions pièges</w:t>
      </w:r>
    </w:p>
    <w:p w14:paraId="7C557B6F"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Le cumul des sanctions pénales et administratives est-il possible en France ? »</w:t>
      </w:r>
      <w:r>
        <w:rPr>
          <w:rFonts w:ascii="Calibri" w:eastAsia="Calibri" w:hAnsi="Calibri" w:cs="Calibri"/>
          <w:color w:val="1A1A1A"/>
        </w:rPr>
        <w:t xml:space="preserve"> — Oui, en raison de la </w:t>
      </w:r>
      <w:r>
        <w:rPr>
          <w:rFonts w:ascii="Calibri" w:eastAsia="Calibri" w:hAnsi="Calibri" w:cs="Calibri"/>
          <w:b/>
          <w:bCs/>
          <w:color w:val="1A1A1A"/>
        </w:rPr>
        <w:t>réserve française</w:t>
      </w:r>
      <w:r>
        <w:rPr>
          <w:rFonts w:ascii="Calibri" w:eastAsia="Calibri" w:hAnsi="Calibri" w:cs="Calibri"/>
          <w:color w:val="1A1A1A"/>
        </w:rPr>
        <w:t xml:space="preserve"> au Protocole n° 7 limitant le </w:t>
      </w:r>
      <w:r>
        <w:rPr>
          <w:rFonts w:ascii="Calibri" w:eastAsia="Calibri" w:hAnsi="Calibri" w:cs="Calibri"/>
          <w:i/>
          <w:iCs/>
          <w:color w:val="1A1A1A"/>
        </w:rPr>
        <w:t>non bis in idem</w:t>
      </w:r>
      <w:r>
        <w:rPr>
          <w:rFonts w:ascii="Calibri" w:eastAsia="Calibri" w:hAnsi="Calibri" w:cs="Calibri"/>
          <w:color w:val="1A1A1A"/>
        </w:rPr>
        <w:t xml:space="preserve"> à la matière pénale. Mais le Conseil constitutionnel encadre le cumul par le principe de proportionnalité : le montant global des sanctions ne peut dépasser le montant le plus élevé de l’une des sanctions encourues (</w:t>
      </w:r>
      <w:r>
        <w:rPr>
          <w:rFonts w:ascii="Calibri" w:eastAsia="Calibri" w:hAnsi="Calibri" w:cs="Calibri"/>
          <w:color w:val="E91E63"/>
        </w:rPr>
        <w:t>2021-953 QPC</w:t>
      </w:r>
      <w:r>
        <w:rPr>
          <w:rFonts w:ascii="Calibri" w:eastAsia="Calibri" w:hAnsi="Calibri" w:cs="Calibri"/>
          <w:color w:val="1A1A1A"/>
        </w:rPr>
        <w:t>). Et la Cour européenne s’y oppose si la poursuite administrative relève matériellement de la matière pénale (</w:t>
      </w:r>
      <w:r>
        <w:rPr>
          <w:rFonts w:ascii="Calibri" w:eastAsia="Calibri" w:hAnsi="Calibri" w:cs="Calibri"/>
          <w:color w:val="E91E63"/>
        </w:rPr>
        <w:t>Zolotoukhine</w:t>
      </w:r>
      <w:r>
        <w:rPr>
          <w:rFonts w:ascii="Calibri" w:eastAsia="Calibri" w:hAnsi="Calibri" w:cs="Calibri"/>
          <w:color w:val="1A1A1A"/>
        </w:rPr>
        <w:t>).</w:t>
      </w:r>
    </w:p>
    <w:p w14:paraId="766D3979"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Une loi pénale peut-elle rétroagir ? »</w:t>
      </w:r>
      <w:r>
        <w:rPr>
          <w:rFonts w:ascii="Calibri" w:eastAsia="Calibri" w:hAnsi="Calibri" w:cs="Calibri"/>
          <w:color w:val="1A1A1A"/>
        </w:rPr>
        <w:t xml:space="preserve"> — Jamais </w:t>
      </w:r>
      <w:r>
        <w:rPr>
          <w:rFonts w:ascii="Calibri" w:eastAsia="Calibri" w:hAnsi="Calibri" w:cs="Calibri"/>
          <w:i/>
          <w:iCs/>
          <w:color w:val="1A1A1A"/>
        </w:rPr>
        <w:t>in pejus</w:t>
      </w:r>
      <w:r>
        <w:rPr>
          <w:rFonts w:ascii="Calibri" w:eastAsia="Calibri" w:hAnsi="Calibri" w:cs="Calibri"/>
          <w:color w:val="1A1A1A"/>
        </w:rPr>
        <w:t xml:space="preserve"> (</w:t>
      </w:r>
      <w:r>
        <w:rPr>
          <w:rFonts w:ascii="Calibri" w:eastAsia="Calibri" w:hAnsi="Calibri" w:cs="Calibri"/>
          <w:color w:val="1E88E5"/>
        </w:rPr>
        <w:t>art. 8 DDHC</w:t>
      </w:r>
      <w:r>
        <w:rPr>
          <w:rFonts w:ascii="Calibri" w:eastAsia="Calibri" w:hAnsi="Calibri" w:cs="Calibri"/>
          <w:color w:val="1A1A1A"/>
        </w:rPr>
        <w:t xml:space="preserve">), toujours </w:t>
      </w:r>
      <w:r>
        <w:rPr>
          <w:rFonts w:ascii="Calibri" w:eastAsia="Calibri" w:hAnsi="Calibri" w:cs="Calibri"/>
          <w:i/>
          <w:iCs/>
          <w:color w:val="1A1A1A"/>
        </w:rPr>
        <w:t>in mitius</w:t>
      </w:r>
      <w:r>
        <w:rPr>
          <w:rFonts w:ascii="Calibri" w:eastAsia="Calibri" w:hAnsi="Calibri" w:cs="Calibri"/>
          <w:color w:val="1A1A1A"/>
        </w:rPr>
        <w:t xml:space="preserve"> (</w:t>
      </w:r>
      <w:r>
        <w:rPr>
          <w:rFonts w:ascii="Calibri" w:eastAsia="Calibri" w:hAnsi="Calibri" w:cs="Calibri"/>
          <w:color w:val="1E88E5"/>
        </w:rPr>
        <w:t>art. 112-1 C. pén.</w:t>
      </w:r>
      <w:r>
        <w:rPr>
          <w:rFonts w:ascii="Calibri" w:eastAsia="Calibri" w:hAnsi="Calibri" w:cs="Calibri"/>
          <w:color w:val="1A1A1A"/>
        </w:rPr>
        <w:t xml:space="preserve"> ; </w:t>
      </w:r>
      <w:r>
        <w:rPr>
          <w:rFonts w:ascii="Calibri" w:eastAsia="Calibri" w:hAnsi="Calibri" w:cs="Calibri"/>
          <w:color w:val="E91E63"/>
        </w:rPr>
        <w:t>Scoppola</w:t>
      </w:r>
      <w:r>
        <w:rPr>
          <w:rFonts w:ascii="Calibri" w:eastAsia="Calibri" w:hAnsi="Calibri" w:cs="Calibri"/>
          <w:color w:val="1A1A1A"/>
        </w:rPr>
        <w:t xml:space="preserve"> ; </w:t>
      </w:r>
      <w:r>
        <w:rPr>
          <w:rFonts w:ascii="Calibri" w:eastAsia="Calibri" w:hAnsi="Calibri" w:cs="Calibri"/>
          <w:color w:val="E91E63"/>
        </w:rPr>
        <w:t>Berlusconi</w:t>
      </w:r>
      <w:r>
        <w:rPr>
          <w:rFonts w:ascii="Calibri" w:eastAsia="Calibri" w:hAnsi="Calibri" w:cs="Calibri"/>
          <w:color w:val="1A1A1A"/>
        </w:rPr>
        <w:t xml:space="preserve">). Le caractère plus doux s’apprécie au regard de la réduction du champ de l’infraction ou du </w:t>
      </w:r>
      <w:r>
        <w:rPr>
          <w:rFonts w:ascii="Calibri" w:eastAsia="Calibri" w:hAnsi="Calibri" w:cs="Calibri"/>
          <w:i/>
          <w:iCs/>
          <w:color w:val="1A1A1A"/>
        </w:rPr>
        <w:t>quantum</w:t>
      </w:r>
      <w:r>
        <w:rPr>
          <w:rFonts w:ascii="Calibri" w:eastAsia="Calibri" w:hAnsi="Calibri" w:cs="Calibri"/>
          <w:color w:val="1A1A1A"/>
        </w:rPr>
        <w:t xml:space="preserve"> de peine.</w:t>
      </w:r>
    </w:p>
    <w:p w14:paraId="5742C33A" w14:textId="77777777" w:rsidR="00520D98" w:rsidRPr="00A123FC" w:rsidRDefault="00000000">
      <w:pPr>
        <w:pStyle w:val="Paragraphedeliste"/>
        <w:numPr>
          <w:ilvl w:val="0"/>
          <w:numId w:val="2"/>
        </w:numPr>
        <w:spacing w:after="70" w:line="264" w:lineRule="auto"/>
        <w:jc w:val="both"/>
      </w:pPr>
      <w:r>
        <w:rPr>
          <w:rFonts w:ascii="Calibri" w:eastAsia="Calibri" w:hAnsi="Calibri" w:cs="Calibri"/>
          <w:b/>
          <w:bCs/>
          <w:color w:val="1A1A1A"/>
        </w:rPr>
        <w:t>« Les peines planchers sont-elles conformes à la Constitution ? »</w:t>
      </w:r>
      <w:r>
        <w:rPr>
          <w:rFonts w:ascii="Calibri" w:eastAsia="Calibri" w:hAnsi="Calibri" w:cs="Calibri"/>
          <w:color w:val="1A1A1A"/>
        </w:rPr>
        <w:t xml:space="preserve"> — La question se résout par le principe d’</w:t>
      </w:r>
      <w:r>
        <w:rPr>
          <w:rFonts w:ascii="Calibri" w:eastAsia="Calibri" w:hAnsi="Calibri" w:cs="Calibri"/>
          <w:b/>
          <w:bCs/>
          <w:color w:val="1A1A1A"/>
        </w:rPr>
        <w:t>individualisation</w:t>
      </w:r>
      <w:r>
        <w:rPr>
          <w:rFonts w:ascii="Calibri" w:eastAsia="Calibri" w:hAnsi="Calibri" w:cs="Calibri"/>
          <w:color w:val="1A1A1A"/>
        </w:rPr>
        <w:t xml:space="preserve"> : les peines strictement automatiques, privant le juge de tout pouvoir d’appréciation, y sont contraires ; mais le principe n’impose pas de déterminer la peine exclusivement selon la personnalité de l’auteur (</w:t>
      </w:r>
      <w:r>
        <w:rPr>
          <w:rFonts w:ascii="Calibri" w:eastAsia="Calibri" w:hAnsi="Calibri" w:cs="Calibri"/>
          <w:color w:val="E91E63"/>
        </w:rPr>
        <w:t>2007-554 DC</w:t>
      </w:r>
      <w:r>
        <w:rPr>
          <w:rFonts w:ascii="Calibri" w:eastAsia="Calibri" w:hAnsi="Calibri" w:cs="Calibri"/>
          <w:color w:val="1A1A1A"/>
        </w:rPr>
        <w:t>).</w:t>
      </w:r>
    </w:p>
    <w:p w14:paraId="6B4AF68F" w14:textId="77777777" w:rsidR="00A123FC" w:rsidRDefault="00A123FC" w:rsidP="00A123FC">
      <w:pPr>
        <w:pStyle w:val="Paragraphedeliste"/>
        <w:spacing w:after="70" w:line="264" w:lineRule="auto"/>
        <w:ind w:left="340"/>
        <w:jc w:val="both"/>
      </w:pPr>
    </w:p>
    <w:p w14:paraId="3748740B" w14:textId="77777777" w:rsidR="00520D98" w:rsidRDefault="00000000">
      <w:pPr>
        <w:pStyle w:val="Titre3"/>
        <w:spacing w:before="200" w:after="90"/>
      </w:pPr>
      <w:r>
        <w:rPr>
          <w:rFonts w:ascii="Calibri" w:eastAsia="Calibri" w:hAnsi="Calibri" w:cs="Calibri"/>
          <w:b/>
          <w:bCs/>
          <w:i/>
          <w:iCs/>
          <w:color w:val="5A5A5A"/>
          <w:sz w:val="21"/>
          <w:szCs w:val="21"/>
        </w:rPr>
        <w:lastRenderedPageBreak/>
        <w:t>6.2. Sujets d’exposé rattachables</w:t>
      </w:r>
    </w:p>
    <w:p w14:paraId="71989A04"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Soutenez que la médiatisation des affaires judiciaires porte atteinte aux garanties fondamentales en matière pénale » (sujet d’argumentation expressément proposé par le fascicule).</w:t>
      </w:r>
    </w:p>
    <w:p w14:paraId="06598B5C"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Le principe de légalité des délits et des peines » ; « La présomption d’innocence ».</w:t>
      </w:r>
    </w:p>
    <w:p w14:paraId="3443FE4C"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i/>
          <w:iCs/>
          <w:color w:val="1A1A1A"/>
        </w:rPr>
        <w:t>Non bis in idem</w:t>
      </w:r>
      <w:r>
        <w:rPr>
          <w:rFonts w:ascii="Calibri" w:eastAsia="Calibri" w:hAnsi="Calibri" w:cs="Calibri"/>
          <w:color w:val="1A1A1A"/>
        </w:rPr>
        <w:t xml:space="preserve"> » ; « L’individualisation des peines ».</w:t>
      </w:r>
    </w:p>
    <w:p w14:paraId="2F7F7417" w14:textId="77777777" w:rsidR="00520D98" w:rsidRDefault="00000000">
      <w:pPr>
        <w:pStyle w:val="Paragraphedeliste"/>
        <w:numPr>
          <w:ilvl w:val="0"/>
          <w:numId w:val="2"/>
        </w:numPr>
        <w:spacing w:after="70" w:line="264" w:lineRule="auto"/>
        <w:jc w:val="both"/>
      </w:pPr>
      <w:r>
        <w:rPr>
          <w:rFonts w:ascii="Calibri" w:eastAsia="Calibri" w:hAnsi="Calibri" w:cs="Calibri"/>
          <w:color w:val="1A1A1A"/>
        </w:rPr>
        <w:t>« Les droits de la défense face à la criminalité organisée » ; « Le secret professionnel de l’avocat ».</w:t>
      </w:r>
    </w:p>
    <w:p w14:paraId="47955EF6" w14:textId="77777777" w:rsidR="00520D98" w:rsidRDefault="00000000">
      <w:pPr>
        <w:pStyle w:val="Titre3"/>
        <w:spacing w:before="200" w:after="90"/>
      </w:pPr>
      <w:r>
        <w:rPr>
          <w:rFonts w:ascii="Calibri" w:eastAsia="Calibri" w:hAnsi="Calibri" w:cs="Calibri"/>
          <w:b/>
          <w:bCs/>
          <w:i/>
          <w:iCs/>
          <w:color w:val="5A5A5A"/>
          <w:sz w:val="21"/>
          <w:szCs w:val="21"/>
        </w:rPr>
        <w:t>6.3. Angles morts — en question / réponse</w:t>
      </w:r>
    </w:p>
    <w:p w14:paraId="4868DD95"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 xml:space="preserve">Q. Le principe </w:t>
      </w:r>
      <w:r>
        <w:rPr>
          <w:rFonts w:ascii="Calibri" w:eastAsia="Calibri" w:hAnsi="Calibri" w:cs="Calibri"/>
          <w:b/>
          <w:bCs/>
          <w:i/>
          <w:iCs/>
          <w:color w:val="1A1A1A"/>
        </w:rPr>
        <w:t>non bis in idem</w:t>
      </w:r>
      <w:r>
        <w:rPr>
          <w:rFonts w:ascii="Calibri" w:eastAsia="Calibri" w:hAnsi="Calibri" w:cs="Calibri"/>
          <w:b/>
          <w:bCs/>
          <w:color w:val="1A1A1A"/>
        </w:rPr>
        <w:t xml:space="preserve"> figure-t-il dans la Constitution ?</w:t>
      </w:r>
      <w:r>
        <w:rPr>
          <w:rFonts w:ascii="Calibri" w:eastAsia="Calibri" w:hAnsi="Calibri" w:cs="Calibri"/>
          <w:color w:val="1A1A1A"/>
        </w:rPr>
        <w:t xml:space="preserve"> — Non : le Conseil constitutionnel le fait découler du </w:t>
      </w:r>
      <w:r>
        <w:rPr>
          <w:rFonts w:ascii="Calibri" w:eastAsia="Calibri" w:hAnsi="Calibri" w:cs="Calibri"/>
          <w:b/>
          <w:bCs/>
          <w:color w:val="1A1A1A"/>
        </w:rPr>
        <w:t>principe de nécessité des délits et des peines</w:t>
      </w:r>
      <w:r>
        <w:rPr>
          <w:rFonts w:ascii="Calibri" w:eastAsia="Calibri" w:hAnsi="Calibri" w:cs="Calibri"/>
          <w:color w:val="1A1A1A"/>
        </w:rPr>
        <w:t xml:space="preserve"> (</w:t>
      </w:r>
      <w:r>
        <w:rPr>
          <w:rFonts w:ascii="Calibri" w:eastAsia="Calibri" w:hAnsi="Calibri" w:cs="Calibri"/>
          <w:color w:val="1E88E5"/>
        </w:rPr>
        <w:t>art. 8 DDHC</w:t>
      </w:r>
      <w:r>
        <w:rPr>
          <w:rFonts w:ascii="Calibri" w:eastAsia="Calibri" w:hAnsi="Calibri" w:cs="Calibri"/>
          <w:color w:val="1A1A1A"/>
        </w:rPr>
        <w:t>).</w:t>
      </w:r>
    </w:p>
    <w:p w14:paraId="7A096B4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Les présomptions de culpabilité sont-elles interdites ?</w:t>
      </w:r>
      <w:r>
        <w:rPr>
          <w:rFonts w:ascii="Calibri" w:eastAsia="Calibri" w:hAnsi="Calibri" w:cs="Calibri"/>
          <w:color w:val="1A1A1A"/>
        </w:rPr>
        <w:t xml:space="preserve"> — Non, elles sont admises depuis </w:t>
      </w:r>
      <w:r>
        <w:rPr>
          <w:rFonts w:ascii="Calibri" w:eastAsia="Calibri" w:hAnsi="Calibri" w:cs="Calibri"/>
          <w:color w:val="E91E63"/>
        </w:rPr>
        <w:t>99-411 DC</w:t>
      </w:r>
      <w:r>
        <w:rPr>
          <w:rFonts w:ascii="Calibri" w:eastAsia="Calibri" w:hAnsi="Calibri" w:cs="Calibri"/>
          <w:color w:val="1A1A1A"/>
        </w:rPr>
        <w:t xml:space="preserve"> sous trois conditions : caractère non irréfragable, respect des droits de la défense, et faits induisant raisonnablement la vraisemblance de l’imputabilité. Exemple : </w:t>
      </w:r>
      <w:r>
        <w:rPr>
          <w:rFonts w:ascii="Calibri" w:eastAsia="Calibri" w:hAnsi="Calibri" w:cs="Calibri"/>
          <w:color w:val="1E88E5"/>
        </w:rPr>
        <w:t>art. 392, al. 1er du Code des douanes</w:t>
      </w:r>
      <w:r>
        <w:rPr>
          <w:rFonts w:ascii="Calibri" w:eastAsia="Calibri" w:hAnsi="Calibri" w:cs="Calibri"/>
          <w:color w:val="1A1A1A"/>
        </w:rPr>
        <w:t>.</w:t>
      </w:r>
    </w:p>
    <w:p w14:paraId="56656DF0"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Une sanction trop clémente est-elle inconstitutionnelle ?</w:t>
      </w:r>
      <w:r>
        <w:rPr>
          <w:rFonts w:ascii="Calibri" w:eastAsia="Calibri" w:hAnsi="Calibri" w:cs="Calibri"/>
          <w:color w:val="1A1A1A"/>
        </w:rPr>
        <w:t xml:space="preserve"> — Non : le contrôle porte sur l’absence de </w:t>
      </w:r>
      <w:r>
        <w:rPr>
          <w:rFonts w:ascii="Calibri" w:eastAsia="Calibri" w:hAnsi="Calibri" w:cs="Calibri"/>
          <w:b/>
          <w:bCs/>
          <w:color w:val="1A1A1A"/>
        </w:rPr>
        <w:t>disproportion manifeste</w:t>
      </w:r>
      <w:r>
        <w:rPr>
          <w:rFonts w:ascii="Calibri" w:eastAsia="Calibri" w:hAnsi="Calibri" w:cs="Calibri"/>
          <w:color w:val="1A1A1A"/>
        </w:rPr>
        <w:t xml:space="preserve"> ; l’insuffisante sévérité ne méconnaît pas la proportionnalité (</w:t>
      </w:r>
      <w:r>
        <w:rPr>
          <w:rFonts w:ascii="Calibri" w:eastAsia="Calibri" w:hAnsi="Calibri" w:cs="Calibri"/>
          <w:color w:val="E91E63"/>
        </w:rPr>
        <w:t>2019-795 DC</w:t>
      </w:r>
      <w:r>
        <w:rPr>
          <w:rFonts w:ascii="Calibri" w:eastAsia="Calibri" w:hAnsi="Calibri" w:cs="Calibri"/>
          <w:color w:val="1A1A1A"/>
        </w:rPr>
        <w:t>).</w:t>
      </w:r>
    </w:p>
    <w:p w14:paraId="0C3786A7"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Le délai de carence de deux heures existe-t-il encore en garde à vue ?</w:t>
      </w:r>
      <w:r>
        <w:rPr>
          <w:rFonts w:ascii="Calibri" w:eastAsia="Calibri" w:hAnsi="Calibri" w:cs="Calibri"/>
          <w:color w:val="1A1A1A"/>
        </w:rPr>
        <w:t xml:space="preserve"> — Non : supprimé par la </w:t>
      </w:r>
      <w:r>
        <w:rPr>
          <w:rFonts w:ascii="Calibri" w:eastAsia="Calibri" w:hAnsi="Calibri" w:cs="Calibri"/>
          <w:color w:val="1E88E5"/>
        </w:rPr>
        <w:t>loi du 22 avril 2024</w:t>
      </w:r>
      <w:r>
        <w:rPr>
          <w:rFonts w:ascii="Calibri" w:eastAsia="Calibri" w:hAnsi="Calibri" w:cs="Calibri"/>
          <w:color w:val="1A1A1A"/>
        </w:rPr>
        <w:t>. Aucune audition ne peut désormais commencer sans la présence de l’avocat, dont le droit d’accès au dossier a par ailleurs été étendu.</w:t>
      </w:r>
    </w:p>
    <w:p w14:paraId="49356ED0"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Abolition ou altération du discernement ?</w:t>
      </w:r>
      <w:r>
        <w:rPr>
          <w:rFonts w:ascii="Calibri" w:eastAsia="Calibri" w:hAnsi="Calibri" w:cs="Calibri"/>
          <w:color w:val="1A1A1A"/>
        </w:rPr>
        <w:t xml:space="preserve"> — L’</w:t>
      </w:r>
      <w:r>
        <w:rPr>
          <w:rFonts w:ascii="Calibri" w:eastAsia="Calibri" w:hAnsi="Calibri" w:cs="Calibri"/>
          <w:b/>
          <w:bCs/>
          <w:color w:val="1A1A1A"/>
        </w:rPr>
        <w:t>abolition</w:t>
      </w:r>
      <w:r>
        <w:rPr>
          <w:rFonts w:ascii="Calibri" w:eastAsia="Calibri" w:hAnsi="Calibri" w:cs="Calibri"/>
          <w:color w:val="1A1A1A"/>
        </w:rPr>
        <w:t xml:space="preserve"> entraîne l’irresponsabilité pénale (</w:t>
      </w:r>
      <w:r>
        <w:rPr>
          <w:rFonts w:ascii="Calibri" w:eastAsia="Calibri" w:hAnsi="Calibri" w:cs="Calibri"/>
          <w:color w:val="1E88E5"/>
        </w:rPr>
        <w:t>art. 122-1 C. pén.</w:t>
      </w:r>
      <w:r>
        <w:rPr>
          <w:rFonts w:ascii="Calibri" w:eastAsia="Calibri" w:hAnsi="Calibri" w:cs="Calibri"/>
          <w:color w:val="1A1A1A"/>
        </w:rPr>
        <w:t>) ; l’</w:t>
      </w:r>
      <w:r>
        <w:rPr>
          <w:rFonts w:ascii="Calibri" w:eastAsia="Calibri" w:hAnsi="Calibri" w:cs="Calibri"/>
          <w:b/>
          <w:bCs/>
          <w:color w:val="1A1A1A"/>
        </w:rPr>
        <w:t>altération</w:t>
      </w:r>
      <w:r>
        <w:rPr>
          <w:rFonts w:ascii="Calibri" w:eastAsia="Calibri" w:hAnsi="Calibri" w:cs="Calibri"/>
          <w:color w:val="1A1A1A"/>
        </w:rPr>
        <w:t xml:space="preserve"> non. Dans les deux cas, la </w:t>
      </w:r>
      <w:r>
        <w:rPr>
          <w:rFonts w:ascii="Calibri" w:eastAsia="Calibri" w:hAnsi="Calibri" w:cs="Calibri"/>
          <w:b/>
          <w:bCs/>
          <w:color w:val="1A1A1A"/>
        </w:rPr>
        <w:t>responsabilité civile est maintenue</w:t>
      </w:r>
      <w:r>
        <w:rPr>
          <w:rFonts w:ascii="Calibri" w:eastAsia="Calibri" w:hAnsi="Calibri" w:cs="Calibri"/>
          <w:color w:val="1A1A1A"/>
        </w:rPr>
        <w:t>. Et l’abolition temporaire résultant d’une consommation volontaire de substances psychoactives dans le dessein de commettre l’infraction ne peut être retenue (</w:t>
      </w:r>
      <w:r>
        <w:rPr>
          <w:rFonts w:ascii="Calibri" w:eastAsia="Calibri" w:hAnsi="Calibri" w:cs="Calibri"/>
          <w:color w:val="1E88E5"/>
        </w:rPr>
        <w:t>art. 122-1-1</w:t>
      </w:r>
      <w:r>
        <w:rPr>
          <w:rFonts w:ascii="Calibri" w:eastAsia="Calibri" w:hAnsi="Calibri" w:cs="Calibri"/>
          <w:color w:val="1A1A1A"/>
        </w:rPr>
        <w:t>).</w:t>
      </w:r>
    </w:p>
    <w:p w14:paraId="21E8F99B"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Q. Qu’a censuré le Conseil constitutionnel dans la loi narcotrafic ?</w:t>
      </w:r>
      <w:r>
        <w:rPr>
          <w:rFonts w:ascii="Calibri" w:eastAsia="Calibri" w:hAnsi="Calibri" w:cs="Calibri"/>
          <w:color w:val="1A1A1A"/>
        </w:rPr>
        <w:t xml:space="preserve"> — Six articles totalement ou partiellement, dont l’</w:t>
      </w:r>
      <w:r>
        <w:rPr>
          <w:rFonts w:ascii="Calibri" w:eastAsia="Calibri" w:hAnsi="Calibri" w:cs="Calibri"/>
          <w:b/>
          <w:bCs/>
          <w:color w:val="1A1A1A"/>
        </w:rPr>
        <w:t>article 40</w:t>
      </w:r>
      <w:r>
        <w:rPr>
          <w:rFonts w:ascii="Calibri" w:eastAsia="Calibri" w:hAnsi="Calibri" w:cs="Calibri"/>
          <w:color w:val="1A1A1A"/>
        </w:rPr>
        <w:t xml:space="preserve"> (« dossier coffre »), contraire aux droits de la défense, et l’</w:t>
      </w:r>
      <w:r>
        <w:rPr>
          <w:rFonts w:ascii="Calibri" w:eastAsia="Calibri" w:hAnsi="Calibri" w:cs="Calibri"/>
          <w:b/>
          <w:bCs/>
          <w:color w:val="1A1A1A"/>
        </w:rPr>
        <w:t>article 56</w:t>
      </w:r>
      <w:r>
        <w:rPr>
          <w:rFonts w:ascii="Calibri" w:eastAsia="Calibri" w:hAnsi="Calibri" w:cs="Calibri"/>
          <w:color w:val="1A1A1A"/>
        </w:rPr>
        <w:t xml:space="preserve"> (recours exclusif à la visioconférence pour les personnes en quartier de lutte contre la criminalité organisée).</w:t>
      </w:r>
    </w:p>
    <w:p w14:paraId="01BC7333" w14:textId="77777777" w:rsidR="00520D98" w:rsidRDefault="00000000">
      <w:r>
        <w:br w:type="page"/>
      </w:r>
    </w:p>
    <w:p w14:paraId="359C0E5F" w14:textId="77777777" w:rsidR="00520D98"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ANNEXE — COMPLÉMENTS À LA CHRONOLOGIE ET À L’INDEX (Partie VI-B)</w:t>
      </w:r>
    </w:p>
    <w:p w14:paraId="3EE017C0" w14:textId="77777777" w:rsidR="00520D98" w:rsidRDefault="00000000">
      <w:pPr>
        <w:pStyle w:val="Titre2"/>
        <w:spacing w:before="280" w:after="120"/>
      </w:pPr>
      <w:r>
        <w:rPr>
          <w:rFonts w:ascii="Calibri" w:eastAsia="Calibri" w:hAnsi="Calibri" w:cs="Calibri"/>
          <w:b/>
          <w:bCs/>
          <w:color w:val="1A1A1A"/>
          <w:sz w:val="24"/>
          <w:szCs w:val="24"/>
        </w:rPr>
        <w:t>I. Ajouts à la chronologie transversale</w:t>
      </w:r>
    </w:p>
    <w:p w14:paraId="35FBE4F0"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1944</w:t>
      </w:r>
      <w:r>
        <w:rPr>
          <w:rFonts w:ascii="Calibri" w:eastAsia="Calibri" w:hAnsi="Calibri" w:cs="Calibri"/>
          <w:color w:val="1A1A1A"/>
        </w:rPr>
        <w:t xml:space="preserve"> </w:t>
      </w:r>
      <w:r>
        <w:rPr>
          <w:rFonts w:ascii="Calibri" w:eastAsia="Calibri" w:hAnsi="Calibri" w:cs="Calibri"/>
          <w:color w:val="E91E63"/>
        </w:rPr>
        <w:t>CE, Dame Veuve Trompier Gravier</w:t>
      </w:r>
      <w:r>
        <w:rPr>
          <w:rFonts w:ascii="Calibri" w:eastAsia="Calibri" w:hAnsi="Calibri" w:cs="Calibri"/>
          <w:color w:val="1A1A1A"/>
        </w:rPr>
        <w:t xml:space="preserve"> — </w:t>
      </w:r>
      <w:r>
        <w:rPr>
          <w:rFonts w:ascii="Calibri" w:eastAsia="Calibri" w:hAnsi="Calibri" w:cs="Calibri"/>
          <w:b/>
          <w:bCs/>
          <w:color w:val="1A1A1A"/>
        </w:rPr>
        <w:t>1947</w:t>
      </w:r>
      <w:r>
        <w:rPr>
          <w:rFonts w:ascii="Calibri" w:eastAsia="Calibri" w:hAnsi="Calibri" w:cs="Calibri"/>
          <w:color w:val="1A1A1A"/>
        </w:rPr>
        <w:t xml:space="preserve"> </w:t>
      </w:r>
      <w:r>
        <w:rPr>
          <w:rFonts w:ascii="Calibri" w:eastAsia="Calibri" w:hAnsi="Calibri" w:cs="Calibri"/>
          <w:color w:val="E91E63"/>
        </w:rPr>
        <w:t>CE, Ass., d’Aillières</w:t>
      </w:r>
      <w:r>
        <w:rPr>
          <w:rFonts w:ascii="Calibri" w:eastAsia="Calibri" w:hAnsi="Calibri" w:cs="Calibri"/>
          <w:color w:val="1A1A1A"/>
        </w:rPr>
        <w:t xml:space="preserve"> — </w:t>
      </w:r>
      <w:r>
        <w:rPr>
          <w:rFonts w:ascii="Calibri" w:eastAsia="Calibri" w:hAnsi="Calibri" w:cs="Calibri"/>
          <w:b/>
          <w:bCs/>
          <w:color w:val="1A1A1A"/>
        </w:rPr>
        <w:t>1950</w:t>
      </w:r>
      <w:r>
        <w:rPr>
          <w:rFonts w:ascii="Calibri" w:eastAsia="Calibri" w:hAnsi="Calibri" w:cs="Calibri"/>
          <w:color w:val="1A1A1A"/>
        </w:rPr>
        <w:t xml:space="preserve"> </w:t>
      </w:r>
      <w:r>
        <w:rPr>
          <w:rFonts w:ascii="Calibri" w:eastAsia="Calibri" w:hAnsi="Calibri" w:cs="Calibri"/>
          <w:color w:val="E91E63"/>
        </w:rPr>
        <w:t>CE, Ass., Dame Lamotte</w:t>
      </w:r>
      <w:r>
        <w:rPr>
          <w:rFonts w:ascii="Calibri" w:eastAsia="Calibri" w:hAnsi="Calibri" w:cs="Calibri"/>
          <w:color w:val="1A1A1A"/>
        </w:rPr>
        <w:t xml:space="preserve"> — </w:t>
      </w:r>
      <w:r>
        <w:rPr>
          <w:rFonts w:ascii="Calibri" w:eastAsia="Calibri" w:hAnsi="Calibri" w:cs="Calibri"/>
          <w:b/>
          <w:bCs/>
          <w:color w:val="1A1A1A"/>
        </w:rPr>
        <w:t>1961</w:t>
      </w:r>
      <w:r>
        <w:rPr>
          <w:rFonts w:ascii="Calibri" w:eastAsia="Calibri" w:hAnsi="Calibri" w:cs="Calibri"/>
          <w:color w:val="1A1A1A"/>
        </w:rPr>
        <w:t xml:space="preserve"> </w:t>
      </w:r>
      <w:r>
        <w:rPr>
          <w:rFonts w:ascii="Calibri" w:eastAsia="Calibri" w:hAnsi="Calibri" w:cs="Calibri"/>
          <w:color w:val="E91E63"/>
        </w:rPr>
        <w:t xml:space="preserve">CE, Société La </w:t>
      </w:r>
      <w:proofErr w:type="spellStart"/>
      <w:r>
        <w:rPr>
          <w:rFonts w:ascii="Calibri" w:eastAsia="Calibri" w:hAnsi="Calibri" w:cs="Calibri"/>
          <w:color w:val="E91E63"/>
        </w:rPr>
        <w:t>Huta</w:t>
      </w:r>
      <w:proofErr w:type="spellEnd"/>
      <w:r>
        <w:rPr>
          <w:rFonts w:ascii="Calibri" w:eastAsia="Calibri" w:hAnsi="Calibri" w:cs="Calibri"/>
          <w:color w:val="1A1A1A"/>
        </w:rPr>
        <w:t xml:space="preserve"> — </w:t>
      </w:r>
      <w:r>
        <w:rPr>
          <w:rFonts w:ascii="Calibri" w:eastAsia="Calibri" w:hAnsi="Calibri" w:cs="Calibri"/>
          <w:b/>
          <w:bCs/>
          <w:color w:val="1A1A1A"/>
        </w:rPr>
        <w:t>1968</w:t>
      </w:r>
      <w:r>
        <w:rPr>
          <w:rFonts w:ascii="Calibri" w:eastAsia="Calibri" w:hAnsi="Calibri" w:cs="Calibri"/>
          <w:color w:val="1A1A1A"/>
        </w:rPr>
        <w:t xml:space="preserve"> </w:t>
      </w:r>
      <w:r>
        <w:rPr>
          <w:rFonts w:ascii="Calibri" w:eastAsia="Calibri" w:hAnsi="Calibri" w:cs="Calibri"/>
          <w:color w:val="E91E63"/>
        </w:rPr>
        <w:t>CEDH, Wemhoff</w:t>
      </w:r>
      <w:r>
        <w:rPr>
          <w:rFonts w:ascii="Calibri" w:eastAsia="Calibri" w:hAnsi="Calibri" w:cs="Calibri"/>
          <w:color w:val="1A1A1A"/>
        </w:rPr>
        <w:t xml:space="preserve"> — </w:t>
      </w:r>
      <w:r>
        <w:rPr>
          <w:rFonts w:ascii="Calibri" w:eastAsia="Calibri" w:hAnsi="Calibri" w:cs="Calibri"/>
          <w:b/>
          <w:bCs/>
          <w:color w:val="1A1A1A"/>
        </w:rPr>
        <w:t>1975</w:t>
      </w:r>
      <w:r>
        <w:rPr>
          <w:rFonts w:ascii="Calibri" w:eastAsia="Calibri" w:hAnsi="Calibri" w:cs="Calibri"/>
          <w:color w:val="1A1A1A"/>
        </w:rPr>
        <w:t xml:space="preserve"> </w:t>
      </w:r>
      <w:r>
        <w:rPr>
          <w:rFonts w:ascii="Calibri" w:eastAsia="Calibri" w:hAnsi="Calibri" w:cs="Calibri"/>
          <w:color w:val="E91E63"/>
        </w:rPr>
        <w:t>CEDH, Golder</w:t>
      </w:r>
      <w:r>
        <w:rPr>
          <w:rFonts w:ascii="Calibri" w:eastAsia="Calibri" w:hAnsi="Calibri" w:cs="Calibri"/>
          <w:color w:val="1A1A1A"/>
        </w:rPr>
        <w:t xml:space="preserve"> — </w:t>
      </w:r>
      <w:r>
        <w:rPr>
          <w:rFonts w:ascii="Calibri" w:eastAsia="Calibri" w:hAnsi="Calibri" w:cs="Calibri"/>
          <w:b/>
          <w:bCs/>
          <w:color w:val="1A1A1A"/>
        </w:rPr>
        <w:t>1976</w:t>
      </w:r>
      <w:r>
        <w:rPr>
          <w:rFonts w:ascii="Calibri" w:eastAsia="Calibri" w:hAnsi="Calibri" w:cs="Calibri"/>
          <w:color w:val="1A1A1A"/>
        </w:rPr>
        <w:t xml:space="preserve"> </w:t>
      </w:r>
      <w:r>
        <w:rPr>
          <w:rFonts w:ascii="Calibri" w:eastAsia="Calibri" w:hAnsi="Calibri" w:cs="Calibri"/>
          <w:color w:val="E91E63"/>
        </w:rPr>
        <w:t>CEDH, Engel et a. c. Pays-Bas</w:t>
      </w:r>
      <w:r>
        <w:rPr>
          <w:rFonts w:ascii="Calibri" w:eastAsia="Calibri" w:hAnsi="Calibri" w:cs="Calibri"/>
          <w:color w:val="1A1A1A"/>
        </w:rPr>
        <w:t xml:space="preserve"> — </w:t>
      </w:r>
      <w:r>
        <w:rPr>
          <w:rFonts w:ascii="Calibri" w:eastAsia="Calibri" w:hAnsi="Calibri" w:cs="Calibri"/>
          <w:b/>
          <w:bCs/>
          <w:color w:val="1A1A1A"/>
        </w:rPr>
        <w:t>1980</w:t>
      </w:r>
      <w:r>
        <w:rPr>
          <w:rFonts w:ascii="Calibri" w:eastAsia="Calibri" w:hAnsi="Calibri" w:cs="Calibri"/>
          <w:color w:val="1A1A1A"/>
        </w:rPr>
        <w:t xml:space="preserve"> </w:t>
      </w:r>
      <w:r>
        <w:rPr>
          <w:rFonts w:ascii="Calibri" w:eastAsia="Calibri" w:hAnsi="Calibri" w:cs="Calibri"/>
          <w:color w:val="E91E63"/>
        </w:rPr>
        <w:t xml:space="preserve">CEDH, </w:t>
      </w:r>
      <w:proofErr w:type="spellStart"/>
      <w:r>
        <w:rPr>
          <w:rFonts w:ascii="Calibri" w:eastAsia="Calibri" w:hAnsi="Calibri" w:cs="Calibri"/>
          <w:color w:val="E91E63"/>
        </w:rPr>
        <w:t>Deweer</w:t>
      </w:r>
      <w:proofErr w:type="spellEnd"/>
      <w:r>
        <w:rPr>
          <w:rFonts w:ascii="Calibri" w:eastAsia="Calibri" w:hAnsi="Calibri" w:cs="Calibri"/>
          <w:color w:val="E91E63"/>
        </w:rPr>
        <w:t xml:space="preserve"> c. Belgique</w:t>
      </w:r>
      <w:r>
        <w:rPr>
          <w:rFonts w:ascii="Calibri" w:eastAsia="Calibri" w:hAnsi="Calibri" w:cs="Calibri"/>
          <w:color w:val="1A1A1A"/>
        </w:rPr>
        <w:t xml:space="preserve"> ; </w:t>
      </w:r>
      <w:r>
        <w:rPr>
          <w:rFonts w:ascii="Calibri" w:eastAsia="Calibri" w:hAnsi="Calibri" w:cs="Calibri"/>
          <w:color w:val="E91E63"/>
        </w:rPr>
        <w:t>Cons. const., 80-119 DC</w:t>
      </w:r>
      <w:r>
        <w:rPr>
          <w:rFonts w:ascii="Calibri" w:eastAsia="Calibri" w:hAnsi="Calibri" w:cs="Calibri"/>
          <w:color w:val="1A1A1A"/>
        </w:rPr>
        <w:t xml:space="preserve"> ; </w:t>
      </w:r>
      <w:r>
        <w:rPr>
          <w:rFonts w:ascii="Calibri" w:eastAsia="Calibri" w:hAnsi="Calibri" w:cs="Calibri"/>
          <w:color w:val="E91E63"/>
        </w:rPr>
        <w:t>Cons. const., 80-127 DC</w:t>
      </w:r>
      <w:r>
        <w:rPr>
          <w:rFonts w:ascii="Calibri" w:eastAsia="Calibri" w:hAnsi="Calibri" w:cs="Calibri"/>
          <w:color w:val="1A1A1A"/>
        </w:rPr>
        <w:t xml:space="preserve"> — </w:t>
      </w:r>
      <w:r>
        <w:rPr>
          <w:rFonts w:ascii="Calibri" w:eastAsia="Calibri" w:hAnsi="Calibri" w:cs="Calibri"/>
          <w:b/>
          <w:bCs/>
          <w:color w:val="1A1A1A"/>
        </w:rPr>
        <w:t>1981</w:t>
      </w:r>
      <w:r>
        <w:rPr>
          <w:rFonts w:ascii="Calibri" w:eastAsia="Calibri" w:hAnsi="Calibri" w:cs="Calibri"/>
          <w:color w:val="1A1A1A"/>
        </w:rPr>
        <w:t xml:space="preserve"> </w:t>
      </w:r>
      <w:r>
        <w:rPr>
          <w:rFonts w:ascii="Calibri" w:eastAsia="Calibri" w:hAnsi="Calibri" w:cs="Calibri"/>
          <w:color w:val="1E88E5"/>
        </w:rPr>
        <w:t>loi du 29 octobre</w:t>
      </w:r>
      <w:r>
        <w:rPr>
          <w:rFonts w:ascii="Calibri" w:eastAsia="Calibri" w:hAnsi="Calibri" w:cs="Calibri"/>
          <w:color w:val="1A1A1A"/>
        </w:rPr>
        <w:t xml:space="preserve"> (rétention administrative) — </w:t>
      </w:r>
      <w:r>
        <w:rPr>
          <w:rFonts w:ascii="Calibri" w:eastAsia="Calibri" w:hAnsi="Calibri" w:cs="Calibri"/>
          <w:b/>
          <w:bCs/>
          <w:color w:val="1A1A1A"/>
        </w:rPr>
        <w:t>1984</w:t>
      </w:r>
      <w:r>
        <w:rPr>
          <w:rFonts w:ascii="Calibri" w:eastAsia="Calibri" w:hAnsi="Calibri" w:cs="Calibri"/>
          <w:color w:val="1A1A1A"/>
        </w:rPr>
        <w:t xml:space="preserve"> </w:t>
      </w:r>
      <w:r>
        <w:rPr>
          <w:rFonts w:ascii="Calibri" w:eastAsia="Calibri" w:hAnsi="Calibri" w:cs="Calibri"/>
          <w:color w:val="E91E63"/>
        </w:rPr>
        <w:t>CEDH, Sramek c. Autriche</w:t>
      </w:r>
      <w:r>
        <w:rPr>
          <w:rFonts w:ascii="Calibri" w:eastAsia="Calibri" w:hAnsi="Calibri" w:cs="Calibri"/>
          <w:color w:val="1A1A1A"/>
        </w:rPr>
        <w:t xml:space="preserve"> — </w:t>
      </w:r>
      <w:r>
        <w:rPr>
          <w:rFonts w:ascii="Calibri" w:eastAsia="Calibri" w:hAnsi="Calibri" w:cs="Calibri"/>
          <w:b/>
          <w:bCs/>
          <w:color w:val="1A1A1A"/>
        </w:rPr>
        <w:t>1986</w:t>
      </w:r>
      <w:r>
        <w:rPr>
          <w:rFonts w:ascii="Calibri" w:eastAsia="Calibri" w:hAnsi="Calibri" w:cs="Calibri"/>
          <w:color w:val="1A1A1A"/>
        </w:rPr>
        <w:t xml:space="preserve"> </w:t>
      </w:r>
      <w:r>
        <w:rPr>
          <w:rFonts w:ascii="Calibri" w:eastAsia="Calibri" w:hAnsi="Calibri" w:cs="Calibri"/>
          <w:color w:val="E91E63"/>
        </w:rPr>
        <w:t>CJCE, Johnston</w:t>
      </w:r>
      <w:r>
        <w:rPr>
          <w:rFonts w:ascii="Calibri" w:eastAsia="Calibri" w:hAnsi="Calibri" w:cs="Calibri"/>
          <w:color w:val="1A1A1A"/>
        </w:rPr>
        <w:t xml:space="preserve"> — </w:t>
      </w:r>
      <w:r>
        <w:rPr>
          <w:rFonts w:ascii="Calibri" w:eastAsia="Calibri" w:hAnsi="Calibri" w:cs="Calibri"/>
          <w:b/>
          <w:bCs/>
          <w:color w:val="1A1A1A"/>
        </w:rPr>
        <w:t>1988</w:t>
      </w:r>
      <w:r>
        <w:rPr>
          <w:rFonts w:ascii="Calibri" w:eastAsia="Calibri" w:hAnsi="Calibri" w:cs="Calibri"/>
          <w:color w:val="1A1A1A"/>
        </w:rPr>
        <w:t xml:space="preserve"> </w:t>
      </w:r>
      <w:r>
        <w:rPr>
          <w:rFonts w:ascii="Calibri" w:eastAsia="Calibri" w:hAnsi="Calibri" w:cs="Calibri"/>
          <w:color w:val="E91E63"/>
        </w:rPr>
        <w:t>Cons. const., 88-1113 AN</w:t>
      </w:r>
      <w:r>
        <w:rPr>
          <w:rFonts w:ascii="Calibri" w:eastAsia="Calibri" w:hAnsi="Calibri" w:cs="Calibri"/>
          <w:color w:val="1A1A1A"/>
        </w:rPr>
        <w:t xml:space="preserve"> — </w:t>
      </w:r>
      <w:r>
        <w:rPr>
          <w:rFonts w:ascii="Calibri" w:eastAsia="Calibri" w:hAnsi="Calibri" w:cs="Calibri"/>
          <w:b/>
          <w:bCs/>
          <w:color w:val="1A1A1A"/>
        </w:rPr>
        <w:t>1989</w:t>
      </w:r>
      <w:r>
        <w:rPr>
          <w:rFonts w:ascii="Calibri" w:eastAsia="Calibri" w:hAnsi="Calibri" w:cs="Calibri"/>
          <w:color w:val="1A1A1A"/>
        </w:rPr>
        <w:t xml:space="preserve"> </w:t>
      </w:r>
      <w:r>
        <w:rPr>
          <w:rFonts w:ascii="Calibri" w:eastAsia="Calibri" w:hAnsi="Calibri" w:cs="Calibri"/>
          <w:color w:val="E91E63"/>
        </w:rPr>
        <w:t xml:space="preserve">CE, </w:t>
      </w:r>
      <w:proofErr w:type="spellStart"/>
      <w:r>
        <w:rPr>
          <w:rFonts w:ascii="Calibri" w:eastAsia="Calibri" w:hAnsi="Calibri" w:cs="Calibri"/>
          <w:color w:val="E91E63"/>
        </w:rPr>
        <w:t>Bussoz</w:t>
      </w:r>
      <w:proofErr w:type="spellEnd"/>
      <w:r>
        <w:rPr>
          <w:rFonts w:ascii="Calibri" w:eastAsia="Calibri" w:hAnsi="Calibri" w:cs="Calibri"/>
          <w:color w:val="1A1A1A"/>
        </w:rPr>
        <w:t xml:space="preserve"> — </w:t>
      </w:r>
      <w:r>
        <w:rPr>
          <w:rFonts w:ascii="Calibri" w:eastAsia="Calibri" w:hAnsi="Calibri" w:cs="Calibri"/>
          <w:b/>
          <w:bCs/>
          <w:color w:val="1A1A1A"/>
        </w:rPr>
        <w:t>1991</w:t>
      </w:r>
      <w:r>
        <w:rPr>
          <w:rFonts w:ascii="Calibri" w:eastAsia="Calibri" w:hAnsi="Calibri" w:cs="Calibri"/>
          <w:color w:val="1A1A1A"/>
        </w:rPr>
        <w:t xml:space="preserve"> </w:t>
      </w:r>
      <w:r>
        <w:rPr>
          <w:rFonts w:ascii="Calibri" w:eastAsia="Calibri" w:hAnsi="Calibri" w:cs="Calibri"/>
          <w:color w:val="E91E63"/>
        </w:rPr>
        <w:t>CEDH, Jan-Ake Andersson c. Suède</w:t>
      </w:r>
      <w:r>
        <w:rPr>
          <w:rFonts w:ascii="Calibri" w:eastAsia="Calibri" w:hAnsi="Calibri" w:cs="Calibri"/>
          <w:color w:val="1A1A1A"/>
        </w:rPr>
        <w:t xml:space="preserve"> — </w:t>
      </w:r>
      <w:r>
        <w:rPr>
          <w:rFonts w:ascii="Calibri" w:eastAsia="Calibri" w:hAnsi="Calibri" w:cs="Calibri"/>
          <w:b/>
          <w:bCs/>
          <w:color w:val="1A1A1A"/>
        </w:rPr>
        <w:t>1992</w:t>
      </w:r>
      <w:r>
        <w:rPr>
          <w:rFonts w:ascii="Calibri" w:eastAsia="Calibri" w:hAnsi="Calibri" w:cs="Calibri"/>
          <w:color w:val="1A1A1A"/>
        </w:rPr>
        <w:t xml:space="preserve"> </w:t>
      </w:r>
      <w:r>
        <w:rPr>
          <w:rFonts w:ascii="Calibri" w:eastAsia="Calibri" w:hAnsi="Calibri" w:cs="Calibri"/>
          <w:color w:val="1E88E5"/>
        </w:rPr>
        <w:t>loi du 6 juillet</w:t>
      </w:r>
      <w:r>
        <w:rPr>
          <w:rFonts w:ascii="Calibri" w:eastAsia="Calibri" w:hAnsi="Calibri" w:cs="Calibri"/>
          <w:color w:val="1A1A1A"/>
        </w:rPr>
        <w:t xml:space="preserve"> (zones d’attente) ; </w:t>
      </w:r>
      <w:r>
        <w:rPr>
          <w:rFonts w:ascii="Calibri" w:eastAsia="Calibri" w:hAnsi="Calibri" w:cs="Calibri"/>
          <w:color w:val="E91E63"/>
        </w:rPr>
        <w:t>Cons. const., 92-307 DC</w:t>
      </w:r>
      <w:r>
        <w:rPr>
          <w:rFonts w:ascii="Calibri" w:eastAsia="Calibri" w:hAnsi="Calibri" w:cs="Calibri"/>
          <w:color w:val="1A1A1A"/>
        </w:rPr>
        <w:t xml:space="preserve"> — </w:t>
      </w:r>
      <w:r>
        <w:rPr>
          <w:rFonts w:ascii="Calibri" w:eastAsia="Calibri" w:hAnsi="Calibri" w:cs="Calibri"/>
          <w:b/>
          <w:bCs/>
          <w:color w:val="1A1A1A"/>
        </w:rPr>
        <w:t>1993</w:t>
      </w:r>
      <w:r>
        <w:rPr>
          <w:rFonts w:ascii="Calibri" w:eastAsia="Calibri" w:hAnsi="Calibri" w:cs="Calibri"/>
          <w:color w:val="1A1A1A"/>
        </w:rPr>
        <w:t xml:space="preserve"> </w:t>
      </w:r>
      <w:r>
        <w:rPr>
          <w:rFonts w:ascii="Calibri" w:eastAsia="Calibri" w:hAnsi="Calibri" w:cs="Calibri"/>
          <w:color w:val="E91E63"/>
        </w:rPr>
        <w:t>CEDH, Ruiz-Mateos c. Espagne</w:t>
      </w:r>
      <w:r>
        <w:rPr>
          <w:rFonts w:ascii="Calibri" w:eastAsia="Calibri" w:hAnsi="Calibri" w:cs="Calibri"/>
          <w:color w:val="1A1A1A"/>
        </w:rPr>
        <w:t xml:space="preserve"> — </w:t>
      </w:r>
      <w:r>
        <w:rPr>
          <w:rFonts w:ascii="Calibri" w:eastAsia="Calibri" w:hAnsi="Calibri" w:cs="Calibri"/>
          <w:b/>
          <w:bCs/>
          <w:color w:val="1A1A1A"/>
        </w:rPr>
        <w:t>1994</w:t>
      </w:r>
      <w:r>
        <w:rPr>
          <w:rFonts w:ascii="Calibri" w:eastAsia="Calibri" w:hAnsi="Calibri" w:cs="Calibri"/>
          <w:color w:val="1A1A1A"/>
        </w:rPr>
        <w:t xml:space="preserve"> </w:t>
      </w:r>
      <w:r>
        <w:rPr>
          <w:rFonts w:ascii="Calibri" w:eastAsia="Calibri" w:hAnsi="Calibri" w:cs="Calibri"/>
          <w:color w:val="E91E63"/>
        </w:rPr>
        <w:t>CEDH, Bendenoun c. France</w:t>
      </w:r>
      <w:r>
        <w:rPr>
          <w:rFonts w:ascii="Calibri" w:eastAsia="Calibri" w:hAnsi="Calibri" w:cs="Calibri"/>
          <w:color w:val="1A1A1A"/>
        </w:rPr>
        <w:t xml:space="preserve"> — </w:t>
      </w:r>
      <w:r>
        <w:rPr>
          <w:rFonts w:ascii="Calibri" w:eastAsia="Calibri" w:hAnsi="Calibri" w:cs="Calibri"/>
          <w:b/>
          <w:bCs/>
          <w:color w:val="1A1A1A"/>
        </w:rPr>
        <w:t>1995</w:t>
      </w:r>
      <w:r>
        <w:rPr>
          <w:rFonts w:ascii="Calibri" w:eastAsia="Calibri" w:hAnsi="Calibri" w:cs="Calibri"/>
          <w:color w:val="1A1A1A"/>
        </w:rPr>
        <w:t xml:space="preserve"> </w:t>
      </w:r>
      <w:r>
        <w:rPr>
          <w:rFonts w:ascii="Calibri" w:eastAsia="Calibri" w:hAnsi="Calibri" w:cs="Calibri"/>
          <w:color w:val="E91E63"/>
        </w:rPr>
        <w:t>CEDH, Quinn c. France</w:t>
      </w:r>
      <w:r>
        <w:rPr>
          <w:rFonts w:ascii="Calibri" w:eastAsia="Calibri" w:hAnsi="Calibri" w:cs="Calibri"/>
          <w:color w:val="1A1A1A"/>
        </w:rPr>
        <w:t xml:space="preserve"> ; </w:t>
      </w:r>
      <w:r>
        <w:rPr>
          <w:rFonts w:ascii="Calibri" w:eastAsia="Calibri" w:hAnsi="Calibri" w:cs="Calibri"/>
          <w:color w:val="E91E63"/>
        </w:rPr>
        <w:t>CEDH, Bellet c. France</w:t>
      </w:r>
      <w:r>
        <w:rPr>
          <w:rFonts w:ascii="Calibri" w:eastAsia="Calibri" w:hAnsi="Calibri" w:cs="Calibri"/>
          <w:color w:val="1A1A1A"/>
        </w:rPr>
        <w:t xml:space="preserve"> ; </w:t>
      </w:r>
      <w:r>
        <w:rPr>
          <w:rFonts w:ascii="Calibri" w:eastAsia="Calibri" w:hAnsi="Calibri" w:cs="Calibri"/>
          <w:color w:val="E91E63"/>
        </w:rPr>
        <w:t>CEDH, Procola c. Luxembourg</w:t>
      </w:r>
      <w:r>
        <w:rPr>
          <w:rFonts w:ascii="Calibri" w:eastAsia="Calibri" w:hAnsi="Calibri" w:cs="Calibri"/>
          <w:color w:val="1A1A1A"/>
        </w:rPr>
        <w:t xml:space="preserve"> ; </w:t>
      </w:r>
      <w:r>
        <w:rPr>
          <w:rFonts w:ascii="Calibri" w:eastAsia="Calibri" w:hAnsi="Calibri" w:cs="Calibri"/>
          <w:color w:val="E91E63"/>
        </w:rPr>
        <w:t>Cons. const., 95-360 DC</w:t>
      </w:r>
      <w:r>
        <w:rPr>
          <w:rFonts w:ascii="Calibri" w:eastAsia="Calibri" w:hAnsi="Calibri" w:cs="Calibri"/>
          <w:color w:val="1A1A1A"/>
        </w:rPr>
        <w:t xml:space="preserve"> ; </w:t>
      </w:r>
      <w:r>
        <w:rPr>
          <w:rFonts w:ascii="Calibri" w:eastAsia="Calibri" w:hAnsi="Calibri" w:cs="Calibri"/>
          <w:color w:val="E91E63"/>
        </w:rPr>
        <w:t>Cass., ass. plén., 30 juin</w:t>
      </w:r>
      <w:r>
        <w:rPr>
          <w:rFonts w:ascii="Calibri" w:eastAsia="Calibri" w:hAnsi="Calibri" w:cs="Calibri"/>
          <w:color w:val="1A1A1A"/>
        </w:rPr>
        <w:t xml:space="preserve"> ; réforme de l’immunité parlementaire du 4 août.</w:t>
      </w:r>
    </w:p>
    <w:p w14:paraId="1B8A89E8"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1996</w:t>
      </w:r>
      <w:r>
        <w:rPr>
          <w:rFonts w:ascii="Calibri" w:eastAsia="Calibri" w:hAnsi="Calibri" w:cs="Calibri"/>
          <w:color w:val="1A1A1A"/>
        </w:rPr>
        <w:t xml:space="preserve"> </w:t>
      </w:r>
      <w:r>
        <w:rPr>
          <w:rFonts w:ascii="Calibri" w:eastAsia="Calibri" w:hAnsi="Calibri" w:cs="Calibri"/>
          <w:color w:val="E91E63"/>
        </w:rPr>
        <w:t>Cass. civ. 1re, 6 mars</w:t>
      </w:r>
      <w:r>
        <w:rPr>
          <w:rFonts w:ascii="Calibri" w:eastAsia="Calibri" w:hAnsi="Calibri" w:cs="Calibri"/>
          <w:color w:val="1A1A1A"/>
        </w:rPr>
        <w:t xml:space="preserve"> (présomption d’innocence) — </w:t>
      </w:r>
      <w:r>
        <w:rPr>
          <w:rFonts w:ascii="Calibri" w:eastAsia="Calibri" w:hAnsi="Calibri" w:cs="Calibri"/>
          <w:b/>
          <w:bCs/>
          <w:color w:val="1A1A1A"/>
        </w:rPr>
        <w:t>1999</w:t>
      </w:r>
      <w:r>
        <w:rPr>
          <w:rFonts w:ascii="Calibri" w:eastAsia="Calibri" w:hAnsi="Calibri" w:cs="Calibri"/>
          <w:color w:val="1A1A1A"/>
        </w:rPr>
        <w:t xml:space="preserve"> </w:t>
      </w:r>
      <w:r>
        <w:rPr>
          <w:rFonts w:ascii="Calibri" w:eastAsia="Calibri" w:hAnsi="Calibri" w:cs="Calibri"/>
          <w:color w:val="E91E63"/>
        </w:rPr>
        <w:t>Cons. const., 99-411 DC</w:t>
      </w:r>
      <w:r>
        <w:rPr>
          <w:rFonts w:ascii="Calibri" w:eastAsia="Calibri" w:hAnsi="Calibri" w:cs="Calibri"/>
          <w:color w:val="1A1A1A"/>
        </w:rPr>
        <w:t xml:space="preserve"> ; </w:t>
      </w:r>
      <w:r>
        <w:rPr>
          <w:rFonts w:ascii="Calibri" w:eastAsia="Calibri" w:hAnsi="Calibri" w:cs="Calibri"/>
          <w:color w:val="E91E63"/>
        </w:rPr>
        <w:t>Cons. const., 99-421 DC</w:t>
      </w:r>
      <w:r>
        <w:rPr>
          <w:rFonts w:ascii="Calibri" w:eastAsia="Calibri" w:hAnsi="Calibri" w:cs="Calibri"/>
          <w:color w:val="1A1A1A"/>
        </w:rPr>
        <w:t xml:space="preserve"> — </w:t>
      </w:r>
      <w:r>
        <w:rPr>
          <w:rFonts w:ascii="Calibri" w:eastAsia="Calibri" w:hAnsi="Calibri" w:cs="Calibri"/>
          <w:b/>
          <w:bCs/>
          <w:color w:val="1A1A1A"/>
        </w:rPr>
        <w:t>2000</w:t>
      </w:r>
      <w:r>
        <w:rPr>
          <w:rFonts w:ascii="Calibri" w:eastAsia="Calibri" w:hAnsi="Calibri" w:cs="Calibri"/>
          <w:color w:val="1A1A1A"/>
        </w:rPr>
        <w:t xml:space="preserve"> </w:t>
      </w:r>
      <w:r>
        <w:rPr>
          <w:rFonts w:ascii="Calibri" w:eastAsia="Calibri" w:hAnsi="Calibri" w:cs="Calibri"/>
          <w:color w:val="1E88E5"/>
        </w:rPr>
        <w:t>loi du 15 juin</w:t>
      </w:r>
      <w:r>
        <w:rPr>
          <w:rFonts w:ascii="Calibri" w:eastAsia="Calibri" w:hAnsi="Calibri" w:cs="Calibri"/>
          <w:color w:val="1A1A1A"/>
        </w:rPr>
        <w:t xml:space="preserve"> (présomption d’innocence, JLD) ; </w:t>
      </w:r>
      <w:r>
        <w:rPr>
          <w:rFonts w:ascii="Calibri" w:eastAsia="Calibri" w:hAnsi="Calibri" w:cs="Calibri"/>
          <w:color w:val="E91E63"/>
        </w:rPr>
        <w:t>CEDH, Kudla c. Pologne</w:t>
      </w:r>
      <w:r>
        <w:rPr>
          <w:rFonts w:ascii="Calibri" w:eastAsia="Calibri" w:hAnsi="Calibri" w:cs="Calibri"/>
          <w:color w:val="1A1A1A"/>
        </w:rPr>
        <w:t xml:space="preserve"> ; </w:t>
      </w:r>
      <w:r>
        <w:rPr>
          <w:rFonts w:ascii="Calibri" w:eastAsia="Calibri" w:hAnsi="Calibri" w:cs="Calibri"/>
          <w:color w:val="E91E63"/>
        </w:rPr>
        <w:t>CEDH, Witold Litwa c. Pologne</w:t>
      </w:r>
      <w:r>
        <w:rPr>
          <w:rFonts w:ascii="Calibri" w:eastAsia="Calibri" w:hAnsi="Calibri" w:cs="Calibri"/>
          <w:color w:val="1A1A1A"/>
        </w:rPr>
        <w:t xml:space="preserve"> ; </w:t>
      </w:r>
      <w:r>
        <w:rPr>
          <w:rFonts w:ascii="Calibri" w:eastAsia="Calibri" w:hAnsi="Calibri" w:cs="Calibri"/>
          <w:color w:val="E91E63"/>
        </w:rPr>
        <w:t>Cass. civ. 1re, Le Collinet</w:t>
      </w:r>
      <w:r>
        <w:rPr>
          <w:rFonts w:ascii="Calibri" w:eastAsia="Calibri" w:hAnsi="Calibri" w:cs="Calibri"/>
          <w:color w:val="1A1A1A"/>
        </w:rPr>
        <w:t xml:space="preserve"> — </w:t>
      </w:r>
      <w:r>
        <w:rPr>
          <w:rFonts w:ascii="Calibri" w:eastAsia="Calibri" w:hAnsi="Calibri" w:cs="Calibri"/>
          <w:b/>
          <w:bCs/>
          <w:color w:val="1A1A1A"/>
        </w:rPr>
        <w:t>2001</w:t>
      </w:r>
      <w:r>
        <w:rPr>
          <w:rFonts w:ascii="Calibri" w:eastAsia="Calibri" w:hAnsi="Calibri" w:cs="Calibri"/>
          <w:color w:val="1A1A1A"/>
        </w:rPr>
        <w:t xml:space="preserve"> </w:t>
      </w:r>
      <w:r>
        <w:rPr>
          <w:rFonts w:ascii="Calibri" w:eastAsia="Calibri" w:hAnsi="Calibri" w:cs="Calibri"/>
          <w:color w:val="E91E63"/>
        </w:rPr>
        <w:t>CEDH, Kress c. France</w:t>
      </w:r>
      <w:r>
        <w:rPr>
          <w:rFonts w:ascii="Calibri" w:eastAsia="Calibri" w:hAnsi="Calibri" w:cs="Calibri"/>
          <w:color w:val="1A1A1A"/>
        </w:rPr>
        <w:t xml:space="preserve"> — </w:t>
      </w:r>
      <w:r>
        <w:rPr>
          <w:rFonts w:ascii="Calibri" w:eastAsia="Calibri" w:hAnsi="Calibri" w:cs="Calibri"/>
          <w:b/>
          <w:bCs/>
          <w:color w:val="1A1A1A"/>
        </w:rPr>
        <w:t>2002</w:t>
      </w:r>
      <w:r>
        <w:rPr>
          <w:rFonts w:ascii="Calibri" w:eastAsia="Calibri" w:hAnsi="Calibri" w:cs="Calibri"/>
          <w:color w:val="1A1A1A"/>
        </w:rPr>
        <w:t xml:space="preserve"> </w:t>
      </w:r>
      <w:r>
        <w:rPr>
          <w:rFonts w:ascii="Calibri" w:eastAsia="Calibri" w:hAnsi="Calibri" w:cs="Calibri"/>
          <w:color w:val="E91E63"/>
        </w:rPr>
        <w:t>CE, Ass., Trognon</w:t>
      </w:r>
      <w:r>
        <w:rPr>
          <w:rFonts w:ascii="Calibri" w:eastAsia="Calibri" w:hAnsi="Calibri" w:cs="Calibri"/>
          <w:color w:val="1A1A1A"/>
        </w:rPr>
        <w:t xml:space="preserve"> ; </w:t>
      </w:r>
      <w:r>
        <w:rPr>
          <w:rFonts w:ascii="Calibri" w:eastAsia="Calibri" w:hAnsi="Calibri" w:cs="Calibri"/>
          <w:color w:val="E91E63"/>
        </w:rPr>
        <w:t>CE, sect., Duvignères</w:t>
      </w:r>
      <w:r>
        <w:rPr>
          <w:rFonts w:ascii="Calibri" w:eastAsia="Calibri" w:hAnsi="Calibri" w:cs="Calibri"/>
          <w:color w:val="1A1A1A"/>
        </w:rPr>
        <w:t xml:space="preserve"> ; </w:t>
      </w:r>
      <w:r>
        <w:rPr>
          <w:rFonts w:ascii="Calibri" w:eastAsia="Calibri" w:hAnsi="Calibri" w:cs="Calibri"/>
          <w:color w:val="E91E63"/>
        </w:rPr>
        <w:t>Cons. const., 2002-461 DC</w:t>
      </w:r>
      <w:r>
        <w:rPr>
          <w:rFonts w:ascii="Calibri" w:eastAsia="Calibri" w:hAnsi="Calibri" w:cs="Calibri"/>
          <w:color w:val="1A1A1A"/>
        </w:rPr>
        <w:t xml:space="preserve"> ; PFRLR de la justice pénale des mineurs — </w:t>
      </w:r>
      <w:r>
        <w:rPr>
          <w:rFonts w:ascii="Calibri" w:eastAsia="Calibri" w:hAnsi="Calibri" w:cs="Calibri"/>
          <w:b/>
          <w:bCs/>
          <w:color w:val="1A1A1A"/>
        </w:rPr>
        <w:t>2004</w:t>
      </w:r>
      <w:r>
        <w:rPr>
          <w:rFonts w:ascii="Calibri" w:eastAsia="Calibri" w:hAnsi="Calibri" w:cs="Calibri"/>
          <w:color w:val="1A1A1A"/>
        </w:rPr>
        <w:t xml:space="preserve"> </w:t>
      </w:r>
      <w:r>
        <w:rPr>
          <w:rFonts w:ascii="Calibri" w:eastAsia="Calibri" w:hAnsi="Calibri" w:cs="Calibri"/>
          <w:color w:val="E91E63"/>
        </w:rPr>
        <w:t>Cons. const., 2004-492 DC</w:t>
      </w:r>
      <w:r>
        <w:rPr>
          <w:rFonts w:ascii="Calibri" w:eastAsia="Calibri" w:hAnsi="Calibri" w:cs="Calibri"/>
          <w:color w:val="1A1A1A"/>
        </w:rPr>
        <w:t xml:space="preserve"> ; </w:t>
      </w:r>
      <w:r>
        <w:rPr>
          <w:rFonts w:ascii="Calibri" w:eastAsia="Calibri" w:hAnsi="Calibri" w:cs="Calibri"/>
          <w:color w:val="E91E63"/>
        </w:rPr>
        <w:t>Cass., ass. plén., Banco di Sicilia</w:t>
      </w:r>
      <w:r>
        <w:rPr>
          <w:rFonts w:ascii="Calibri" w:eastAsia="Calibri" w:hAnsi="Calibri" w:cs="Calibri"/>
          <w:color w:val="1A1A1A"/>
        </w:rPr>
        <w:t xml:space="preserve"> ; </w:t>
      </w:r>
      <w:r>
        <w:rPr>
          <w:rFonts w:ascii="Calibri" w:eastAsia="Calibri" w:hAnsi="Calibri" w:cs="Calibri"/>
          <w:color w:val="E91E63"/>
        </w:rPr>
        <w:t>CEDH, Öneryıldız c. Turquie</w:t>
      </w:r>
      <w:r>
        <w:rPr>
          <w:rFonts w:ascii="Calibri" w:eastAsia="Calibri" w:hAnsi="Calibri" w:cs="Calibri"/>
          <w:color w:val="1A1A1A"/>
        </w:rPr>
        <w:t xml:space="preserve"> — </w:t>
      </w:r>
      <w:r>
        <w:rPr>
          <w:rFonts w:ascii="Calibri" w:eastAsia="Calibri" w:hAnsi="Calibri" w:cs="Calibri"/>
          <w:b/>
          <w:bCs/>
          <w:color w:val="1A1A1A"/>
        </w:rPr>
        <w:t>2005</w:t>
      </w:r>
      <w:r>
        <w:rPr>
          <w:rFonts w:ascii="Calibri" w:eastAsia="Calibri" w:hAnsi="Calibri" w:cs="Calibri"/>
          <w:color w:val="1A1A1A"/>
        </w:rPr>
        <w:t xml:space="preserve"> </w:t>
      </w:r>
      <w:r>
        <w:rPr>
          <w:rFonts w:ascii="Calibri" w:eastAsia="Calibri" w:hAnsi="Calibri" w:cs="Calibri"/>
          <w:color w:val="E91E63"/>
        </w:rPr>
        <w:t>CEDH, Kyprianou c. Chypre</w:t>
      </w:r>
      <w:r>
        <w:rPr>
          <w:rFonts w:ascii="Calibri" w:eastAsia="Calibri" w:hAnsi="Calibri" w:cs="Calibri"/>
          <w:color w:val="1A1A1A"/>
        </w:rPr>
        <w:t xml:space="preserve"> ; </w:t>
      </w:r>
      <w:r>
        <w:rPr>
          <w:rFonts w:ascii="Calibri" w:eastAsia="Calibri" w:hAnsi="Calibri" w:cs="Calibri"/>
          <w:color w:val="E91E63"/>
        </w:rPr>
        <w:t>CJCE, Berlusconi</w:t>
      </w:r>
      <w:r>
        <w:rPr>
          <w:rFonts w:ascii="Calibri" w:eastAsia="Calibri" w:hAnsi="Calibri" w:cs="Calibri"/>
          <w:color w:val="1A1A1A"/>
        </w:rPr>
        <w:t xml:space="preserve"> — </w:t>
      </w:r>
      <w:r>
        <w:rPr>
          <w:rFonts w:ascii="Calibri" w:eastAsia="Calibri" w:hAnsi="Calibri" w:cs="Calibri"/>
          <w:b/>
          <w:bCs/>
          <w:color w:val="1A1A1A"/>
        </w:rPr>
        <w:t>2006</w:t>
      </w:r>
      <w:r>
        <w:rPr>
          <w:rFonts w:ascii="Calibri" w:eastAsia="Calibri" w:hAnsi="Calibri" w:cs="Calibri"/>
          <w:color w:val="1A1A1A"/>
        </w:rPr>
        <w:t xml:space="preserve"> </w:t>
      </w:r>
      <w:r>
        <w:rPr>
          <w:rFonts w:ascii="Calibri" w:eastAsia="Calibri" w:hAnsi="Calibri" w:cs="Calibri"/>
          <w:color w:val="E91E63"/>
        </w:rPr>
        <w:t>Cons. const., 2006-540 DC</w:t>
      </w:r>
      <w:r>
        <w:rPr>
          <w:rFonts w:ascii="Calibri" w:eastAsia="Calibri" w:hAnsi="Calibri" w:cs="Calibri"/>
          <w:color w:val="1A1A1A"/>
        </w:rPr>
        <w:t xml:space="preserve"> ; rapport parlementaire sur l’affaire d’Outreau — </w:t>
      </w:r>
      <w:r>
        <w:rPr>
          <w:rFonts w:ascii="Calibri" w:eastAsia="Calibri" w:hAnsi="Calibri" w:cs="Calibri"/>
          <w:b/>
          <w:bCs/>
          <w:color w:val="1A1A1A"/>
        </w:rPr>
        <w:t>2007</w:t>
      </w:r>
      <w:r>
        <w:rPr>
          <w:rFonts w:ascii="Calibri" w:eastAsia="Calibri" w:hAnsi="Calibri" w:cs="Calibri"/>
          <w:color w:val="1A1A1A"/>
        </w:rPr>
        <w:t xml:space="preserve"> </w:t>
      </w:r>
      <w:r>
        <w:rPr>
          <w:rFonts w:ascii="Calibri" w:eastAsia="Calibri" w:hAnsi="Calibri" w:cs="Calibri"/>
          <w:color w:val="E91E63"/>
        </w:rPr>
        <w:t>CEDH, Gebremedhin c. France</w:t>
      </w:r>
      <w:r>
        <w:rPr>
          <w:rFonts w:ascii="Calibri" w:eastAsia="Calibri" w:hAnsi="Calibri" w:cs="Calibri"/>
          <w:color w:val="1A1A1A"/>
        </w:rPr>
        <w:t xml:space="preserve"> ; </w:t>
      </w:r>
      <w:r>
        <w:rPr>
          <w:rFonts w:ascii="Calibri" w:eastAsia="Calibri" w:hAnsi="Calibri" w:cs="Calibri"/>
          <w:color w:val="E91E63"/>
        </w:rPr>
        <w:t>CEDH, Walchli c. France</w:t>
      </w:r>
      <w:r>
        <w:rPr>
          <w:rFonts w:ascii="Calibri" w:eastAsia="Calibri" w:hAnsi="Calibri" w:cs="Calibri"/>
          <w:color w:val="1A1A1A"/>
        </w:rPr>
        <w:t xml:space="preserve"> ; </w:t>
      </w:r>
      <w:r>
        <w:rPr>
          <w:rFonts w:ascii="Calibri" w:eastAsia="Calibri" w:hAnsi="Calibri" w:cs="Calibri"/>
          <w:color w:val="E91E63"/>
        </w:rPr>
        <w:t>T. confl., 18 juin</w:t>
      </w:r>
      <w:r>
        <w:rPr>
          <w:rFonts w:ascii="Calibri" w:eastAsia="Calibri" w:hAnsi="Calibri" w:cs="Calibri"/>
          <w:color w:val="1A1A1A"/>
        </w:rPr>
        <w:t xml:space="preserve"> ; </w:t>
      </w:r>
      <w:r>
        <w:rPr>
          <w:rFonts w:ascii="Calibri" w:eastAsia="Calibri" w:hAnsi="Calibri" w:cs="Calibri"/>
          <w:color w:val="E91E63"/>
        </w:rPr>
        <w:t>Cons. const., 2007-553 DC</w:t>
      </w:r>
      <w:r>
        <w:rPr>
          <w:rFonts w:ascii="Calibri" w:eastAsia="Calibri" w:hAnsi="Calibri" w:cs="Calibri"/>
          <w:color w:val="1A1A1A"/>
        </w:rPr>
        <w:t xml:space="preserve"> et </w:t>
      </w:r>
      <w:r>
        <w:rPr>
          <w:rFonts w:ascii="Calibri" w:eastAsia="Calibri" w:hAnsi="Calibri" w:cs="Calibri"/>
          <w:color w:val="E91E63"/>
        </w:rPr>
        <w:t>2007-554 DC</w:t>
      </w:r>
      <w:r>
        <w:rPr>
          <w:rFonts w:ascii="Calibri" w:eastAsia="Calibri" w:hAnsi="Calibri" w:cs="Calibri"/>
          <w:color w:val="1A1A1A"/>
        </w:rPr>
        <w:t xml:space="preserve"> ; </w:t>
      </w:r>
      <w:r>
        <w:rPr>
          <w:rFonts w:ascii="Calibri" w:eastAsia="Calibri" w:hAnsi="Calibri" w:cs="Calibri"/>
          <w:color w:val="E91E63"/>
        </w:rPr>
        <w:t>Cass. crim., 20 février</w:t>
      </w:r>
      <w:r>
        <w:rPr>
          <w:rFonts w:ascii="Calibri" w:eastAsia="Calibri" w:hAnsi="Calibri" w:cs="Calibri"/>
          <w:color w:val="1A1A1A"/>
        </w:rPr>
        <w:t>.</w:t>
      </w:r>
    </w:p>
    <w:p w14:paraId="2CD93E08"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2008</w:t>
      </w:r>
      <w:r>
        <w:rPr>
          <w:rFonts w:ascii="Calibri" w:eastAsia="Calibri" w:hAnsi="Calibri" w:cs="Calibri"/>
          <w:color w:val="1A1A1A"/>
        </w:rPr>
        <w:t xml:space="preserve"> </w:t>
      </w:r>
      <w:r>
        <w:rPr>
          <w:rFonts w:ascii="Calibri" w:eastAsia="Calibri" w:hAnsi="Calibri" w:cs="Calibri"/>
          <w:color w:val="1E88E5"/>
        </w:rPr>
        <w:t>loi du 25 février</w:t>
      </w:r>
      <w:r>
        <w:rPr>
          <w:rFonts w:ascii="Calibri" w:eastAsia="Calibri" w:hAnsi="Calibri" w:cs="Calibri"/>
          <w:color w:val="1A1A1A"/>
        </w:rPr>
        <w:t xml:space="preserve"> (rétention de sûreté) ; </w:t>
      </w:r>
      <w:r>
        <w:rPr>
          <w:rFonts w:ascii="Calibri" w:eastAsia="Calibri" w:hAnsi="Calibri" w:cs="Calibri"/>
          <w:color w:val="E91E63"/>
        </w:rPr>
        <w:t>Cons. const., 2008-562 DC</w:t>
      </w:r>
      <w:r>
        <w:rPr>
          <w:rFonts w:ascii="Calibri" w:eastAsia="Calibri" w:hAnsi="Calibri" w:cs="Calibri"/>
          <w:color w:val="1A1A1A"/>
        </w:rPr>
        <w:t xml:space="preserve"> — </w:t>
      </w:r>
      <w:r>
        <w:rPr>
          <w:rFonts w:ascii="Calibri" w:eastAsia="Calibri" w:hAnsi="Calibri" w:cs="Calibri"/>
          <w:b/>
          <w:bCs/>
          <w:color w:val="1A1A1A"/>
        </w:rPr>
        <w:t>2009</w:t>
      </w:r>
      <w:r>
        <w:rPr>
          <w:rFonts w:ascii="Calibri" w:eastAsia="Calibri" w:hAnsi="Calibri" w:cs="Calibri"/>
          <w:color w:val="1A1A1A"/>
        </w:rPr>
        <w:t xml:space="preserve"> </w:t>
      </w:r>
      <w:r>
        <w:rPr>
          <w:rFonts w:ascii="Calibri" w:eastAsia="Calibri" w:hAnsi="Calibri" w:cs="Calibri"/>
          <w:color w:val="E91E63"/>
        </w:rPr>
        <w:t>CEDH, Zolotoukhine c. Russie</w:t>
      </w:r>
      <w:r>
        <w:rPr>
          <w:rFonts w:ascii="Calibri" w:eastAsia="Calibri" w:hAnsi="Calibri" w:cs="Calibri"/>
          <w:color w:val="1A1A1A"/>
        </w:rPr>
        <w:t xml:space="preserve"> ; </w:t>
      </w:r>
      <w:r>
        <w:rPr>
          <w:rFonts w:ascii="Calibri" w:eastAsia="Calibri" w:hAnsi="Calibri" w:cs="Calibri"/>
          <w:color w:val="E91E63"/>
        </w:rPr>
        <w:t>CEDH, Scoppola c. Italie (n° 2)</w:t>
      </w:r>
      <w:r>
        <w:rPr>
          <w:rFonts w:ascii="Calibri" w:eastAsia="Calibri" w:hAnsi="Calibri" w:cs="Calibri"/>
          <w:color w:val="1A1A1A"/>
        </w:rPr>
        <w:t xml:space="preserve"> ; </w:t>
      </w:r>
      <w:r>
        <w:rPr>
          <w:rFonts w:ascii="Calibri" w:eastAsia="Calibri" w:hAnsi="Calibri" w:cs="Calibri"/>
          <w:color w:val="E91E63"/>
        </w:rPr>
        <w:t>CEDH, Kart c. Turquie</w:t>
      </w:r>
      <w:r>
        <w:rPr>
          <w:rFonts w:ascii="Calibri" w:eastAsia="Calibri" w:hAnsi="Calibri" w:cs="Calibri"/>
          <w:color w:val="1A1A1A"/>
        </w:rPr>
        <w:t xml:space="preserve"> ; </w:t>
      </w:r>
      <w:r>
        <w:rPr>
          <w:rFonts w:ascii="Calibri" w:eastAsia="Calibri" w:hAnsi="Calibri" w:cs="Calibri"/>
          <w:color w:val="E91E63"/>
        </w:rPr>
        <w:t>Cons. const., 2009-595 DC</w:t>
      </w:r>
      <w:r>
        <w:rPr>
          <w:rFonts w:ascii="Calibri" w:eastAsia="Calibri" w:hAnsi="Calibri" w:cs="Calibri"/>
          <w:color w:val="1A1A1A"/>
        </w:rPr>
        <w:t xml:space="preserve"> — </w:t>
      </w:r>
      <w:r>
        <w:rPr>
          <w:rFonts w:ascii="Calibri" w:eastAsia="Calibri" w:hAnsi="Calibri" w:cs="Calibri"/>
          <w:b/>
          <w:bCs/>
          <w:color w:val="1A1A1A"/>
        </w:rPr>
        <w:t>2010</w:t>
      </w:r>
      <w:r>
        <w:rPr>
          <w:rFonts w:ascii="Calibri" w:eastAsia="Calibri" w:hAnsi="Calibri" w:cs="Calibri"/>
          <w:color w:val="1A1A1A"/>
        </w:rPr>
        <w:t xml:space="preserve"> </w:t>
      </w:r>
      <w:r>
        <w:rPr>
          <w:rFonts w:ascii="Calibri" w:eastAsia="Calibri" w:hAnsi="Calibri" w:cs="Calibri"/>
          <w:color w:val="E91E63"/>
        </w:rPr>
        <w:t>CEDH, Gäfgen c. Allemagne</w:t>
      </w:r>
      <w:r>
        <w:rPr>
          <w:rFonts w:ascii="Calibri" w:eastAsia="Calibri" w:hAnsi="Calibri" w:cs="Calibri"/>
          <w:color w:val="1A1A1A"/>
        </w:rPr>
        <w:t xml:space="preserve"> ; </w:t>
      </w:r>
      <w:r>
        <w:rPr>
          <w:rFonts w:ascii="Calibri" w:eastAsia="Calibri" w:hAnsi="Calibri" w:cs="Calibri"/>
          <w:color w:val="E91E63"/>
        </w:rPr>
        <w:t>CEDH, Moulin c. France</w:t>
      </w:r>
      <w:r>
        <w:rPr>
          <w:rFonts w:ascii="Calibri" w:eastAsia="Calibri" w:hAnsi="Calibri" w:cs="Calibri"/>
          <w:color w:val="1A1A1A"/>
        </w:rPr>
        <w:t xml:space="preserve"> ; </w:t>
      </w:r>
      <w:r>
        <w:rPr>
          <w:rFonts w:ascii="Calibri" w:eastAsia="Calibri" w:hAnsi="Calibri" w:cs="Calibri"/>
          <w:color w:val="E91E63"/>
        </w:rPr>
        <w:t>Cass. crim., 15 décembre</w:t>
      </w:r>
      <w:r>
        <w:rPr>
          <w:rFonts w:ascii="Calibri" w:eastAsia="Calibri" w:hAnsi="Calibri" w:cs="Calibri"/>
          <w:color w:val="1A1A1A"/>
        </w:rPr>
        <w:t xml:space="preserve"> ; </w:t>
      </w:r>
      <w:r>
        <w:rPr>
          <w:rFonts w:ascii="Calibri" w:eastAsia="Calibri" w:hAnsi="Calibri" w:cs="Calibri"/>
          <w:color w:val="E91E63"/>
        </w:rPr>
        <w:t>Cons. const., 2010-10 QPC</w:t>
      </w:r>
      <w:r>
        <w:rPr>
          <w:rFonts w:ascii="Calibri" w:eastAsia="Calibri" w:hAnsi="Calibri" w:cs="Calibri"/>
          <w:color w:val="1A1A1A"/>
        </w:rPr>
        <w:t xml:space="preserve"> ; </w:t>
      </w:r>
      <w:r>
        <w:rPr>
          <w:rFonts w:ascii="Calibri" w:eastAsia="Calibri" w:hAnsi="Calibri" w:cs="Calibri"/>
          <w:color w:val="E91E63"/>
        </w:rPr>
        <w:t>CE, M. Marc-Antoine</w:t>
      </w:r>
      <w:r>
        <w:rPr>
          <w:rFonts w:ascii="Calibri" w:eastAsia="Calibri" w:hAnsi="Calibri" w:cs="Calibri"/>
          <w:color w:val="1A1A1A"/>
        </w:rPr>
        <w:t xml:space="preserve"> — </w:t>
      </w:r>
      <w:r>
        <w:rPr>
          <w:rFonts w:ascii="Calibri" w:eastAsia="Calibri" w:hAnsi="Calibri" w:cs="Calibri"/>
          <w:b/>
          <w:bCs/>
          <w:color w:val="1A1A1A"/>
        </w:rPr>
        <w:t>2011</w:t>
      </w:r>
      <w:r>
        <w:rPr>
          <w:rFonts w:ascii="Calibri" w:eastAsia="Calibri" w:hAnsi="Calibri" w:cs="Calibri"/>
          <w:color w:val="1A1A1A"/>
        </w:rPr>
        <w:t xml:space="preserve"> </w:t>
      </w:r>
      <w:r>
        <w:rPr>
          <w:rFonts w:ascii="Calibri" w:eastAsia="Calibri" w:hAnsi="Calibri" w:cs="Calibri"/>
          <w:color w:val="1E88E5"/>
        </w:rPr>
        <w:t>loi du 14 avril</w:t>
      </w:r>
      <w:r>
        <w:rPr>
          <w:rFonts w:ascii="Calibri" w:eastAsia="Calibri" w:hAnsi="Calibri" w:cs="Calibri"/>
          <w:color w:val="1A1A1A"/>
        </w:rPr>
        <w:t xml:space="preserve"> (garde à vue) ; </w:t>
      </w:r>
      <w:r>
        <w:rPr>
          <w:rFonts w:ascii="Calibri" w:eastAsia="Calibri" w:hAnsi="Calibri" w:cs="Calibri"/>
          <w:color w:val="E91E63"/>
        </w:rPr>
        <w:t>CEDH, Al-</w:t>
      </w:r>
      <w:proofErr w:type="spellStart"/>
      <w:r>
        <w:rPr>
          <w:rFonts w:ascii="Calibri" w:eastAsia="Calibri" w:hAnsi="Calibri" w:cs="Calibri"/>
          <w:color w:val="E91E63"/>
        </w:rPr>
        <w:t>Adsani</w:t>
      </w:r>
      <w:proofErr w:type="spellEnd"/>
      <w:r>
        <w:rPr>
          <w:rFonts w:ascii="Calibri" w:eastAsia="Calibri" w:hAnsi="Calibri" w:cs="Calibri"/>
          <w:color w:val="1A1A1A"/>
        </w:rPr>
        <w:t xml:space="preserve"> ; </w:t>
      </w:r>
      <w:r>
        <w:rPr>
          <w:rFonts w:ascii="Calibri" w:eastAsia="Calibri" w:hAnsi="Calibri" w:cs="Calibri"/>
          <w:color w:val="E91E63"/>
        </w:rPr>
        <w:t>CEDH, Sacilor Lormines c. France</w:t>
      </w:r>
      <w:r>
        <w:rPr>
          <w:rFonts w:ascii="Calibri" w:eastAsia="Calibri" w:hAnsi="Calibri" w:cs="Calibri"/>
          <w:color w:val="1A1A1A"/>
        </w:rPr>
        <w:t xml:space="preserve"> ; </w:t>
      </w:r>
      <w:r>
        <w:rPr>
          <w:rFonts w:ascii="Calibri" w:eastAsia="Calibri" w:hAnsi="Calibri" w:cs="Calibri"/>
          <w:color w:val="E91E63"/>
        </w:rPr>
        <w:t>CEDH, Welke et Białek c. Pologne</w:t>
      </w:r>
      <w:r>
        <w:rPr>
          <w:rFonts w:ascii="Calibri" w:eastAsia="Calibri" w:hAnsi="Calibri" w:cs="Calibri"/>
          <w:color w:val="1A1A1A"/>
        </w:rPr>
        <w:t xml:space="preserve"> ; </w:t>
      </w:r>
      <w:r>
        <w:rPr>
          <w:rFonts w:ascii="Calibri" w:eastAsia="Calibri" w:hAnsi="Calibri" w:cs="Calibri"/>
          <w:color w:val="E91E63"/>
        </w:rPr>
        <w:t>Cass. civ. 1re, 9 mars</w:t>
      </w:r>
      <w:r>
        <w:rPr>
          <w:rFonts w:ascii="Calibri" w:eastAsia="Calibri" w:hAnsi="Calibri" w:cs="Calibri"/>
          <w:color w:val="1A1A1A"/>
        </w:rPr>
        <w:t xml:space="preserve"> — </w:t>
      </w:r>
      <w:r>
        <w:rPr>
          <w:rFonts w:ascii="Calibri" w:eastAsia="Calibri" w:hAnsi="Calibri" w:cs="Calibri"/>
          <w:b/>
          <w:bCs/>
          <w:color w:val="1A1A1A"/>
        </w:rPr>
        <w:t>2012</w:t>
      </w:r>
      <w:r>
        <w:rPr>
          <w:rFonts w:ascii="Calibri" w:eastAsia="Calibri" w:hAnsi="Calibri" w:cs="Calibri"/>
          <w:color w:val="1A1A1A"/>
        </w:rPr>
        <w:t xml:space="preserve"> </w:t>
      </w:r>
      <w:r>
        <w:rPr>
          <w:rFonts w:ascii="Calibri" w:eastAsia="Calibri" w:hAnsi="Calibri" w:cs="Calibri"/>
          <w:color w:val="E91E63"/>
        </w:rPr>
        <w:t>Cons. const., 2011-217 QPC</w:t>
      </w:r>
      <w:r>
        <w:rPr>
          <w:rFonts w:ascii="Calibri" w:eastAsia="Calibri" w:hAnsi="Calibri" w:cs="Calibri"/>
          <w:color w:val="1A1A1A"/>
        </w:rPr>
        <w:t xml:space="preserve"> ; </w:t>
      </w:r>
      <w:r>
        <w:rPr>
          <w:rFonts w:ascii="Calibri" w:eastAsia="Calibri" w:hAnsi="Calibri" w:cs="Calibri"/>
          <w:color w:val="E91E63"/>
        </w:rPr>
        <w:t>Cons. const., 2012-240 QPC</w:t>
      </w:r>
      <w:r>
        <w:rPr>
          <w:rFonts w:ascii="Calibri" w:eastAsia="Calibri" w:hAnsi="Calibri" w:cs="Calibri"/>
          <w:color w:val="1A1A1A"/>
        </w:rPr>
        <w:t xml:space="preserve"> ; </w:t>
      </w:r>
      <w:r>
        <w:rPr>
          <w:rFonts w:ascii="Calibri" w:eastAsia="Calibri" w:hAnsi="Calibri" w:cs="Calibri"/>
          <w:color w:val="E91E63"/>
        </w:rPr>
        <w:t>Cons. const., 2012-253 QPC</w:t>
      </w:r>
      <w:r>
        <w:rPr>
          <w:rFonts w:ascii="Calibri" w:eastAsia="Calibri" w:hAnsi="Calibri" w:cs="Calibri"/>
          <w:color w:val="1A1A1A"/>
        </w:rPr>
        <w:t xml:space="preserve"> ; </w:t>
      </w:r>
      <w:r>
        <w:rPr>
          <w:rFonts w:ascii="Calibri" w:eastAsia="Calibri" w:hAnsi="Calibri" w:cs="Calibri"/>
          <w:color w:val="E91E63"/>
        </w:rPr>
        <w:t>CE, Centre hospitalier Guillaume Régnier</w:t>
      </w:r>
      <w:r>
        <w:rPr>
          <w:rFonts w:ascii="Calibri" w:eastAsia="Calibri" w:hAnsi="Calibri" w:cs="Calibri"/>
          <w:color w:val="1A1A1A"/>
        </w:rPr>
        <w:t xml:space="preserve"> ; </w:t>
      </w:r>
      <w:r>
        <w:rPr>
          <w:rFonts w:ascii="Calibri" w:eastAsia="Calibri" w:hAnsi="Calibri" w:cs="Calibri"/>
          <w:color w:val="E91E63"/>
        </w:rPr>
        <w:t>CE, Théron</w:t>
      </w:r>
      <w:r>
        <w:rPr>
          <w:rFonts w:ascii="Calibri" w:eastAsia="Calibri" w:hAnsi="Calibri" w:cs="Calibri"/>
          <w:color w:val="1A1A1A"/>
        </w:rPr>
        <w:t xml:space="preserve"> ; </w:t>
      </w:r>
      <w:r>
        <w:rPr>
          <w:rFonts w:ascii="Calibri" w:eastAsia="Calibri" w:hAnsi="Calibri" w:cs="Calibri"/>
          <w:color w:val="E91E63"/>
        </w:rPr>
        <w:t>CEDH, Boulois c. Luxembourg</w:t>
      </w:r>
      <w:r>
        <w:rPr>
          <w:rFonts w:ascii="Calibri" w:eastAsia="Calibri" w:hAnsi="Calibri" w:cs="Calibri"/>
          <w:color w:val="1A1A1A"/>
        </w:rPr>
        <w:t xml:space="preserve"> ; </w:t>
      </w:r>
      <w:r>
        <w:rPr>
          <w:rFonts w:ascii="Calibri" w:eastAsia="Calibri" w:hAnsi="Calibri" w:cs="Calibri"/>
          <w:color w:val="E91E63"/>
        </w:rPr>
        <w:t>CEDH, Popov c. France</w:t>
      </w:r>
      <w:r>
        <w:rPr>
          <w:rFonts w:ascii="Calibri" w:eastAsia="Calibri" w:hAnsi="Calibri" w:cs="Calibri"/>
          <w:color w:val="1A1A1A"/>
        </w:rPr>
        <w:t xml:space="preserve"> ; </w:t>
      </w:r>
      <w:r>
        <w:rPr>
          <w:rFonts w:ascii="Calibri" w:eastAsia="Calibri" w:hAnsi="Calibri" w:cs="Calibri"/>
          <w:color w:val="E91E63"/>
        </w:rPr>
        <w:t>CEDH, De Souza Ribeiro c. France</w:t>
      </w:r>
      <w:r>
        <w:rPr>
          <w:rFonts w:ascii="Calibri" w:eastAsia="Calibri" w:hAnsi="Calibri" w:cs="Calibri"/>
          <w:color w:val="1A1A1A"/>
        </w:rPr>
        <w:t xml:space="preserve"> — </w:t>
      </w:r>
      <w:r>
        <w:rPr>
          <w:rFonts w:ascii="Calibri" w:eastAsia="Calibri" w:hAnsi="Calibri" w:cs="Calibri"/>
          <w:b/>
          <w:bCs/>
          <w:color w:val="1A1A1A"/>
        </w:rPr>
        <w:t>2013</w:t>
      </w:r>
      <w:r>
        <w:rPr>
          <w:rFonts w:ascii="Calibri" w:eastAsia="Calibri" w:hAnsi="Calibri" w:cs="Calibri"/>
          <w:color w:val="1A1A1A"/>
        </w:rPr>
        <w:t xml:space="preserve"> </w:t>
      </w:r>
      <w:r>
        <w:rPr>
          <w:rFonts w:ascii="Calibri" w:eastAsia="Calibri" w:hAnsi="Calibri" w:cs="Calibri"/>
          <w:color w:val="E91E63"/>
        </w:rPr>
        <w:t>CEDH, Allen c. Royaume-Uni</w:t>
      </w:r>
      <w:r>
        <w:rPr>
          <w:rFonts w:ascii="Calibri" w:eastAsia="Calibri" w:hAnsi="Calibri" w:cs="Calibri"/>
          <w:color w:val="1A1A1A"/>
        </w:rPr>
        <w:t xml:space="preserve"> ; </w:t>
      </w:r>
      <w:r>
        <w:rPr>
          <w:rFonts w:ascii="Calibri" w:eastAsia="Calibri" w:hAnsi="Calibri" w:cs="Calibri"/>
          <w:color w:val="E91E63"/>
        </w:rPr>
        <w:t>CEDH, François Marc-Antoine c. France</w:t>
      </w:r>
      <w:r>
        <w:rPr>
          <w:rFonts w:ascii="Calibri" w:eastAsia="Calibri" w:hAnsi="Calibri" w:cs="Calibri"/>
          <w:color w:val="1A1A1A"/>
        </w:rPr>
        <w:t>.</w:t>
      </w:r>
    </w:p>
    <w:p w14:paraId="252D8DF4"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2016</w:t>
      </w:r>
      <w:r>
        <w:rPr>
          <w:rFonts w:ascii="Calibri" w:eastAsia="Calibri" w:hAnsi="Calibri" w:cs="Calibri"/>
          <w:color w:val="1A1A1A"/>
        </w:rPr>
        <w:t xml:space="preserve"> </w:t>
      </w:r>
      <w:r>
        <w:rPr>
          <w:rFonts w:ascii="Calibri" w:eastAsia="Calibri" w:hAnsi="Calibri" w:cs="Calibri"/>
          <w:color w:val="E91E63"/>
        </w:rPr>
        <w:t>CEDH, Baka c. Hongrie</w:t>
      </w:r>
      <w:r>
        <w:rPr>
          <w:rFonts w:ascii="Calibri" w:eastAsia="Calibri" w:hAnsi="Calibri" w:cs="Calibri"/>
          <w:color w:val="1A1A1A"/>
        </w:rPr>
        <w:t xml:space="preserve"> ; </w:t>
      </w:r>
      <w:r>
        <w:rPr>
          <w:rFonts w:ascii="Calibri" w:eastAsia="Calibri" w:hAnsi="Calibri" w:cs="Calibri"/>
          <w:color w:val="E91E63"/>
        </w:rPr>
        <w:t>CEDH, Bédat c. Suisse</w:t>
      </w:r>
      <w:r>
        <w:rPr>
          <w:rFonts w:ascii="Calibri" w:eastAsia="Calibri" w:hAnsi="Calibri" w:cs="Calibri"/>
          <w:color w:val="1A1A1A"/>
        </w:rPr>
        <w:t xml:space="preserve"> ; </w:t>
      </w:r>
      <w:r>
        <w:rPr>
          <w:rFonts w:ascii="Calibri" w:eastAsia="Calibri" w:hAnsi="Calibri" w:cs="Calibri"/>
          <w:color w:val="E91E63"/>
        </w:rPr>
        <w:t>Cass. civ. 1re, 25 mai</w:t>
      </w:r>
      <w:r>
        <w:rPr>
          <w:rFonts w:ascii="Calibri" w:eastAsia="Calibri" w:hAnsi="Calibri" w:cs="Calibri"/>
          <w:color w:val="1A1A1A"/>
        </w:rPr>
        <w:t xml:space="preserve"> ; </w:t>
      </w:r>
      <w:r>
        <w:rPr>
          <w:rFonts w:ascii="Calibri" w:eastAsia="Calibri" w:hAnsi="Calibri" w:cs="Calibri"/>
          <w:color w:val="E91E63"/>
        </w:rPr>
        <w:t>CEDH, R.K. c. France</w:t>
      </w:r>
      <w:r>
        <w:rPr>
          <w:rFonts w:ascii="Calibri" w:eastAsia="Calibri" w:hAnsi="Calibri" w:cs="Calibri"/>
          <w:color w:val="1A1A1A"/>
        </w:rPr>
        <w:t xml:space="preserve"> — </w:t>
      </w:r>
      <w:r>
        <w:rPr>
          <w:rFonts w:ascii="Calibri" w:eastAsia="Calibri" w:hAnsi="Calibri" w:cs="Calibri"/>
          <w:b/>
          <w:bCs/>
          <w:color w:val="1A1A1A"/>
        </w:rPr>
        <w:t>2018</w:t>
      </w:r>
      <w:r>
        <w:rPr>
          <w:rFonts w:ascii="Calibri" w:eastAsia="Calibri" w:hAnsi="Calibri" w:cs="Calibri"/>
          <w:color w:val="1A1A1A"/>
        </w:rPr>
        <w:t xml:space="preserve"> </w:t>
      </w:r>
      <w:r>
        <w:rPr>
          <w:rFonts w:ascii="Calibri" w:eastAsia="Calibri" w:hAnsi="Calibri" w:cs="Calibri"/>
          <w:color w:val="E91E63"/>
        </w:rPr>
        <w:t>CEDH, Zubac c. Croatie</w:t>
      </w:r>
      <w:r>
        <w:rPr>
          <w:rFonts w:ascii="Calibri" w:eastAsia="Calibri" w:hAnsi="Calibri" w:cs="Calibri"/>
          <w:color w:val="1A1A1A"/>
        </w:rPr>
        <w:t xml:space="preserve"> — </w:t>
      </w:r>
      <w:r>
        <w:rPr>
          <w:rFonts w:ascii="Calibri" w:eastAsia="Calibri" w:hAnsi="Calibri" w:cs="Calibri"/>
          <w:b/>
          <w:bCs/>
          <w:color w:val="1A1A1A"/>
        </w:rPr>
        <w:t>2019</w:t>
      </w:r>
      <w:r>
        <w:rPr>
          <w:rFonts w:ascii="Calibri" w:eastAsia="Calibri" w:hAnsi="Calibri" w:cs="Calibri"/>
          <w:color w:val="1A1A1A"/>
        </w:rPr>
        <w:t xml:space="preserve"> </w:t>
      </w:r>
      <w:r>
        <w:rPr>
          <w:rFonts w:ascii="Calibri" w:eastAsia="Calibri" w:hAnsi="Calibri" w:cs="Calibri"/>
          <w:color w:val="E91E63"/>
        </w:rPr>
        <w:t>Cons. const., 2019-778 DC</w:t>
      </w:r>
      <w:r>
        <w:rPr>
          <w:rFonts w:ascii="Calibri" w:eastAsia="Calibri" w:hAnsi="Calibri" w:cs="Calibri"/>
          <w:color w:val="1A1A1A"/>
        </w:rPr>
        <w:t xml:space="preserve"> ; </w:t>
      </w:r>
      <w:r>
        <w:rPr>
          <w:rFonts w:ascii="Calibri" w:eastAsia="Calibri" w:hAnsi="Calibri" w:cs="Calibri"/>
          <w:color w:val="E91E63"/>
        </w:rPr>
        <w:t>Cons. const., 2019-785 QPC</w:t>
      </w:r>
      <w:r>
        <w:rPr>
          <w:rFonts w:ascii="Calibri" w:eastAsia="Calibri" w:hAnsi="Calibri" w:cs="Calibri"/>
          <w:color w:val="1A1A1A"/>
        </w:rPr>
        <w:t xml:space="preserve"> ; </w:t>
      </w:r>
      <w:r>
        <w:rPr>
          <w:rFonts w:ascii="Calibri" w:eastAsia="Calibri" w:hAnsi="Calibri" w:cs="Calibri"/>
          <w:color w:val="E91E63"/>
        </w:rPr>
        <w:t>Cons. const., 2019-795 DC</w:t>
      </w:r>
      <w:r>
        <w:rPr>
          <w:rFonts w:ascii="Calibri" w:eastAsia="Calibri" w:hAnsi="Calibri" w:cs="Calibri"/>
          <w:color w:val="1A1A1A"/>
        </w:rPr>
        <w:t xml:space="preserve"> ; </w:t>
      </w:r>
      <w:r>
        <w:rPr>
          <w:rFonts w:ascii="Calibri" w:eastAsia="Calibri" w:hAnsi="Calibri" w:cs="Calibri"/>
          <w:color w:val="E91E63"/>
        </w:rPr>
        <w:t>Cons. const., 2019-801 QPC</w:t>
      </w:r>
      <w:r>
        <w:rPr>
          <w:rFonts w:ascii="Calibri" w:eastAsia="Calibri" w:hAnsi="Calibri" w:cs="Calibri"/>
          <w:color w:val="1A1A1A"/>
        </w:rPr>
        <w:t xml:space="preserve"> — </w:t>
      </w:r>
      <w:r>
        <w:rPr>
          <w:rFonts w:ascii="Calibri" w:eastAsia="Calibri" w:hAnsi="Calibri" w:cs="Calibri"/>
          <w:b/>
          <w:bCs/>
          <w:color w:val="1A1A1A"/>
        </w:rPr>
        <w:t>2020</w:t>
      </w:r>
      <w:r>
        <w:rPr>
          <w:rFonts w:ascii="Calibri" w:eastAsia="Calibri" w:hAnsi="Calibri" w:cs="Calibri"/>
          <w:color w:val="1A1A1A"/>
        </w:rPr>
        <w:t xml:space="preserve"> </w:t>
      </w:r>
      <w:r>
        <w:rPr>
          <w:rFonts w:ascii="Calibri" w:eastAsia="Calibri" w:hAnsi="Calibri" w:cs="Calibri"/>
          <w:color w:val="1E88E5"/>
        </w:rPr>
        <w:t>ordonnance du 25 mars</w:t>
      </w:r>
      <w:r>
        <w:rPr>
          <w:rFonts w:ascii="Calibri" w:eastAsia="Calibri" w:hAnsi="Calibri" w:cs="Calibri"/>
          <w:color w:val="1A1A1A"/>
        </w:rPr>
        <w:t xml:space="preserve"> ; </w:t>
      </w:r>
      <w:r>
        <w:rPr>
          <w:rFonts w:ascii="Calibri" w:eastAsia="Calibri" w:hAnsi="Calibri" w:cs="Calibri"/>
          <w:color w:val="E91E63"/>
        </w:rPr>
        <w:t>Cass., 26 mai</w:t>
      </w:r>
      <w:r>
        <w:rPr>
          <w:rFonts w:ascii="Calibri" w:eastAsia="Calibri" w:hAnsi="Calibri" w:cs="Calibri"/>
          <w:color w:val="1A1A1A"/>
        </w:rPr>
        <w:t xml:space="preserve"> ; </w:t>
      </w:r>
      <w:r>
        <w:rPr>
          <w:rFonts w:ascii="Calibri" w:eastAsia="Calibri" w:hAnsi="Calibri" w:cs="Calibri"/>
          <w:color w:val="E91E63"/>
        </w:rPr>
        <w:t>CE, GISTI</w:t>
      </w:r>
      <w:r>
        <w:rPr>
          <w:rFonts w:ascii="Calibri" w:eastAsia="Calibri" w:hAnsi="Calibri" w:cs="Calibri"/>
          <w:color w:val="1A1A1A"/>
        </w:rPr>
        <w:t xml:space="preserve"> ; </w:t>
      </w:r>
      <w:r>
        <w:rPr>
          <w:rFonts w:ascii="Calibri" w:eastAsia="Calibri" w:hAnsi="Calibri" w:cs="Calibri"/>
          <w:color w:val="E91E63"/>
        </w:rPr>
        <w:t>CEDH, J.M.B. c. France</w:t>
      </w:r>
      <w:r>
        <w:rPr>
          <w:rFonts w:ascii="Calibri" w:eastAsia="Calibri" w:hAnsi="Calibri" w:cs="Calibri"/>
          <w:color w:val="1A1A1A"/>
        </w:rPr>
        <w:t xml:space="preserve"> — </w:t>
      </w:r>
      <w:r>
        <w:rPr>
          <w:rFonts w:ascii="Calibri" w:eastAsia="Calibri" w:hAnsi="Calibri" w:cs="Calibri"/>
          <w:b/>
          <w:bCs/>
          <w:color w:val="1A1A1A"/>
        </w:rPr>
        <w:t>2021</w:t>
      </w:r>
      <w:r>
        <w:rPr>
          <w:rFonts w:ascii="Calibri" w:eastAsia="Calibri" w:hAnsi="Calibri" w:cs="Calibri"/>
          <w:color w:val="1A1A1A"/>
        </w:rPr>
        <w:t xml:space="preserve"> </w:t>
      </w:r>
      <w:r>
        <w:rPr>
          <w:rFonts w:ascii="Calibri" w:eastAsia="Calibri" w:hAnsi="Calibri" w:cs="Calibri"/>
          <w:color w:val="E91E63"/>
        </w:rPr>
        <w:t>Cons. const., 29 janvier</w:t>
      </w:r>
      <w:r>
        <w:rPr>
          <w:rFonts w:ascii="Calibri" w:eastAsia="Calibri" w:hAnsi="Calibri" w:cs="Calibri"/>
          <w:color w:val="1A1A1A"/>
        </w:rPr>
        <w:t xml:space="preserve"> (détention provisoire) ; </w:t>
      </w:r>
      <w:r>
        <w:rPr>
          <w:rFonts w:ascii="Calibri" w:eastAsia="Calibri" w:hAnsi="Calibri" w:cs="Calibri"/>
          <w:color w:val="E91E63"/>
        </w:rPr>
        <w:t>CEDH, V.C.L. et A.N. c. Royaume-Uni</w:t>
      </w:r>
      <w:r>
        <w:rPr>
          <w:rFonts w:ascii="Calibri" w:eastAsia="Calibri" w:hAnsi="Calibri" w:cs="Calibri"/>
          <w:color w:val="1A1A1A"/>
        </w:rPr>
        <w:t xml:space="preserve"> ; </w:t>
      </w:r>
      <w:r>
        <w:rPr>
          <w:rFonts w:ascii="Calibri" w:eastAsia="Calibri" w:hAnsi="Calibri" w:cs="Calibri"/>
          <w:color w:val="E91E63"/>
        </w:rPr>
        <w:t>Cons. const., 2021-953 QPC</w:t>
      </w:r>
      <w:r>
        <w:rPr>
          <w:rFonts w:ascii="Calibri" w:eastAsia="Calibri" w:hAnsi="Calibri" w:cs="Calibri"/>
          <w:color w:val="1A1A1A"/>
        </w:rPr>
        <w:t xml:space="preserve"> ; </w:t>
      </w:r>
      <w:r>
        <w:rPr>
          <w:rFonts w:ascii="Calibri" w:eastAsia="Calibri" w:hAnsi="Calibri" w:cs="Calibri"/>
          <w:color w:val="E91E63"/>
        </w:rPr>
        <w:t>Cass., 6 janvier</w:t>
      </w:r>
      <w:r>
        <w:rPr>
          <w:rFonts w:ascii="Calibri" w:eastAsia="Calibri" w:hAnsi="Calibri" w:cs="Calibri"/>
          <w:color w:val="1A1A1A"/>
        </w:rPr>
        <w:t xml:space="preserve"> (« Grâce à Dieu ») ; rapport du CGLPL sur les mineurs enfermés ; </w:t>
      </w:r>
      <w:r>
        <w:rPr>
          <w:rFonts w:ascii="Calibri" w:eastAsia="Calibri" w:hAnsi="Calibri" w:cs="Calibri"/>
          <w:color w:val="E91E63"/>
        </w:rPr>
        <w:t>CEDH, M.D. et A.D. c. France</w:t>
      </w:r>
      <w:r>
        <w:rPr>
          <w:rFonts w:ascii="Calibri" w:eastAsia="Calibri" w:hAnsi="Calibri" w:cs="Calibri"/>
          <w:color w:val="1A1A1A"/>
        </w:rPr>
        <w:t xml:space="preserve"> — </w:t>
      </w:r>
      <w:r>
        <w:rPr>
          <w:rFonts w:ascii="Calibri" w:eastAsia="Calibri" w:hAnsi="Calibri" w:cs="Calibri"/>
          <w:b/>
          <w:bCs/>
          <w:color w:val="1A1A1A"/>
        </w:rPr>
        <w:t>2022</w:t>
      </w:r>
      <w:r>
        <w:rPr>
          <w:rFonts w:ascii="Calibri" w:eastAsia="Calibri" w:hAnsi="Calibri" w:cs="Calibri"/>
          <w:color w:val="1A1A1A"/>
        </w:rPr>
        <w:t xml:space="preserve"> </w:t>
      </w:r>
      <w:r>
        <w:rPr>
          <w:rFonts w:ascii="Calibri" w:eastAsia="Calibri" w:hAnsi="Calibri" w:cs="Calibri"/>
          <w:color w:val="1E88E5"/>
        </w:rPr>
        <w:t>loi ajoutant l’art. 122-1-1 C. pén.</w:t>
      </w:r>
      <w:r>
        <w:rPr>
          <w:rFonts w:ascii="Calibri" w:eastAsia="Calibri" w:hAnsi="Calibri" w:cs="Calibri"/>
          <w:color w:val="1A1A1A"/>
        </w:rPr>
        <w:t xml:space="preserve"> ; </w:t>
      </w:r>
      <w:r>
        <w:rPr>
          <w:rFonts w:ascii="Calibri" w:eastAsia="Calibri" w:hAnsi="Calibri" w:cs="Calibri"/>
          <w:color w:val="E91E63"/>
        </w:rPr>
        <w:t>CEDH, Grzęda c. Pologne</w:t>
      </w:r>
      <w:r>
        <w:rPr>
          <w:rFonts w:ascii="Calibri" w:eastAsia="Calibri" w:hAnsi="Calibri" w:cs="Calibri"/>
          <w:color w:val="1A1A1A"/>
        </w:rPr>
        <w:t xml:space="preserve"> ; </w:t>
      </w:r>
      <w:r>
        <w:rPr>
          <w:rFonts w:ascii="Calibri" w:eastAsia="Calibri" w:hAnsi="Calibri" w:cs="Calibri"/>
          <w:color w:val="E91E63"/>
        </w:rPr>
        <w:t>CEDH, N.B. c. France</w:t>
      </w:r>
      <w:r>
        <w:rPr>
          <w:rFonts w:ascii="Calibri" w:eastAsia="Calibri" w:hAnsi="Calibri" w:cs="Calibri"/>
          <w:color w:val="1A1A1A"/>
        </w:rPr>
        <w:t xml:space="preserve"> — </w:t>
      </w:r>
      <w:r>
        <w:rPr>
          <w:rFonts w:ascii="Calibri" w:eastAsia="Calibri" w:hAnsi="Calibri" w:cs="Calibri"/>
          <w:b/>
          <w:bCs/>
          <w:color w:val="1A1A1A"/>
        </w:rPr>
        <w:t>2023</w:t>
      </w:r>
      <w:r>
        <w:rPr>
          <w:rFonts w:ascii="Calibri" w:eastAsia="Calibri" w:hAnsi="Calibri" w:cs="Calibri"/>
          <w:color w:val="1A1A1A"/>
        </w:rPr>
        <w:t xml:space="preserve"> </w:t>
      </w:r>
      <w:r>
        <w:rPr>
          <w:rFonts w:ascii="Calibri" w:eastAsia="Calibri" w:hAnsi="Calibri" w:cs="Calibri"/>
          <w:color w:val="E91E63"/>
        </w:rPr>
        <w:t>Cons. const., 2023-1064 QPC</w:t>
      </w:r>
      <w:r>
        <w:rPr>
          <w:rFonts w:ascii="Calibri" w:eastAsia="Calibri" w:hAnsi="Calibri" w:cs="Calibri"/>
          <w:color w:val="1A1A1A"/>
        </w:rPr>
        <w:t xml:space="preserve"> ; </w:t>
      </w:r>
      <w:r>
        <w:rPr>
          <w:rFonts w:ascii="Calibri" w:eastAsia="Calibri" w:hAnsi="Calibri" w:cs="Calibri"/>
          <w:color w:val="1E88E5"/>
        </w:rPr>
        <w:t>décret du 30 juin</w:t>
      </w:r>
      <w:r>
        <w:rPr>
          <w:rFonts w:ascii="Calibri" w:eastAsia="Calibri" w:hAnsi="Calibri" w:cs="Calibri"/>
          <w:color w:val="1A1A1A"/>
        </w:rPr>
        <w:t xml:space="preserve"> (Code de déontologie des avocats) ; </w:t>
      </w:r>
      <w:r>
        <w:rPr>
          <w:rFonts w:ascii="Calibri" w:eastAsia="Calibri" w:hAnsi="Calibri" w:cs="Calibri"/>
          <w:color w:val="E91E63"/>
        </w:rPr>
        <w:t>CE, 29 décembre</w:t>
      </w:r>
      <w:r>
        <w:rPr>
          <w:rFonts w:ascii="Calibri" w:eastAsia="Calibri" w:hAnsi="Calibri" w:cs="Calibri"/>
          <w:color w:val="1A1A1A"/>
        </w:rPr>
        <w:t xml:space="preserve"> ; </w:t>
      </w:r>
      <w:r>
        <w:rPr>
          <w:rFonts w:ascii="Calibri" w:eastAsia="Calibri" w:hAnsi="Calibri" w:cs="Calibri"/>
          <w:color w:val="E91E63"/>
        </w:rPr>
        <w:t>CEDH, A.M. c. France</w:t>
      </w:r>
      <w:r>
        <w:rPr>
          <w:rFonts w:ascii="Calibri" w:eastAsia="Calibri" w:hAnsi="Calibri" w:cs="Calibri"/>
          <w:color w:val="1A1A1A"/>
        </w:rPr>
        <w:t xml:space="preserve"> (2023).</w:t>
      </w:r>
    </w:p>
    <w:p w14:paraId="5FAB8355"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2024</w:t>
      </w:r>
      <w:r>
        <w:rPr>
          <w:rFonts w:ascii="Calibri" w:eastAsia="Calibri" w:hAnsi="Calibri" w:cs="Calibri"/>
          <w:color w:val="1A1A1A"/>
        </w:rPr>
        <w:t xml:space="preserve"> </w:t>
      </w:r>
      <w:r>
        <w:rPr>
          <w:rFonts w:ascii="Calibri" w:eastAsia="Calibri" w:hAnsi="Calibri" w:cs="Calibri"/>
          <w:color w:val="1E88E5"/>
        </w:rPr>
        <w:t>loi du 22 avril</w:t>
      </w:r>
      <w:r>
        <w:rPr>
          <w:rFonts w:ascii="Calibri" w:eastAsia="Calibri" w:hAnsi="Calibri" w:cs="Calibri"/>
          <w:color w:val="1A1A1A"/>
        </w:rPr>
        <w:t xml:space="preserve"> (suppression du délai de carence) ; </w:t>
      </w:r>
      <w:r>
        <w:rPr>
          <w:rFonts w:ascii="Calibri" w:eastAsia="Calibri" w:hAnsi="Calibri" w:cs="Calibri"/>
          <w:color w:val="E91E63"/>
        </w:rPr>
        <w:t>CE, M. A. c. ministre des Armées</w:t>
      </w:r>
      <w:r>
        <w:rPr>
          <w:rFonts w:ascii="Calibri" w:eastAsia="Calibri" w:hAnsi="Calibri" w:cs="Calibri"/>
          <w:color w:val="1A1A1A"/>
        </w:rPr>
        <w:t xml:space="preserve"> ; </w:t>
      </w:r>
      <w:r>
        <w:rPr>
          <w:rFonts w:ascii="Calibri" w:eastAsia="Calibri" w:hAnsi="Calibri" w:cs="Calibri"/>
          <w:color w:val="E91E63"/>
        </w:rPr>
        <w:t>CEDH, V.I. c. République de Moldova</w:t>
      </w:r>
      <w:r>
        <w:rPr>
          <w:rFonts w:ascii="Calibri" w:eastAsia="Calibri" w:hAnsi="Calibri" w:cs="Calibri"/>
          <w:color w:val="1A1A1A"/>
        </w:rPr>
        <w:t xml:space="preserve"> ; </w:t>
      </w:r>
      <w:r>
        <w:rPr>
          <w:rFonts w:ascii="Calibri" w:eastAsia="Calibri" w:hAnsi="Calibri" w:cs="Calibri"/>
          <w:color w:val="E91E63"/>
        </w:rPr>
        <w:t>CE, 31 décembre</w:t>
      </w:r>
      <w:r>
        <w:rPr>
          <w:rFonts w:ascii="Calibri" w:eastAsia="Calibri" w:hAnsi="Calibri" w:cs="Calibri"/>
          <w:color w:val="1A1A1A"/>
        </w:rPr>
        <w:t xml:space="preserve"> (dégrisement) — </w:t>
      </w:r>
      <w:r>
        <w:rPr>
          <w:rFonts w:ascii="Calibri" w:eastAsia="Calibri" w:hAnsi="Calibri" w:cs="Calibri"/>
          <w:b/>
          <w:bCs/>
          <w:color w:val="1A1A1A"/>
        </w:rPr>
        <w:t>2025</w:t>
      </w:r>
      <w:r>
        <w:rPr>
          <w:rFonts w:ascii="Calibri" w:eastAsia="Calibri" w:hAnsi="Calibri" w:cs="Calibri"/>
          <w:color w:val="1A1A1A"/>
        </w:rPr>
        <w:t xml:space="preserve"> </w:t>
      </w:r>
      <w:r>
        <w:rPr>
          <w:rFonts w:ascii="Calibri" w:eastAsia="Calibri" w:hAnsi="Calibri" w:cs="Calibri"/>
          <w:color w:val="1E88E5"/>
        </w:rPr>
        <w:t>loi du 13 juin</w:t>
      </w:r>
      <w:r>
        <w:rPr>
          <w:rFonts w:ascii="Calibri" w:eastAsia="Calibri" w:hAnsi="Calibri" w:cs="Calibri"/>
          <w:color w:val="1A1A1A"/>
        </w:rPr>
        <w:t xml:space="preserve"> (narcotrafic) ; </w:t>
      </w:r>
      <w:r>
        <w:rPr>
          <w:rFonts w:ascii="Calibri" w:eastAsia="Calibri" w:hAnsi="Calibri" w:cs="Calibri"/>
          <w:color w:val="E91E63"/>
        </w:rPr>
        <w:t>Cons. const., 12 juin</w:t>
      </w:r>
      <w:r>
        <w:rPr>
          <w:rFonts w:ascii="Calibri" w:eastAsia="Calibri" w:hAnsi="Calibri" w:cs="Calibri"/>
          <w:color w:val="1A1A1A"/>
        </w:rPr>
        <w:t xml:space="preserve"> (loi narcotrafic) ; </w:t>
      </w:r>
      <w:r>
        <w:rPr>
          <w:rFonts w:ascii="Calibri" w:eastAsia="Calibri" w:hAnsi="Calibri" w:cs="Calibri"/>
          <w:color w:val="E91E63"/>
        </w:rPr>
        <w:t>Cons. const., 29 avril</w:t>
      </w:r>
      <w:r>
        <w:rPr>
          <w:rFonts w:ascii="Calibri" w:eastAsia="Calibri" w:hAnsi="Calibri" w:cs="Calibri"/>
          <w:color w:val="1A1A1A"/>
        </w:rPr>
        <w:t xml:space="preserve"> (droit de visite des bâtonniers, effets reportés au 30 avril 2026) ; </w:t>
      </w:r>
      <w:r>
        <w:rPr>
          <w:rFonts w:ascii="Calibri" w:eastAsia="Calibri" w:hAnsi="Calibri" w:cs="Calibri"/>
          <w:color w:val="E91E63"/>
        </w:rPr>
        <w:t>Cons. const., 19 juin</w:t>
      </w:r>
      <w:r>
        <w:rPr>
          <w:rFonts w:ascii="Calibri" w:eastAsia="Calibri" w:hAnsi="Calibri" w:cs="Calibri"/>
          <w:color w:val="1A1A1A"/>
        </w:rPr>
        <w:t xml:space="preserve"> (loi « Attal ») ; QPC n° 2025-1153 du 11 juin (Parquet européen) ; </w:t>
      </w:r>
      <w:r>
        <w:rPr>
          <w:rFonts w:ascii="Calibri" w:eastAsia="Calibri" w:hAnsi="Calibri" w:cs="Calibri"/>
          <w:color w:val="E91E63"/>
        </w:rPr>
        <w:t>CEDH, GC, 10 juillet, Semenya c. Suisse</w:t>
      </w:r>
      <w:r>
        <w:rPr>
          <w:rFonts w:ascii="Calibri" w:eastAsia="Calibri" w:hAnsi="Calibri" w:cs="Calibri"/>
          <w:color w:val="1A1A1A"/>
        </w:rPr>
        <w:t xml:space="preserve"> ; </w:t>
      </w:r>
      <w:r>
        <w:rPr>
          <w:rFonts w:ascii="Calibri" w:eastAsia="Calibri" w:hAnsi="Calibri" w:cs="Calibri"/>
          <w:color w:val="E91E63"/>
        </w:rPr>
        <w:t>Cass., Ass. plén., 25 juillet</w:t>
      </w:r>
      <w:r>
        <w:rPr>
          <w:rFonts w:ascii="Calibri" w:eastAsia="Calibri" w:hAnsi="Calibri" w:cs="Calibri"/>
          <w:color w:val="1A1A1A"/>
        </w:rPr>
        <w:t xml:space="preserve"> (immunités) ; rapport du CGLPL sur la zone d’attente de Toulouse-Blagnac — </w:t>
      </w:r>
      <w:r>
        <w:rPr>
          <w:rFonts w:ascii="Calibri" w:eastAsia="Calibri" w:hAnsi="Calibri" w:cs="Calibri"/>
          <w:b/>
          <w:bCs/>
          <w:color w:val="1A1A1A"/>
        </w:rPr>
        <w:t>2026</w:t>
      </w:r>
      <w:r>
        <w:rPr>
          <w:rFonts w:ascii="Calibri" w:eastAsia="Calibri" w:hAnsi="Calibri" w:cs="Calibri"/>
          <w:color w:val="1A1A1A"/>
        </w:rPr>
        <w:t xml:space="preserve"> </w:t>
      </w:r>
      <w:r>
        <w:rPr>
          <w:rFonts w:ascii="Calibri" w:eastAsia="Calibri" w:hAnsi="Calibri" w:cs="Calibri"/>
          <w:color w:val="1E88E5"/>
        </w:rPr>
        <w:t>loi n° 2026-667 du 27 juillet</w:t>
      </w:r>
      <w:r>
        <w:rPr>
          <w:rFonts w:ascii="Calibri" w:eastAsia="Calibri" w:hAnsi="Calibri" w:cs="Calibri"/>
          <w:color w:val="1A1A1A"/>
        </w:rPr>
        <w:t xml:space="preserve"> ; </w:t>
      </w:r>
      <w:r>
        <w:rPr>
          <w:rFonts w:ascii="Calibri" w:eastAsia="Calibri" w:hAnsi="Calibri" w:cs="Calibri"/>
          <w:color w:val="E91E63"/>
        </w:rPr>
        <w:t>Cons. const., 2026-906 DC, 23 juillet</w:t>
      </w:r>
      <w:r>
        <w:rPr>
          <w:rFonts w:ascii="Calibri" w:eastAsia="Calibri" w:hAnsi="Calibri" w:cs="Calibri"/>
          <w:color w:val="1A1A1A"/>
        </w:rPr>
        <w:t>.</w:t>
      </w:r>
    </w:p>
    <w:p w14:paraId="51DA4ED6" w14:textId="77777777" w:rsidR="00520D98" w:rsidRDefault="00000000">
      <w:pPr>
        <w:pStyle w:val="Titre2"/>
        <w:spacing w:before="280" w:after="120"/>
      </w:pPr>
      <w:r>
        <w:rPr>
          <w:rFonts w:ascii="Calibri" w:eastAsia="Calibri" w:hAnsi="Calibri" w:cs="Calibri"/>
          <w:b/>
          <w:bCs/>
          <w:color w:val="1A1A1A"/>
          <w:sz w:val="24"/>
          <w:szCs w:val="24"/>
        </w:rPr>
        <w:t>II. Ajouts à l’index transversal</w:t>
      </w:r>
    </w:p>
    <w:p w14:paraId="3F0F445B"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Article 66 de la Constitution</w:t>
      </w:r>
      <w:r>
        <w:rPr>
          <w:rFonts w:ascii="Calibri" w:eastAsia="Calibri" w:hAnsi="Calibri" w:cs="Calibri"/>
          <w:color w:val="1A1A1A"/>
        </w:rPr>
        <w:t xml:space="preserve"> → fiches 1 (liberté individuelle / liberté personnelle), 9 (corps de la Constitution), 17 (rétraction de la notion), 18 (glissement de compétence vers le juge administratif), 19 (isolement et contention), 30 (les dix régimes de privation de liberté).</w:t>
      </w:r>
    </w:p>
    <w:p w14:paraId="47BE1E04"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Autorité judiciaire et parquet</w:t>
      </w:r>
      <w:r>
        <w:rPr>
          <w:rFonts w:ascii="Calibri" w:eastAsia="Calibri" w:hAnsi="Calibri" w:cs="Calibri"/>
          <w:color w:val="1A1A1A"/>
        </w:rPr>
        <w:t xml:space="preserve"> → fiches 17 (</w:t>
      </w:r>
      <w:r>
        <w:rPr>
          <w:rFonts w:ascii="Calibri" w:eastAsia="Calibri" w:hAnsi="Calibri" w:cs="Calibri"/>
          <w:color w:val="E91E63"/>
        </w:rPr>
        <w:t>2019-778 DC</w:t>
      </w:r>
      <w:r>
        <w:rPr>
          <w:rFonts w:ascii="Calibri" w:eastAsia="Calibri" w:hAnsi="Calibri" w:cs="Calibri"/>
          <w:color w:val="1A1A1A"/>
        </w:rPr>
        <w:t xml:space="preserve"> / </w:t>
      </w:r>
      <w:r>
        <w:rPr>
          <w:rFonts w:ascii="Calibri" w:eastAsia="Calibri" w:hAnsi="Calibri" w:cs="Calibri"/>
          <w:color w:val="E91E63"/>
        </w:rPr>
        <w:t>Medvedyev</w:t>
      </w:r>
      <w:r>
        <w:rPr>
          <w:rFonts w:ascii="Calibri" w:eastAsia="Calibri" w:hAnsi="Calibri" w:cs="Calibri"/>
          <w:color w:val="1A1A1A"/>
        </w:rPr>
        <w:t xml:space="preserve"> et </w:t>
      </w:r>
      <w:r>
        <w:rPr>
          <w:rFonts w:ascii="Calibri" w:eastAsia="Calibri" w:hAnsi="Calibri" w:cs="Calibri"/>
          <w:color w:val="E91E63"/>
        </w:rPr>
        <w:t>Moulin</w:t>
      </w:r>
      <w:r>
        <w:rPr>
          <w:rFonts w:ascii="Calibri" w:eastAsia="Calibri" w:hAnsi="Calibri" w:cs="Calibri"/>
          <w:color w:val="1A1A1A"/>
        </w:rPr>
        <w:t>), 30 (contrôle de la légalité de l’enfermement), 31 (indépendance et impartialité).</w:t>
      </w:r>
    </w:p>
    <w:p w14:paraId="639259D1"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Dignité en détention</w:t>
      </w:r>
      <w:r>
        <w:rPr>
          <w:rFonts w:ascii="Calibri" w:eastAsia="Calibri" w:hAnsi="Calibri" w:cs="Calibri"/>
          <w:color w:val="1A1A1A"/>
        </w:rPr>
        <w:t xml:space="preserve"> → fiches 20 (CGLPL), 28 (conditions indignes, </w:t>
      </w:r>
      <w:r>
        <w:rPr>
          <w:rFonts w:ascii="Calibri" w:eastAsia="Calibri" w:hAnsi="Calibri" w:cs="Calibri"/>
          <w:color w:val="1E88E5"/>
        </w:rPr>
        <w:t>art. 803-8 CPP</w:t>
      </w:r>
      <w:r>
        <w:rPr>
          <w:rFonts w:ascii="Calibri" w:eastAsia="Calibri" w:hAnsi="Calibri" w:cs="Calibri"/>
          <w:color w:val="1A1A1A"/>
        </w:rPr>
        <w:t xml:space="preserve">), 30 (garde à vue, </w:t>
      </w:r>
      <w:r>
        <w:rPr>
          <w:rFonts w:ascii="Calibri" w:eastAsia="Calibri" w:hAnsi="Calibri" w:cs="Calibri"/>
          <w:color w:val="E91E63"/>
        </w:rPr>
        <w:t>2023-1064 QPC</w:t>
      </w:r>
      <w:r>
        <w:rPr>
          <w:rFonts w:ascii="Calibri" w:eastAsia="Calibri" w:hAnsi="Calibri" w:cs="Calibri"/>
          <w:color w:val="1A1A1A"/>
        </w:rPr>
        <w:t xml:space="preserve"> ; cellule de dégrisement, </w:t>
      </w:r>
      <w:r>
        <w:rPr>
          <w:rFonts w:ascii="Calibri" w:eastAsia="Calibri" w:hAnsi="Calibri" w:cs="Calibri"/>
          <w:color w:val="E91E63"/>
        </w:rPr>
        <w:t>CE, 29 décembre 2023</w:t>
      </w:r>
      <w:r>
        <w:rPr>
          <w:rFonts w:ascii="Calibri" w:eastAsia="Calibri" w:hAnsi="Calibri" w:cs="Calibri"/>
          <w:color w:val="1A1A1A"/>
        </w:rPr>
        <w:t>).</w:t>
      </w:r>
    </w:p>
    <w:p w14:paraId="008C8304"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Recours effectif</w:t>
      </w:r>
      <w:r>
        <w:rPr>
          <w:rFonts w:ascii="Calibri" w:eastAsia="Calibri" w:hAnsi="Calibri" w:cs="Calibri"/>
          <w:color w:val="1A1A1A"/>
        </w:rPr>
        <w:t xml:space="preserve"> → fiches 18 (référés), 22 (</w:t>
      </w:r>
      <w:r>
        <w:rPr>
          <w:rFonts w:ascii="Calibri" w:eastAsia="Calibri" w:hAnsi="Calibri" w:cs="Calibri"/>
          <w:color w:val="1E88E5"/>
        </w:rPr>
        <w:t>art. 13</w:t>
      </w:r>
      <w:r>
        <w:rPr>
          <w:rFonts w:ascii="Calibri" w:eastAsia="Calibri" w:hAnsi="Calibri" w:cs="Calibri"/>
          <w:color w:val="1A1A1A"/>
        </w:rPr>
        <w:t xml:space="preserve"> et exécution), 23 (</w:t>
      </w:r>
      <w:r>
        <w:rPr>
          <w:rFonts w:ascii="Calibri" w:eastAsia="Calibri" w:hAnsi="Calibri" w:cs="Calibri"/>
          <w:color w:val="1E88E5"/>
        </w:rPr>
        <w:t>art. 47 de la Charte</w:t>
      </w:r>
      <w:r>
        <w:rPr>
          <w:rFonts w:ascii="Calibri" w:eastAsia="Calibri" w:hAnsi="Calibri" w:cs="Calibri"/>
          <w:color w:val="1A1A1A"/>
        </w:rPr>
        <w:t xml:space="preserve">, </w:t>
      </w:r>
      <w:r>
        <w:rPr>
          <w:rFonts w:ascii="Calibri" w:eastAsia="Calibri" w:hAnsi="Calibri" w:cs="Calibri"/>
          <w:color w:val="E91E63"/>
        </w:rPr>
        <w:t>Johnston</w:t>
      </w:r>
      <w:r>
        <w:rPr>
          <w:rFonts w:ascii="Calibri" w:eastAsia="Calibri" w:hAnsi="Calibri" w:cs="Calibri"/>
          <w:color w:val="1A1A1A"/>
        </w:rPr>
        <w:t>), 28 (</w:t>
      </w:r>
      <w:r>
        <w:rPr>
          <w:rFonts w:ascii="Calibri" w:eastAsia="Calibri" w:hAnsi="Calibri" w:cs="Calibri"/>
          <w:color w:val="E91E63"/>
        </w:rPr>
        <w:t>J.M.B.</w:t>
      </w:r>
      <w:r>
        <w:rPr>
          <w:rFonts w:ascii="Calibri" w:eastAsia="Calibri" w:hAnsi="Calibri" w:cs="Calibri"/>
          <w:color w:val="1A1A1A"/>
        </w:rPr>
        <w:t>, recours préventif), 31 (conditions d’applicabilité de l’</w:t>
      </w:r>
      <w:r>
        <w:rPr>
          <w:rFonts w:ascii="Calibri" w:eastAsia="Calibri" w:hAnsi="Calibri" w:cs="Calibri"/>
          <w:color w:val="1E88E5"/>
        </w:rPr>
        <w:t>art. 13</w:t>
      </w:r>
      <w:r>
        <w:rPr>
          <w:rFonts w:ascii="Calibri" w:eastAsia="Calibri" w:hAnsi="Calibri" w:cs="Calibri"/>
          <w:color w:val="1A1A1A"/>
        </w:rPr>
        <w:t>).</w:t>
      </w:r>
    </w:p>
    <w:p w14:paraId="298AECFF"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Matière pénale (notion autonome)</w:t>
      </w:r>
      <w:r>
        <w:rPr>
          <w:rFonts w:ascii="Calibri" w:eastAsia="Calibri" w:hAnsi="Calibri" w:cs="Calibri"/>
          <w:color w:val="1A1A1A"/>
        </w:rPr>
        <w:t xml:space="preserve"> → fiches 20 (pouvoir de sanction des AAI, </w:t>
      </w:r>
      <w:r>
        <w:rPr>
          <w:rFonts w:ascii="Calibri" w:eastAsia="Calibri" w:hAnsi="Calibri" w:cs="Calibri"/>
          <w:color w:val="E91E63"/>
        </w:rPr>
        <w:t>89-260 DC</w:t>
      </w:r>
      <w:r>
        <w:rPr>
          <w:rFonts w:ascii="Calibri" w:eastAsia="Calibri" w:hAnsi="Calibri" w:cs="Calibri"/>
          <w:color w:val="1A1A1A"/>
        </w:rPr>
        <w:t xml:space="preserve">), 31 (critères </w:t>
      </w:r>
      <w:r>
        <w:rPr>
          <w:rFonts w:ascii="Calibri" w:eastAsia="Calibri" w:hAnsi="Calibri" w:cs="Calibri"/>
          <w:i/>
          <w:iCs/>
          <w:color w:val="1A1A1A"/>
        </w:rPr>
        <w:t>Engel</w:t>
      </w:r>
      <w:r>
        <w:rPr>
          <w:rFonts w:ascii="Calibri" w:eastAsia="Calibri" w:hAnsi="Calibri" w:cs="Calibri"/>
          <w:color w:val="1A1A1A"/>
        </w:rPr>
        <w:t>), 32 (</w:t>
      </w:r>
      <w:r>
        <w:rPr>
          <w:rFonts w:ascii="Calibri" w:eastAsia="Calibri" w:hAnsi="Calibri" w:cs="Calibri"/>
          <w:i/>
          <w:iCs/>
          <w:color w:val="1A1A1A"/>
        </w:rPr>
        <w:t>non bis in idem</w:t>
      </w:r>
      <w:r>
        <w:rPr>
          <w:rFonts w:ascii="Calibri" w:eastAsia="Calibri" w:hAnsi="Calibri" w:cs="Calibri"/>
          <w:color w:val="1A1A1A"/>
        </w:rPr>
        <w:t>, réserve française au Protocole n° 7).</w:t>
      </w:r>
    </w:p>
    <w:p w14:paraId="51B2C37C"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Immunités</w:t>
      </w:r>
      <w:r>
        <w:rPr>
          <w:rFonts w:ascii="Calibri" w:eastAsia="Calibri" w:hAnsi="Calibri" w:cs="Calibri"/>
          <w:color w:val="1A1A1A"/>
        </w:rPr>
        <w:t xml:space="preserve"> → fiches 12 (conflits de normes internationales), 31 (immunités de juridiction, </w:t>
      </w:r>
      <w:r>
        <w:rPr>
          <w:rFonts w:ascii="Calibri" w:eastAsia="Calibri" w:hAnsi="Calibri" w:cs="Calibri"/>
          <w:color w:val="E91E63"/>
        </w:rPr>
        <w:t>Al-</w:t>
      </w:r>
      <w:proofErr w:type="spellStart"/>
      <w:r>
        <w:rPr>
          <w:rFonts w:ascii="Calibri" w:eastAsia="Calibri" w:hAnsi="Calibri" w:cs="Calibri"/>
          <w:color w:val="E91E63"/>
        </w:rPr>
        <w:t>Adsani</w:t>
      </w:r>
      <w:proofErr w:type="spellEnd"/>
      <w:r>
        <w:rPr>
          <w:rFonts w:ascii="Calibri" w:eastAsia="Calibri" w:hAnsi="Calibri" w:cs="Calibri"/>
          <w:color w:val="1A1A1A"/>
        </w:rPr>
        <w:t xml:space="preserve">, </w:t>
      </w:r>
      <w:r>
        <w:rPr>
          <w:rFonts w:ascii="Calibri" w:eastAsia="Calibri" w:hAnsi="Calibri" w:cs="Calibri"/>
          <w:color w:val="E91E63"/>
        </w:rPr>
        <w:t>Kart</w:t>
      </w:r>
      <w:r>
        <w:rPr>
          <w:rFonts w:ascii="Calibri" w:eastAsia="Calibri" w:hAnsi="Calibri" w:cs="Calibri"/>
          <w:color w:val="1A1A1A"/>
        </w:rPr>
        <w:t xml:space="preserve">), 32 (immunité parlementaire, </w:t>
      </w:r>
      <w:r>
        <w:rPr>
          <w:rFonts w:ascii="Calibri" w:eastAsia="Calibri" w:hAnsi="Calibri" w:cs="Calibri"/>
          <w:color w:val="1E88E5"/>
        </w:rPr>
        <w:t>art. 26 et 53-2 C.</w:t>
      </w:r>
      <w:r>
        <w:rPr>
          <w:rFonts w:ascii="Calibri" w:eastAsia="Calibri" w:hAnsi="Calibri" w:cs="Calibri"/>
          <w:color w:val="1A1A1A"/>
        </w:rPr>
        <w:t>).</w:t>
      </w:r>
    </w:p>
    <w:p w14:paraId="52025103"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Mineurs</w:t>
      </w:r>
      <w:r>
        <w:rPr>
          <w:rFonts w:ascii="Calibri" w:eastAsia="Calibri" w:hAnsi="Calibri" w:cs="Calibri"/>
          <w:color w:val="1A1A1A"/>
        </w:rPr>
        <w:t xml:space="preserve"> → fiches 9 (PFRLR de la justice pénale des mineurs, </w:t>
      </w:r>
      <w:r>
        <w:rPr>
          <w:rFonts w:ascii="Calibri" w:eastAsia="Calibri" w:hAnsi="Calibri" w:cs="Calibri"/>
          <w:color w:val="E91E63"/>
        </w:rPr>
        <w:t>2025-1143 QPC</w:t>
      </w:r>
      <w:r>
        <w:rPr>
          <w:rFonts w:ascii="Calibri" w:eastAsia="Calibri" w:hAnsi="Calibri" w:cs="Calibri"/>
          <w:color w:val="1A1A1A"/>
        </w:rPr>
        <w:t>), 28 (mineurs non accompagnés, examens osseux), 29 (traite, critère du « moyen » écarté), 30 (enfermement des mineurs, CRA et détention).</w:t>
      </w:r>
    </w:p>
    <w:p w14:paraId="3DEAC3F8" w14:textId="77777777" w:rsidR="00520D98" w:rsidRDefault="00000000">
      <w:pPr>
        <w:pStyle w:val="Paragraphedeliste"/>
        <w:numPr>
          <w:ilvl w:val="0"/>
          <w:numId w:val="2"/>
        </w:numPr>
        <w:spacing w:after="70" w:line="264" w:lineRule="auto"/>
        <w:jc w:val="both"/>
      </w:pPr>
      <w:r>
        <w:rPr>
          <w:rFonts w:ascii="Calibri" w:eastAsia="Calibri" w:hAnsi="Calibri" w:cs="Calibri"/>
          <w:b/>
          <w:bCs/>
          <w:color w:val="1A1A1A"/>
        </w:rPr>
        <w:t>Criminalité organisée et droits de la défense</w:t>
      </w:r>
      <w:r>
        <w:rPr>
          <w:rFonts w:ascii="Calibri" w:eastAsia="Calibri" w:hAnsi="Calibri" w:cs="Calibri"/>
          <w:color w:val="1A1A1A"/>
        </w:rPr>
        <w:t xml:space="preserve"> → fiches 7 (régimes d’exception), 30 (prolongation de garde à vue, quartiers de lutte contre la criminalité organisée), 32 (loi narcotrafic, « dossier coffre », visioconférence).</w:t>
      </w:r>
    </w:p>
    <w:sectPr w:rsidR="00520D98">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E1EA00" w14:textId="77777777" w:rsidR="000A2ECB" w:rsidRDefault="000A2ECB">
      <w:r>
        <w:separator/>
      </w:r>
    </w:p>
  </w:endnote>
  <w:endnote w:type="continuationSeparator" w:id="0">
    <w:p w14:paraId="5F306D44" w14:textId="77777777" w:rsidR="000A2ECB" w:rsidRDefault="000A2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6BB33" w14:textId="77777777" w:rsidR="00520D98" w:rsidRDefault="00000000">
    <w:pPr>
      <w:jc w:val="center"/>
    </w:pPr>
    <w:r>
      <w:rPr>
        <w:rFonts w:ascii="Calibri" w:eastAsia="Calibri" w:hAnsi="Calibri" w:cs="Calibri"/>
        <w:color w:val="5A5A5A"/>
        <w:sz w:val="15"/>
        <w:szCs w:val="15"/>
      </w:rPr>
      <w:t xml:space="preserve">Grand Oral CRFPA — Libertés publiques et droits fondamentaux — Partie VI-B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87271C">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AFDD2F" w14:textId="77777777" w:rsidR="000A2ECB" w:rsidRDefault="000A2ECB">
      <w:r>
        <w:separator/>
      </w:r>
    </w:p>
  </w:footnote>
  <w:footnote w:type="continuationSeparator" w:id="0">
    <w:p w14:paraId="554D58D1" w14:textId="77777777" w:rsidR="000A2ECB" w:rsidRDefault="000A2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49517D"/>
    <w:multiLevelType w:val="hybridMultilevel"/>
    <w:tmpl w:val="E9E464A2"/>
    <w:lvl w:ilvl="0" w:tplc="23549FF6">
      <w:start w:val="1"/>
      <w:numFmt w:val="bullet"/>
      <w:lvlText w:val="●"/>
      <w:lvlJc w:val="left"/>
      <w:pPr>
        <w:ind w:left="720" w:hanging="360"/>
      </w:pPr>
    </w:lvl>
    <w:lvl w:ilvl="1" w:tplc="3C8C127C">
      <w:start w:val="1"/>
      <w:numFmt w:val="bullet"/>
      <w:lvlText w:val="○"/>
      <w:lvlJc w:val="left"/>
      <w:pPr>
        <w:ind w:left="1440" w:hanging="360"/>
      </w:pPr>
    </w:lvl>
    <w:lvl w:ilvl="2" w:tplc="6A28E85A">
      <w:start w:val="1"/>
      <w:numFmt w:val="bullet"/>
      <w:lvlText w:val="■"/>
      <w:lvlJc w:val="left"/>
      <w:pPr>
        <w:ind w:left="2160" w:hanging="360"/>
      </w:pPr>
    </w:lvl>
    <w:lvl w:ilvl="3" w:tplc="4ACE401C">
      <w:start w:val="1"/>
      <w:numFmt w:val="bullet"/>
      <w:lvlText w:val="●"/>
      <w:lvlJc w:val="left"/>
      <w:pPr>
        <w:ind w:left="2880" w:hanging="360"/>
      </w:pPr>
    </w:lvl>
    <w:lvl w:ilvl="4" w:tplc="D264C89E">
      <w:start w:val="1"/>
      <w:numFmt w:val="bullet"/>
      <w:lvlText w:val="○"/>
      <w:lvlJc w:val="left"/>
      <w:pPr>
        <w:ind w:left="3600" w:hanging="360"/>
      </w:pPr>
    </w:lvl>
    <w:lvl w:ilvl="5" w:tplc="0CA0B68E">
      <w:start w:val="1"/>
      <w:numFmt w:val="bullet"/>
      <w:lvlText w:val="■"/>
      <w:lvlJc w:val="left"/>
      <w:pPr>
        <w:ind w:left="4320" w:hanging="360"/>
      </w:pPr>
    </w:lvl>
    <w:lvl w:ilvl="6" w:tplc="D7E87A4E">
      <w:start w:val="1"/>
      <w:numFmt w:val="bullet"/>
      <w:lvlText w:val="●"/>
      <w:lvlJc w:val="left"/>
      <w:pPr>
        <w:ind w:left="5040" w:hanging="360"/>
      </w:pPr>
    </w:lvl>
    <w:lvl w:ilvl="7" w:tplc="5E763904">
      <w:start w:val="1"/>
      <w:numFmt w:val="bullet"/>
      <w:lvlText w:val="●"/>
      <w:lvlJc w:val="left"/>
      <w:pPr>
        <w:ind w:left="5760" w:hanging="360"/>
      </w:pPr>
    </w:lvl>
    <w:lvl w:ilvl="8" w:tplc="CA303552">
      <w:start w:val="1"/>
      <w:numFmt w:val="bullet"/>
      <w:lvlText w:val="●"/>
      <w:lvlJc w:val="left"/>
      <w:pPr>
        <w:ind w:left="6480" w:hanging="360"/>
      </w:pPr>
    </w:lvl>
  </w:abstractNum>
  <w:abstractNum w:abstractNumId="1" w15:restartNumberingAfterBreak="0">
    <w:nsid w:val="5D9A2008"/>
    <w:multiLevelType w:val="hybridMultilevel"/>
    <w:tmpl w:val="F0B4EEFC"/>
    <w:lvl w:ilvl="0" w:tplc="B06EE126">
      <w:start w:val="3"/>
      <w:numFmt w:val="bullet"/>
      <w:lvlText w:val="-"/>
      <w:lvlJc w:val="left"/>
      <w:pPr>
        <w:ind w:left="700" w:hanging="360"/>
      </w:pPr>
      <w:rPr>
        <w:rFonts w:ascii="Calibri" w:eastAsia="Calibri" w:hAnsi="Calibri" w:cs="Calibri" w:hint="default"/>
        <w:color w:val="1A1A1A"/>
      </w:rPr>
    </w:lvl>
    <w:lvl w:ilvl="1" w:tplc="040C0003" w:tentative="1">
      <w:start w:val="1"/>
      <w:numFmt w:val="bullet"/>
      <w:lvlText w:val="o"/>
      <w:lvlJc w:val="left"/>
      <w:pPr>
        <w:ind w:left="1420" w:hanging="360"/>
      </w:pPr>
      <w:rPr>
        <w:rFonts w:ascii="Courier New" w:hAnsi="Courier New" w:cs="Courier New" w:hint="default"/>
      </w:rPr>
    </w:lvl>
    <w:lvl w:ilvl="2" w:tplc="040C0005" w:tentative="1">
      <w:start w:val="1"/>
      <w:numFmt w:val="bullet"/>
      <w:lvlText w:val=""/>
      <w:lvlJc w:val="left"/>
      <w:pPr>
        <w:ind w:left="2140" w:hanging="360"/>
      </w:pPr>
      <w:rPr>
        <w:rFonts w:ascii="Wingdings" w:hAnsi="Wingdings" w:hint="default"/>
      </w:rPr>
    </w:lvl>
    <w:lvl w:ilvl="3" w:tplc="040C0001" w:tentative="1">
      <w:start w:val="1"/>
      <w:numFmt w:val="bullet"/>
      <w:lvlText w:val=""/>
      <w:lvlJc w:val="left"/>
      <w:pPr>
        <w:ind w:left="2860" w:hanging="360"/>
      </w:pPr>
      <w:rPr>
        <w:rFonts w:ascii="Symbol" w:hAnsi="Symbol" w:hint="default"/>
      </w:rPr>
    </w:lvl>
    <w:lvl w:ilvl="4" w:tplc="040C0003" w:tentative="1">
      <w:start w:val="1"/>
      <w:numFmt w:val="bullet"/>
      <w:lvlText w:val="o"/>
      <w:lvlJc w:val="left"/>
      <w:pPr>
        <w:ind w:left="3580" w:hanging="360"/>
      </w:pPr>
      <w:rPr>
        <w:rFonts w:ascii="Courier New" w:hAnsi="Courier New" w:cs="Courier New" w:hint="default"/>
      </w:rPr>
    </w:lvl>
    <w:lvl w:ilvl="5" w:tplc="040C0005" w:tentative="1">
      <w:start w:val="1"/>
      <w:numFmt w:val="bullet"/>
      <w:lvlText w:val=""/>
      <w:lvlJc w:val="left"/>
      <w:pPr>
        <w:ind w:left="4300" w:hanging="360"/>
      </w:pPr>
      <w:rPr>
        <w:rFonts w:ascii="Wingdings" w:hAnsi="Wingdings" w:hint="default"/>
      </w:rPr>
    </w:lvl>
    <w:lvl w:ilvl="6" w:tplc="040C0001" w:tentative="1">
      <w:start w:val="1"/>
      <w:numFmt w:val="bullet"/>
      <w:lvlText w:val=""/>
      <w:lvlJc w:val="left"/>
      <w:pPr>
        <w:ind w:left="5020" w:hanging="360"/>
      </w:pPr>
      <w:rPr>
        <w:rFonts w:ascii="Symbol" w:hAnsi="Symbol" w:hint="default"/>
      </w:rPr>
    </w:lvl>
    <w:lvl w:ilvl="7" w:tplc="040C0003" w:tentative="1">
      <w:start w:val="1"/>
      <w:numFmt w:val="bullet"/>
      <w:lvlText w:val="o"/>
      <w:lvlJc w:val="left"/>
      <w:pPr>
        <w:ind w:left="5740" w:hanging="360"/>
      </w:pPr>
      <w:rPr>
        <w:rFonts w:ascii="Courier New" w:hAnsi="Courier New" w:cs="Courier New" w:hint="default"/>
      </w:rPr>
    </w:lvl>
    <w:lvl w:ilvl="8" w:tplc="040C0005" w:tentative="1">
      <w:start w:val="1"/>
      <w:numFmt w:val="bullet"/>
      <w:lvlText w:val=""/>
      <w:lvlJc w:val="left"/>
      <w:pPr>
        <w:ind w:left="6460" w:hanging="360"/>
      </w:pPr>
      <w:rPr>
        <w:rFonts w:ascii="Wingdings" w:hAnsi="Wingdings" w:hint="default"/>
      </w:rPr>
    </w:lvl>
  </w:abstractNum>
  <w:abstractNum w:abstractNumId="2" w15:restartNumberingAfterBreak="0">
    <w:nsid w:val="7D2723D6"/>
    <w:multiLevelType w:val="hybridMultilevel"/>
    <w:tmpl w:val="0C6E545A"/>
    <w:lvl w:ilvl="0" w:tplc="9B5C9712">
      <w:start w:val="1"/>
      <w:numFmt w:val="bullet"/>
      <w:lvlText w:val="▪"/>
      <w:lvlJc w:val="left"/>
      <w:pPr>
        <w:ind w:left="340" w:hanging="200"/>
      </w:pPr>
    </w:lvl>
    <w:lvl w:ilvl="1" w:tplc="345878DE">
      <w:start w:val="1"/>
      <w:numFmt w:val="bullet"/>
      <w:lvlText w:val="–"/>
      <w:lvlJc w:val="left"/>
      <w:pPr>
        <w:ind w:left="700" w:hanging="200"/>
      </w:pPr>
    </w:lvl>
    <w:lvl w:ilvl="2" w:tplc="40E872F6">
      <w:start w:val="1"/>
      <w:numFmt w:val="bullet"/>
      <w:lvlText w:val="·"/>
      <w:lvlJc w:val="left"/>
      <w:pPr>
        <w:ind w:left="1060" w:hanging="200"/>
      </w:pPr>
    </w:lvl>
    <w:lvl w:ilvl="3" w:tplc="D66EE926">
      <w:numFmt w:val="decimal"/>
      <w:lvlText w:val=""/>
      <w:lvlJc w:val="left"/>
    </w:lvl>
    <w:lvl w:ilvl="4" w:tplc="11A43416">
      <w:numFmt w:val="decimal"/>
      <w:lvlText w:val=""/>
      <w:lvlJc w:val="left"/>
    </w:lvl>
    <w:lvl w:ilvl="5" w:tplc="B846FA12">
      <w:numFmt w:val="decimal"/>
      <w:lvlText w:val=""/>
      <w:lvlJc w:val="left"/>
    </w:lvl>
    <w:lvl w:ilvl="6" w:tplc="07DA940C">
      <w:numFmt w:val="decimal"/>
      <w:lvlText w:val=""/>
      <w:lvlJc w:val="left"/>
    </w:lvl>
    <w:lvl w:ilvl="7" w:tplc="1976173E">
      <w:numFmt w:val="decimal"/>
      <w:lvlText w:val=""/>
      <w:lvlJc w:val="left"/>
    </w:lvl>
    <w:lvl w:ilvl="8" w:tplc="E3AE29F6">
      <w:numFmt w:val="decimal"/>
      <w:lvlText w:val=""/>
      <w:lvlJc w:val="left"/>
    </w:lvl>
  </w:abstractNum>
  <w:num w:numId="1" w16cid:durableId="839006773">
    <w:abstractNumId w:val="0"/>
    <w:lvlOverride w:ilvl="0">
      <w:startOverride w:val="1"/>
    </w:lvlOverride>
  </w:num>
  <w:num w:numId="2" w16cid:durableId="1275943865">
    <w:abstractNumId w:val="2"/>
    <w:lvlOverride w:ilvl="0">
      <w:startOverride w:val="1"/>
    </w:lvlOverride>
  </w:num>
  <w:num w:numId="3" w16cid:durableId="122645484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D98"/>
    <w:rsid w:val="00025292"/>
    <w:rsid w:val="000302BD"/>
    <w:rsid w:val="000A2ECB"/>
    <w:rsid w:val="0031252F"/>
    <w:rsid w:val="00412939"/>
    <w:rsid w:val="00513B31"/>
    <w:rsid w:val="00520D98"/>
    <w:rsid w:val="005E6765"/>
    <w:rsid w:val="006378DC"/>
    <w:rsid w:val="006F59AA"/>
    <w:rsid w:val="00744885"/>
    <w:rsid w:val="007B3C59"/>
    <w:rsid w:val="007F108F"/>
    <w:rsid w:val="00866FAB"/>
    <w:rsid w:val="0087271C"/>
    <w:rsid w:val="008A1922"/>
    <w:rsid w:val="0096253A"/>
    <w:rsid w:val="009C4693"/>
    <w:rsid w:val="00A123FC"/>
    <w:rsid w:val="00B20DB8"/>
    <w:rsid w:val="00E17165"/>
    <w:rsid w:val="00F42A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90DF64C"/>
  <w15:docId w15:val="{26478C44-3A13-C84C-9883-F29DEE88D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23</Pages>
  <Words>13000</Words>
  <Characters>71503</Characters>
  <Application>Microsoft Office Word</Application>
  <DocSecurity>0</DocSecurity>
  <Lines>595</Lines>
  <Paragraphs>168</Paragraphs>
  <ScaleCrop>false</ScaleCrop>
  <HeadingPairs>
    <vt:vector size="2" baseType="variant">
      <vt:variant>
        <vt:lpstr>Titre</vt:lpstr>
      </vt:variant>
      <vt:variant>
        <vt:i4>1</vt:i4>
      </vt:variant>
    </vt:vector>
  </HeadingPairs>
  <TitlesOfParts>
    <vt:vector size="1" baseType="lpstr">
      <vt:lpstr>Grand Oral CRFPA — Libertés publiques et droits fondamentaux — Partie VI-B</vt:lpstr>
    </vt:vector>
  </TitlesOfParts>
  <Company/>
  <LinksUpToDate>false</LinksUpToDate>
  <CharactersWithSpaces>84335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VI-B</dc:title>
  <dc:creator>Simon</dc:creator>
  <dc:description>Fiches de révision n° 1 à 8</dc:description>
  <cp:lastModifiedBy>Simon BERNINES</cp:lastModifiedBy>
  <cp:revision>2</cp:revision>
  <dcterms:created xsi:type="dcterms:W3CDTF">2026-09-15T14:26:00Z</dcterms:created>
  <dcterms:modified xsi:type="dcterms:W3CDTF">2026-10-14T09:42:00Z</dcterms:modified>
</cp:coreProperties>
</file>