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7037FF" w14:textId="77777777" w:rsidR="00C05C80" w:rsidRDefault="00000000">
      <w:pPr>
        <w:spacing w:before="1400" w:after="120"/>
        <w:jc w:val="center"/>
      </w:pPr>
      <w:r>
        <w:rPr>
          <w:rFonts w:ascii="Calibri" w:eastAsia="Calibri" w:hAnsi="Calibri" w:cs="Calibri"/>
          <w:b/>
          <w:bCs/>
          <w:color w:val="5A5A5A"/>
          <w:spacing w:val="60"/>
          <w:sz w:val="26"/>
          <w:szCs w:val="26"/>
        </w:rPr>
        <w:t>GRAND ORAL DU CRFPA</w:t>
      </w:r>
    </w:p>
    <w:p w14:paraId="6A20FB37" w14:textId="77777777" w:rsidR="00C05C80" w:rsidRDefault="00000000">
      <w:pPr>
        <w:spacing w:after="100"/>
        <w:jc w:val="center"/>
      </w:pPr>
      <w:r>
        <w:rPr>
          <w:rFonts w:ascii="Calibri" w:eastAsia="Calibri" w:hAnsi="Calibri" w:cs="Calibri"/>
          <w:b/>
          <w:bCs/>
          <w:color w:val="8C1C2B"/>
          <w:sz w:val="44"/>
          <w:szCs w:val="44"/>
        </w:rPr>
        <w:t>LIBERTÉS PUBLIQUES ET DROITS FONDAMENTAUX</w:t>
      </w:r>
    </w:p>
    <w:p w14:paraId="0E52550F" w14:textId="77777777" w:rsidR="00C05C80" w:rsidRDefault="00000000">
      <w:pPr>
        <w:spacing w:after="600"/>
        <w:jc w:val="center"/>
      </w:pPr>
      <w:r>
        <w:rPr>
          <w:rFonts w:ascii="Calibri" w:eastAsia="Calibri" w:hAnsi="Calibri" w:cs="Calibri"/>
          <w:color w:val="1A1A1A"/>
          <w:sz w:val="26"/>
          <w:szCs w:val="26"/>
        </w:rPr>
        <w:t>Partie VI-C — La sphère privée (fiches n° 33 à 35)</w:t>
      </w:r>
    </w:p>
    <w:p w14:paraId="0795DF65" w14:textId="77777777" w:rsidR="00C05C80" w:rsidRDefault="00000000">
      <w:pPr>
        <w:spacing w:after="100"/>
        <w:jc w:val="center"/>
      </w:pPr>
      <w:r>
        <w:rPr>
          <w:rFonts w:ascii="Calibri" w:eastAsia="Calibri" w:hAnsi="Calibri" w:cs="Calibri"/>
          <w:i/>
          <w:iCs/>
          <w:color w:val="5A5A5A"/>
        </w:rPr>
        <w:t>Fiches de révision exhaustives — exposé de 15 minutes et entretien avec le jury</w:t>
      </w:r>
    </w:p>
    <w:p w14:paraId="1BA7C8FC" w14:textId="77777777" w:rsidR="00C05C80" w:rsidRDefault="00000000">
      <w:pPr>
        <w:spacing w:after="700"/>
        <w:jc w:val="center"/>
      </w:pPr>
      <w:r>
        <w:rPr>
          <w:rFonts w:ascii="Calibri" w:eastAsia="Calibri" w:hAnsi="Calibri" w:cs="Calibri"/>
          <w:i/>
          <w:iCs/>
          <w:color w:val="5A5A5A"/>
          <w:sz w:val="18"/>
          <w:szCs w:val="18"/>
        </w:rPr>
        <w:t>D’après le fascicule Objectif Barreau 2026</w:t>
      </w:r>
    </w:p>
    <w:p w14:paraId="0ED6343B" w14:textId="77777777" w:rsidR="00C05C80" w:rsidRDefault="00000000">
      <w:pPr>
        <w:spacing w:before="200" w:after="12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CODE COULEUR</w:t>
      </w:r>
    </w:p>
    <w:p w14:paraId="4A9E7641" w14:textId="77777777" w:rsidR="00C05C80" w:rsidRDefault="00000000">
      <w:pPr>
        <w:pStyle w:val="Paragraphedeliste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E88E5"/>
        </w:rPr>
        <w:t>Textes normatifs</w:t>
      </w:r>
      <w:r>
        <w:rPr>
          <w:rFonts w:ascii="Calibri" w:eastAsia="Calibri" w:hAnsi="Calibri" w:cs="Calibri"/>
          <w:color w:val="1A1A1A"/>
        </w:rPr>
        <w:t xml:space="preserve"> — traités, conventions, Constitution, codes, lois, règlements.</w:t>
      </w:r>
    </w:p>
    <w:p w14:paraId="3C2B65A5" w14:textId="77777777" w:rsidR="00C05C80" w:rsidRDefault="00000000">
      <w:pPr>
        <w:pStyle w:val="Paragraphedeliste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E91E63"/>
        </w:rPr>
        <w:t>Jurisprudence</w:t>
      </w:r>
      <w:r>
        <w:rPr>
          <w:rFonts w:ascii="Calibri" w:eastAsia="Calibri" w:hAnsi="Calibri" w:cs="Calibri"/>
          <w:color w:val="1A1A1A"/>
        </w:rPr>
        <w:t xml:space="preserve"> — Cass., CE, Cons. const., CEDH, CJUE, décisions QPC.</w:t>
      </w:r>
    </w:p>
    <w:p w14:paraId="67E73019" w14:textId="77777777" w:rsidR="00C05C80" w:rsidRDefault="00000000">
      <w:pPr>
        <w:pStyle w:val="Paragraphedeliste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E7D32"/>
        </w:rPr>
        <w:t>Doctrine</w:t>
      </w:r>
      <w:r>
        <w:rPr>
          <w:rFonts w:ascii="Calibri" w:eastAsia="Calibri" w:hAnsi="Calibri" w:cs="Calibri"/>
          <w:color w:val="1A1A1A"/>
        </w:rPr>
        <w:t xml:space="preserve"> — auteurs, thèses, controverses universitaires, avis institutionnels.</w:t>
      </w:r>
    </w:p>
    <w:p w14:paraId="2B2D2206" w14:textId="77777777" w:rsidR="00C05C80" w:rsidRDefault="00000000">
      <w:pPr>
        <w:pStyle w:val="Paragraphedeliste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color w:val="1A1A1A"/>
        </w:rPr>
        <w:t>Gras</w:t>
      </w:r>
      <w:r>
        <w:rPr>
          <w:rFonts w:ascii="Calibri" w:eastAsia="Calibri" w:hAnsi="Calibri" w:cs="Calibri"/>
          <w:color w:val="1A1A1A"/>
        </w:rPr>
        <w:t xml:space="preserve"> — réservé au seul apport à mémoriser. La couleur dit d’où vient la règle, le gras dit ce qu’il faut réciter.</w:t>
      </w:r>
    </w:p>
    <w:p w14:paraId="7D7F0C14" w14:textId="77777777" w:rsidR="00C05C80" w:rsidRDefault="00000000">
      <w:pPr>
        <w:pStyle w:val="Paragraphedeliste"/>
        <w:numPr>
          <w:ilvl w:val="0"/>
          <w:numId w:val="2"/>
        </w:numPr>
        <w:spacing w:after="300"/>
      </w:pPr>
      <w:r>
        <w:rPr>
          <w:rFonts w:ascii="Calibri" w:eastAsia="Calibri" w:hAnsi="Calibri" w:cs="Calibri"/>
          <w:color w:val="1A1A1A"/>
        </w:rPr>
        <w:t>★ — référence incontournable, à citer de mémoire le jour J.</w:t>
      </w:r>
    </w:p>
    <w:p w14:paraId="0DFF5B8C" w14:textId="77777777" w:rsidR="00C05C80" w:rsidRDefault="00000000">
      <w:pPr>
        <w:spacing w:before="200" w:after="12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SOMMAIRE</w:t>
      </w:r>
    </w:p>
    <w:p w14:paraId="1867BC24" w14:textId="77777777" w:rsidR="00C05C80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Fiche n° 33 — Le droit à la vie privée</w:t>
      </w:r>
    </w:p>
    <w:p w14:paraId="5EA95FFB" w14:textId="77777777" w:rsidR="00C05C80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Fiche n° 34 — Le droit à la vie familiale</w:t>
      </w:r>
    </w:p>
    <w:p w14:paraId="22D41526" w14:textId="77777777" w:rsidR="00C05C80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Fiche n° 35 — Le droit à la protection des données à caractère personnel</w:t>
      </w:r>
    </w:p>
    <w:p w14:paraId="3D3C1B09" w14:textId="77777777" w:rsidR="00C05C80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Annexe — Compléments à la chronologie et à l’index</w:t>
      </w:r>
    </w:p>
    <w:p w14:paraId="45E60601" w14:textId="77777777" w:rsidR="00C05C80" w:rsidRDefault="00000000">
      <w:pPr>
        <w:spacing w:before="300" w:after="80"/>
      </w:pPr>
      <w:r>
        <w:rPr>
          <w:rFonts w:ascii="Calibri" w:eastAsia="Calibri" w:hAnsi="Calibri" w:cs="Calibri"/>
          <w:i/>
          <w:iCs/>
          <w:color w:val="5A5A5A"/>
          <w:sz w:val="18"/>
          <w:szCs w:val="18"/>
        </w:rPr>
        <w:t>Chaque fiche s’ouvre sur une FICHE-MÉMOIRE d’une page — accroche, définition en trois lignes, cinq références incontournables, deux matrices de plan, trois pièges. C’est elle que l’on relit ; les pages suivantes forment le dossier de consultation.</w:t>
      </w:r>
    </w:p>
    <w:p w14:paraId="2481371F" w14:textId="77777777" w:rsidR="00C05C80" w:rsidRDefault="00000000">
      <w:r>
        <w:rPr>
          <w:rFonts w:ascii="Calibri" w:eastAsia="Calibri" w:hAnsi="Calibri" w:cs="Calibri"/>
          <w:i/>
          <w:iCs/>
          <w:color w:val="5A5A5A"/>
          <w:sz w:val="18"/>
          <w:szCs w:val="18"/>
        </w:rPr>
        <w:t>Dossier : architecture textuelle — ligne prétorienne et évolutions — débats doctrinaux et critiques — dispositif « Grand Oral » (relances du jury, sujets d’exposé, angles morts formulés en question / réponse pour le rappel actif).</w:t>
      </w:r>
    </w:p>
    <w:p w14:paraId="0C2C632D" w14:textId="77777777" w:rsidR="00C05C80" w:rsidRDefault="00000000">
      <w:r>
        <w:br w:type="page"/>
      </w:r>
    </w:p>
    <w:p w14:paraId="1DE570B1" w14:textId="77777777" w:rsidR="00C05C80" w:rsidRDefault="00000000">
      <w:pPr>
        <w:pStyle w:val="Titre1"/>
        <w:pBdr>
          <w:bottom w:val="single" w:sz="12" w:space="6" w:color="8C1C2B"/>
        </w:pBdr>
        <w:spacing w:before="240" w:after="200"/>
      </w:pPr>
      <w:r>
        <w:rPr>
          <w:rFonts w:ascii="Calibri" w:eastAsia="Calibri" w:hAnsi="Calibri" w:cs="Calibri"/>
          <w:b/>
          <w:bCs/>
          <w:color w:val="8C1C2B"/>
          <w:sz w:val="30"/>
          <w:szCs w:val="30"/>
        </w:rPr>
        <w:lastRenderedPageBreak/>
        <w:t>FICHE N° 33 — LE DROIT À LA VIE PRIVÉE</w:t>
      </w:r>
    </w:p>
    <w:p w14:paraId="06210AC0" w14:textId="77777777" w:rsidR="00C05C80" w:rsidRDefault="00000000">
      <w:pPr>
        <w:pStyle w:val="Titre2"/>
        <w:spacing w:before="280" w:after="12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◆ FICHE-MÉMOIRE — à réviser en trois minutes</w:t>
      </w:r>
    </w:p>
    <w:p w14:paraId="3CA61010" w14:textId="77777777" w:rsidR="00C05C80" w:rsidRDefault="00000000">
      <w:pPr>
        <w:pStyle w:val="Titre3"/>
        <w:spacing w:before="200" w:after="90"/>
      </w:pPr>
      <w:r>
        <w:rPr>
          <w:rFonts w:ascii="Calibri" w:eastAsia="Calibri" w:hAnsi="Calibri" w:cs="Calibri"/>
          <w:b/>
          <w:bCs/>
          <w:i/>
          <w:iCs/>
          <w:color w:val="5A5A5A"/>
          <w:sz w:val="21"/>
          <w:szCs w:val="21"/>
        </w:rPr>
        <w:t>Accroche</w:t>
      </w:r>
    </w:p>
    <w:p w14:paraId="49C30503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color w:val="1A1A1A"/>
        </w:rPr>
        <w:t xml:space="preserve">En 1890, deux avocats de Boston, </w:t>
      </w:r>
      <w:r>
        <w:rPr>
          <w:rFonts w:ascii="Calibri" w:eastAsia="Calibri" w:hAnsi="Calibri" w:cs="Calibri"/>
          <w:color w:val="2E7D32"/>
        </w:rPr>
        <w:t>Samuel Warren et Louis Brandeis</w:t>
      </w:r>
      <w:r>
        <w:rPr>
          <w:rFonts w:ascii="Calibri" w:eastAsia="Calibri" w:hAnsi="Calibri" w:cs="Calibri"/>
          <w:color w:val="1A1A1A"/>
        </w:rPr>
        <w:t xml:space="preserve">, publient « </w:t>
      </w:r>
      <w:r>
        <w:rPr>
          <w:rFonts w:ascii="Calibri" w:eastAsia="Calibri" w:hAnsi="Calibri" w:cs="Calibri"/>
          <w:i/>
          <w:iCs/>
          <w:color w:val="1A1A1A"/>
        </w:rPr>
        <w:t>The Right to Privacy</w:t>
      </w:r>
      <w:r>
        <w:rPr>
          <w:rFonts w:ascii="Calibri" w:eastAsia="Calibri" w:hAnsi="Calibri" w:cs="Calibri"/>
          <w:color w:val="1A1A1A"/>
        </w:rPr>
        <w:t xml:space="preserve"> » pour défendre le droit d’être « laissé tranquille » (</w:t>
      </w:r>
      <w:r>
        <w:rPr>
          <w:rFonts w:ascii="Calibri" w:eastAsia="Calibri" w:hAnsi="Calibri" w:cs="Calibri"/>
          <w:i/>
          <w:iCs/>
          <w:color w:val="1A1A1A"/>
        </w:rPr>
        <w:t xml:space="preserve">right to be let </w:t>
      </w:r>
      <w:proofErr w:type="spellStart"/>
      <w:r>
        <w:rPr>
          <w:rFonts w:ascii="Calibri" w:eastAsia="Calibri" w:hAnsi="Calibri" w:cs="Calibri"/>
          <w:i/>
          <w:iCs/>
          <w:color w:val="1A1A1A"/>
        </w:rPr>
        <w:t>alone</w:t>
      </w:r>
      <w:proofErr w:type="spellEnd"/>
      <w:r>
        <w:rPr>
          <w:rFonts w:ascii="Calibri" w:eastAsia="Calibri" w:hAnsi="Calibri" w:cs="Calibri"/>
          <w:color w:val="1A1A1A"/>
        </w:rPr>
        <w:t xml:space="preserve">) face à la presse à sensation et à l’appareil photographique instantané. Cent trente-six ans plus tard, le 24 juin 2026, la Cour de cassation étend la vie privée à la </w:t>
      </w:r>
      <w:r>
        <w:rPr>
          <w:rFonts w:ascii="Calibri" w:eastAsia="Calibri" w:hAnsi="Calibri" w:cs="Calibri"/>
          <w:b/>
          <w:bCs/>
          <w:color w:val="1A1A1A"/>
        </w:rPr>
        <w:t>voix</w:t>
      </w:r>
      <w:r>
        <w:rPr>
          <w:rFonts w:ascii="Calibri" w:eastAsia="Calibri" w:hAnsi="Calibri" w:cs="Calibri"/>
          <w:color w:val="1A1A1A"/>
        </w:rPr>
        <w:t xml:space="preserve"> pour répondre aux hypertrucages : la vie privée n’a jamais cessé d’être </w:t>
      </w:r>
      <w:r>
        <w:rPr>
          <w:rFonts w:ascii="Calibri" w:eastAsia="Calibri" w:hAnsi="Calibri" w:cs="Calibri"/>
          <w:b/>
          <w:bCs/>
          <w:color w:val="1A1A1A"/>
        </w:rPr>
        <w:t>le droit qui répond à la technique</w:t>
      </w:r>
      <w:r>
        <w:rPr>
          <w:rFonts w:ascii="Calibri" w:eastAsia="Calibri" w:hAnsi="Calibri" w:cs="Calibri"/>
          <w:color w:val="1A1A1A"/>
        </w:rPr>
        <w:t>.</w:t>
      </w:r>
    </w:p>
    <w:p w14:paraId="59A41DB4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color w:val="1A1A1A"/>
        </w:rPr>
        <w:t xml:space="preserve">Accroche alternative : la Cour européenne qualifie l’article 8 de notion « attrape-tout » — l’expression doctrinale de « </w:t>
      </w:r>
      <w:r>
        <w:rPr>
          <w:rFonts w:ascii="Calibri" w:eastAsia="Calibri" w:hAnsi="Calibri" w:cs="Calibri"/>
          <w:color w:val="2E7D32"/>
        </w:rPr>
        <w:t>folle du logis</w:t>
      </w:r>
      <w:r>
        <w:rPr>
          <w:rFonts w:ascii="Calibri" w:eastAsia="Calibri" w:hAnsi="Calibri" w:cs="Calibri"/>
          <w:color w:val="1A1A1A"/>
        </w:rPr>
        <w:t xml:space="preserve"> </w:t>
      </w:r>
      <w:r w:rsidRPr="00D91263">
        <w:rPr>
          <w:rFonts w:ascii="Calibri" w:eastAsia="Calibri" w:hAnsi="Calibri" w:cs="Calibri"/>
          <w:color w:val="196B24" w:themeColor="accent3"/>
        </w:rPr>
        <w:t xml:space="preserve">conventionnelle </w:t>
      </w:r>
      <w:r>
        <w:rPr>
          <w:rFonts w:ascii="Calibri" w:eastAsia="Calibri" w:hAnsi="Calibri" w:cs="Calibri"/>
          <w:color w:val="1A1A1A"/>
        </w:rPr>
        <w:t xml:space="preserve">» dit la même chose : identité, sexualité, domicile, correspondance, environnement, données. </w:t>
      </w:r>
      <w:r>
        <w:rPr>
          <w:rFonts w:ascii="Calibri" w:eastAsia="Calibri" w:hAnsi="Calibri" w:cs="Calibri"/>
          <w:b/>
          <w:bCs/>
          <w:color w:val="1A1A1A"/>
        </w:rPr>
        <w:t>Plus le droit est large, plus la question de ses limites devient centrale.</w:t>
      </w:r>
    </w:p>
    <w:p w14:paraId="08146586" w14:textId="77777777" w:rsidR="00C05C80" w:rsidRDefault="00000000">
      <w:pPr>
        <w:pStyle w:val="Titre3"/>
        <w:spacing w:before="200" w:after="90"/>
      </w:pPr>
      <w:r>
        <w:rPr>
          <w:rFonts w:ascii="Calibri" w:eastAsia="Calibri" w:hAnsi="Calibri" w:cs="Calibri"/>
          <w:b/>
          <w:bCs/>
          <w:i/>
          <w:iCs/>
          <w:color w:val="5A5A5A"/>
          <w:sz w:val="21"/>
          <w:szCs w:val="21"/>
        </w:rPr>
        <w:t>Définition en trois lignes</w:t>
      </w:r>
    </w:p>
    <w:p w14:paraId="11878512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color w:val="1A1A1A"/>
        </w:rPr>
        <w:t xml:space="preserve">Le droit au respect de la vie privée protège la </w:t>
      </w:r>
      <w:r>
        <w:rPr>
          <w:rFonts w:ascii="Calibri" w:eastAsia="Calibri" w:hAnsi="Calibri" w:cs="Calibri"/>
          <w:b/>
          <w:bCs/>
          <w:color w:val="1A1A1A"/>
        </w:rPr>
        <w:t>sphère d’autonomie</w:t>
      </w:r>
      <w:r>
        <w:rPr>
          <w:rFonts w:ascii="Calibri" w:eastAsia="Calibri" w:hAnsi="Calibri" w:cs="Calibri"/>
          <w:color w:val="1A1A1A"/>
        </w:rPr>
        <w:t xml:space="preserve"> dans laquelle la personne construit son identité et ses relations, à l’abri des ingérences publiques et privées. En droit interne, il est rattaché à la </w:t>
      </w:r>
      <w:r>
        <w:rPr>
          <w:rFonts w:ascii="Calibri" w:eastAsia="Calibri" w:hAnsi="Calibri" w:cs="Calibri"/>
          <w:b/>
          <w:bCs/>
          <w:color w:val="1A1A1A"/>
        </w:rPr>
        <w:t>liberté de l’article 2 DDHC</w:t>
      </w:r>
      <w:r>
        <w:rPr>
          <w:rFonts w:ascii="Calibri" w:eastAsia="Calibri" w:hAnsi="Calibri" w:cs="Calibri"/>
          <w:color w:val="1A1A1A"/>
        </w:rPr>
        <w:t xml:space="preserve"> depuis 1999 — et donc </w:t>
      </w:r>
      <w:r>
        <w:rPr>
          <w:rFonts w:ascii="Calibri" w:eastAsia="Calibri" w:hAnsi="Calibri" w:cs="Calibri"/>
          <w:b/>
          <w:bCs/>
          <w:color w:val="1A1A1A"/>
        </w:rPr>
        <w:t>détaché de l’article 66</w:t>
      </w:r>
      <w:r>
        <w:rPr>
          <w:rFonts w:ascii="Calibri" w:eastAsia="Calibri" w:hAnsi="Calibri" w:cs="Calibri"/>
          <w:color w:val="1A1A1A"/>
        </w:rPr>
        <w:t xml:space="preserve"> ; en droit européen, l’</w:t>
      </w:r>
      <w:r>
        <w:rPr>
          <w:rFonts w:ascii="Calibri" w:eastAsia="Calibri" w:hAnsi="Calibri" w:cs="Calibri"/>
          <w:color w:val="1E88E5"/>
        </w:rPr>
        <w:t>art. 8 CEDH</w:t>
      </w:r>
      <w:r>
        <w:rPr>
          <w:rFonts w:ascii="Calibri" w:eastAsia="Calibri" w:hAnsi="Calibri" w:cs="Calibri"/>
          <w:color w:val="1A1A1A"/>
        </w:rPr>
        <w:t xml:space="preserve"> en fait une notion </w:t>
      </w:r>
      <w:r>
        <w:rPr>
          <w:rFonts w:ascii="Calibri" w:eastAsia="Calibri" w:hAnsi="Calibri" w:cs="Calibri"/>
          <w:b/>
          <w:bCs/>
          <w:color w:val="1A1A1A"/>
        </w:rPr>
        <w:t>autonome, extensive et évolutive</w:t>
      </w:r>
      <w:r>
        <w:rPr>
          <w:rFonts w:ascii="Calibri" w:eastAsia="Calibri" w:hAnsi="Calibri" w:cs="Calibri"/>
          <w:color w:val="1A1A1A"/>
        </w:rPr>
        <w:t>, assortie d’obligations positives.</w:t>
      </w:r>
    </w:p>
    <w:p w14:paraId="1708D0A5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color w:val="1A1A1A"/>
        </w:rPr>
        <w:t>Deux conceptions coexistent : l’</w:t>
      </w:r>
      <w:r>
        <w:rPr>
          <w:rFonts w:ascii="Calibri" w:eastAsia="Calibri" w:hAnsi="Calibri" w:cs="Calibri"/>
          <w:b/>
          <w:bCs/>
          <w:color w:val="1A1A1A"/>
        </w:rPr>
        <w:t>intimité</w:t>
      </w:r>
      <w:r>
        <w:rPr>
          <w:rFonts w:ascii="Calibri" w:eastAsia="Calibri" w:hAnsi="Calibri" w:cs="Calibri"/>
          <w:color w:val="1A1A1A"/>
        </w:rPr>
        <w:t xml:space="preserve"> défensive de l’</w:t>
      </w:r>
      <w:r>
        <w:rPr>
          <w:rFonts w:ascii="Calibri" w:eastAsia="Calibri" w:hAnsi="Calibri" w:cs="Calibri"/>
          <w:color w:val="1E88E5"/>
        </w:rPr>
        <w:t>art. 9 C. civ.</w:t>
      </w:r>
      <w:r>
        <w:rPr>
          <w:rFonts w:ascii="Calibri" w:eastAsia="Calibri" w:hAnsi="Calibri" w:cs="Calibri"/>
          <w:color w:val="1A1A1A"/>
        </w:rPr>
        <w:t xml:space="preserve"> (ne pas être exposé) et l’</w:t>
      </w:r>
      <w:r>
        <w:rPr>
          <w:rFonts w:ascii="Calibri" w:eastAsia="Calibri" w:hAnsi="Calibri" w:cs="Calibri"/>
          <w:b/>
          <w:bCs/>
          <w:color w:val="1A1A1A"/>
        </w:rPr>
        <w:t>autonomie personnelle</w:t>
      </w:r>
      <w:r>
        <w:rPr>
          <w:rFonts w:ascii="Calibri" w:eastAsia="Calibri" w:hAnsi="Calibri" w:cs="Calibri"/>
          <w:color w:val="1A1A1A"/>
        </w:rPr>
        <w:t xml:space="preserve"> de l’</w:t>
      </w:r>
      <w:r>
        <w:rPr>
          <w:rFonts w:ascii="Calibri" w:eastAsia="Calibri" w:hAnsi="Calibri" w:cs="Calibri"/>
          <w:color w:val="1E88E5"/>
        </w:rPr>
        <w:t>art. 8 CEDH</w:t>
      </w:r>
      <w:r>
        <w:rPr>
          <w:rFonts w:ascii="Calibri" w:eastAsia="Calibri" w:hAnsi="Calibri" w:cs="Calibri"/>
          <w:color w:val="1A1A1A"/>
        </w:rPr>
        <w:t xml:space="preserve"> (choisir sa vie) — </w:t>
      </w:r>
      <w:r>
        <w:rPr>
          <w:rFonts w:ascii="Calibri" w:eastAsia="Calibri" w:hAnsi="Calibri" w:cs="Calibri"/>
          <w:color w:val="E91E63"/>
        </w:rPr>
        <w:t>Pretty c. Royaume-Uni</w:t>
      </w:r>
      <w:r>
        <w:rPr>
          <w:rFonts w:ascii="Calibri" w:eastAsia="Calibri" w:hAnsi="Calibri" w:cs="Calibri"/>
          <w:color w:val="1A1A1A"/>
        </w:rPr>
        <w:t>, § 61.</w:t>
      </w:r>
    </w:p>
    <w:p w14:paraId="4838F9E5" w14:textId="77777777" w:rsidR="00C05C80" w:rsidRDefault="00000000">
      <w:pPr>
        <w:pStyle w:val="Titre3"/>
        <w:spacing w:before="200" w:after="90"/>
      </w:pPr>
      <w:r>
        <w:rPr>
          <w:rFonts w:ascii="Calibri" w:eastAsia="Calibri" w:hAnsi="Calibri" w:cs="Calibri"/>
          <w:b/>
          <w:bCs/>
          <w:i/>
          <w:iCs/>
          <w:color w:val="5A5A5A"/>
          <w:sz w:val="21"/>
          <w:szCs w:val="21"/>
        </w:rPr>
        <w:t>Les cinq références incontournables</w:t>
      </w:r>
    </w:p>
    <w:p w14:paraId="4CD7A99F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color w:val="1A1A1A"/>
        </w:rPr>
        <w:t xml:space="preserve">★ </w:t>
      </w:r>
      <w:r>
        <w:rPr>
          <w:rFonts w:ascii="Calibri" w:eastAsia="Calibri" w:hAnsi="Calibri" w:cs="Calibri"/>
          <w:color w:val="1E88E5"/>
        </w:rPr>
        <w:t>Art. 8 CEDH</w:t>
      </w:r>
      <w:r>
        <w:rPr>
          <w:rFonts w:ascii="Calibri" w:eastAsia="Calibri" w:hAnsi="Calibri" w:cs="Calibri"/>
          <w:color w:val="1A1A1A"/>
        </w:rPr>
        <w:t xml:space="preserve"> (vie privée et familiale, domicile, correspondance ; ingérences du § 2) ; </w:t>
      </w:r>
      <w:r>
        <w:rPr>
          <w:rFonts w:ascii="Calibri" w:eastAsia="Calibri" w:hAnsi="Calibri" w:cs="Calibri"/>
          <w:color w:val="1E88E5"/>
        </w:rPr>
        <w:t>art. 17 PIDCP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1E88E5"/>
        </w:rPr>
        <w:t>art. 7 CDFUE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1E88E5"/>
        </w:rPr>
        <w:t>art. 9 C. civ.</w:t>
      </w:r>
      <w:r>
        <w:rPr>
          <w:rFonts w:ascii="Calibri" w:eastAsia="Calibri" w:hAnsi="Calibri" w:cs="Calibri"/>
          <w:color w:val="1A1A1A"/>
        </w:rPr>
        <w:t xml:space="preserve"> issu de la </w:t>
      </w:r>
      <w:r>
        <w:rPr>
          <w:rFonts w:ascii="Calibri" w:eastAsia="Calibri" w:hAnsi="Calibri" w:cs="Calibri"/>
          <w:color w:val="1E88E5"/>
        </w:rPr>
        <w:t>loi n° 70-643 du 17 juillet 1970</w:t>
      </w:r>
      <w:r>
        <w:rPr>
          <w:rFonts w:ascii="Calibri" w:eastAsia="Calibri" w:hAnsi="Calibri" w:cs="Calibri"/>
          <w:color w:val="1A1A1A"/>
        </w:rPr>
        <w:t>.</w:t>
      </w:r>
    </w:p>
    <w:p w14:paraId="08931407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color w:val="1A1A1A"/>
        </w:rPr>
        <w:t xml:space="preserve">★ </w:t>
      </w:r>
      <w:r>
        <w:rPr>
          <w:rFonts w:ascii="Calibri" w:eastAsia="Calibri" w:hAnsi="Calibri" w:cs="Calibri"/>
          <w:color w:val="E91E63"/>
        </w:rPr>
        <w:t>Cons. const., déc. n° 99-416 DC, 23 juillet 1999, CMU</w:t>
      </w:r>
      <w:r>
        <w:rPr>
          <w:rFonts w:ascii="Calibri" w:eastAsia="Calibri" w:hAnsi="Calibri" w:cs="Calibri"/>
          <w:color w:val="1A1A1A"/>
        </w:rPr>
        <w:t xml:space="preserve"> : le droit au respect de la vie privée découle de la </w:t>
      </w:r>
      <w:r>
        <w:rPr>
          <w:rFonts w:ascii="Calibri" w:eastAsia="Calibri" w:hAnsi="Calibri" w:cs="Calibri"/>
          <w:b/>
          <w:bCs/>
          <w:color w:val="1A1A1A"/>
        </w:rPr>
        <w:t>liberté proclamée par l’art. 2 DDHC</w:t>
      </w:r>
      <w:r>
        <w:rPr>
          <w:rFonts w:ascii="Calibri" w:eastAsia="Calibri" w:hAnsi="Calibri" w:cs="Calibri"/>
          <w:color w:val="1A1A1A"/>
        </w:rPr>
        <w:t xml:space="preserve"> — fin de l’hésitation avec l’</w:t>
      </w:r>
      <w:r>
        <w:rPr>
          <w:rFonts w:ascii="Calibri" w:eastAsia="Calibri" w:hAnsi="Calibri" w:cs="Calibri"/>
          <w:color w:val="1E88E5"/>
        </w:rPr>
        <w:t>art. 66 C.</w:t>
      </w:r>
    </w:p>
    <w:p w14:paraId="0D740D2A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color w:val="1A1A1A"/>
        </w:rPr>
        <w:t xml:space="preserve">★ </w:t>
      </w:r>
      <w:r>
        <w:rPr>
          <w:rFonts w:ascii="Calibri" w:eastAsia="Calibri" w:hAnsi="Calibri" w:cs="Calibri"/>
          <w:color w:val="E91E63"/>
        </w:rPr>
        <w:t>CEDH, 29 avril 2002, Pretty c. Royaume-Uni, n° 2346/02</w:t>
      </w:r>
      <w:r>
        <w:rPr>
          <w:rFonts w:ascii="Calibri" w:eastAsia="Calibri" w:hAnsi="Calibri" w:cs="Calibri"/>
          <w:color w:val="1A1A1A"/>
        </w:rPr>
        <w:t xml:space="preserve"> : l’</w:t>
      </w:r>
      <w:r>
        <w:rPr>
          <w:rFonts w:ascii="Calibri" w:eastAsia="Calibri" w:hAnsi="Calibri" w:cs="Calibri"/>
          <w:b/>
          <w:bCs/>
          <w:color w:val="1A1A1A"/>
        </w:rPr>
        <w:t>autonomie personnelle</w:t>
      </w:r>
      <w:r>
        <w:rPr>
          <w:rFonts w:ascii="Calibri" w:eastAsia="Calibri" w:hAnsi="Calibri" w:cs="Calibri"/>
          <w:color w:val="1A1A1A"/>
        </w:rPr>
        <w:t xml:space="preserve"> est un principe d’interprétation de l’</w:t>
      </w:r>
      <w:r>
        <w:rPr>
          <w:rFonts w:ascii="Calibri" w:eastAsia="Calibri" w:hAnsi="Calibri" w:cs="Calibri"/>
          <w:color w:val="1E88E5"/>
        </w:rPr>
        <w:t>art. 8</w:t>
      </w:r>
      <w:r>
        <w:rPr>
          <w:rFonts w:ascii="Calibri" w:eastAsia="Calibri" w:hAnsi="Calibri" w:cs="Calibri"/>
          <w:color w:val="1A1A1A"/>
        </w:rPr>
        <w:t>.</w:t>
      </w:r>
    </w:p>
    <w:p w14:paraId="3829B5B6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color w:val="1A1A1A"/>
        </w:rPr>
        <w:t xml:space="preserve">★ </w:t>
      </w:r>
      <w:r>
        <w:rPr>
          <w:rFonts w:ascii="Calibri" w:eastAsia="Calibri" w:hAnsi="Calibri" w:cs="Calibri"/>
          <w:color w:val="E91E63"/>
        </w:rPr>
        <w:t>CEDH, 24 juin 2004, Von Hannover c. Allemagne, n° 59320/00</w:t>
      </w:r>
      <w:r>
        <w:rPr>
          <w:rFonts w:ascii="Calibri" w:eastAsia="Calibri" w:hAnsi="Calibri" w:cs="Calibri"/>
          <w:color w:val="1A1A1A"/>
        </w:rPr>
        <w:t xml:space="preserve"> et </w:t>
      </w:r>
      <w:r>
        <w:rPr>
          <w:rFonts w:ascii="Calibri" w:eastAsia="Calibri" w:hAnsi="Calibri" w:cs="Calibri"/>
          <w:color w:val="E91E63"/>
        </w:rPr>
        <w:t>CEDH [GC], 7 février 2012, Von Hannover (n° 2), n° 40660/08</w:t>
      </w:r>
      <w:r>
        <w:rPr>
          <w:rFonts w:ascii="Calibri" w:eastAsia="Calibri" w:hAnsi="Calibri" w:cs="Calibri"/>
          <w:color w:val="1A1A1A"/>
        </w:rPr>
        <w:t xml:space="preserve"> : protection de la vie privée </w:t>
      </w:r>
      <w:r>
        <w:rPr>
          <w:rFonts w:ascii="Calibri" w:eastAsia="Calibri" w:hAnsi="Calibri" w:cs="Calibri"/>
          <w:b/>
          <w:bCs/>
          <w:color w:val="1A1A1A"/>
        </w:rPr>
        <w:t>jusque dans l’espace public</w:t>
      </w:r>
      <w:r>
        <w:rPr>
          <w:rFonts w:ascii="Calibri" w:eastAsia="Calibri" w:hAnsi="Calibri" w:cs="Calibri"/>
          <w:color w:val="1A1A1A"/>
        </w:rPr>
        <w:t>, puis grille de mise en balance avec l’</w:t>
      </w:r>
      <w:r>
        <w:rPr>
          <w:rFonts w:ascii="Calibri" w:eastAsia="Calibri" w:hAnsi="Calibri" w:cs="Calibri"/>
          <w:color w:val="1E88E5"/>
        </w:rPr>
        <w:t>art. 10</w:t>
      </w:r>
      <w:r>
        <w:rPr>
          <w:rFonts w:ascii="Calibri" w:eastAsia="Calibri" w:hAnsi="Calibri" w:cs="Calibri"/>
          <w:color w:val="1A1A1A"/>
        </w:rPr>
        <w:t>.</w:t>
      </w:r>
    </w:p>
    <w:p w14:paraId="332CDC76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color w:val="1A1A1A"/>
        </w:rPr>
        <w:t xml:space="preserve">★ </w:t>
      </w:r>
      <w:r>
        <w:rPr>
          <w:rFonts w:ascii="Calibri" w:eastAsia="Calibri" w:hAnsi="Calibri" w:cs="Calibri"/>
          <w:color w:val="E91E63"/>
        </w:rPr>
        <w:t>CEDH, 6 septembre 1978, Klass c. Allemagne, n° 5029/71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CEDH, 24 avril 1990, Kruslin et Huvig c. France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CEDH [GC], 25 mai 2021, Big Brother Watch c. Royaume-Uni, n° 58170/13</w:t>
      </w:r>
      <w:r>
        <w:rPr>
          <w:rFonts w:ascii="Calibri" w:eastAsia="Calibri" w:hAnsi="Calibri" w:cs="Calibri"/>
          <w:color w:val="1A1A1A"/>
        </w:rPr>
        <w:t xml:space="preserve"> : la surveillance secrète n’est admise qu’entourée de </w:t>
      </w:r>
      <w:r>
        <w:rPr>
          <w:rFonts w:ascii="Calibri" w:eastAsia="Calibri" w:hAnsi="Calibri" w:cs="Calibri"/>
          <w:b/>
          <w:bCs/>
          <w:color w:val="1A1A1A"/>
        </w:rPr>
        <w:t>garanties « de bout en bout »</w:t>
      </w:r>
      <w:r>
        <w:rPr>
          <w:rFonts w:ascii="Calibri" w:eastAsia="Calibri" w:hAnsi="Calibri" w:cs="Calibri"/>
          <w:color w:val="1A1A1A"/>
        </w:rPr>
        <w:t>.</w:t>
      </w:r>
    </w:p>
    <w:p w14:paraId="5B12706F" w14:textId="77777777" w:rsidR="00C05C80" w:rsidRDefault="00000000">
      <w:pPr>
        <w:pStyle w:val="Titre3"/>
        <w:spacing w:before="200" w:after="90"/>
      </w:pPr>
      <w:r>
        <w:rPr>
          <w:rFonts w:ascii="Calibri" w:eastAsia="Calibri" w:hAnsi="Calibri" w:cs="Calibri"/>
          <w:b/>
          <w:bCs/>
          <w:i/>
          <w:iCs/>
          <w:color w:val="5A5A5A"/>
          <w:sz w:val="21"/>
          <w:szCs w:val="21"/>
        </w:rPr>
        <w:t>Deux matrices de plan</w:t>
      </w:r>
    </w:p>
    <w:p w14:paraId="6D703CCB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Sujet « La vie privée, notion attrape-tout ? »</w:t>
      </w:r>
      <w:r>
        <w:rPr>
          <w:rFonts w:ascii="Calibri" w:eastAsia="Calibri" w:hAnsi="Calibri" w:cs="Calibri"/>
          <w:color w:val="1A1A1A"/>
        </w:rPr>
        <w:t xml:space="preserve"> — </w:t>
      </w:r>
      <w:r>
        <w:rPr>
          <w:rFonts w:ascii="Calibri" w:eastAsia="Calibri" w:hAnsi="Calibri" w:cs="Calibri"/>
          <w:b/>
          <w:bCs/>
          <w:color w:val="1A1A1A"/>
        </w:rPr>
        <w:t>I. Une notion en expansion constante</w:t>
      </w:r>
      <w:r>
        <w:rPr>
          <w:rFonts w:ascii="Calibri" w:eastAsia="Calibri" w:hAnsi="Calibri" w:cs="Calibri"/>
          <w:color w:val="1A1A1A"/>
        </w:rPr>
        <w:t xml:space="preserve"> (A. De l’intimité à l’identité : nom (</w:t>
      </w:r>
      <w:proofErr w:type="spellStart"/>
      <w:r>
        <w:rPr>
          <w:rFonts w:ascii="Calibri" w:eastAsia="Calibri" w:hAnsi="Calibri" w:cs="Calibri"/>
          <w:color w:val="E91E63"/>
        </w:rPr>
        <w:t>Burghartz</w:t>
      </w:r>
      <w:proofErr w:type="spellEnd"/>
      <w:r>
        <w:rPr>
          <w:rFonts w:ascii="Calibri" w:eastAsia="Calibri" w:hAnsi="Calibri" w:cs="Calibri"/>
          <w:color w:val="1A1A1A"/>
        </w:rPr>
        <w:t>), origines (</w:t>
      </w:r>
      <w:r>
        <w:rPr>
          <w:rFonts w:ascii="Calibri" w:eastAsia="Calibri" w:hAnsi="Calibri" w:cs="Calibri"/>
          <w:color w:val="E91E63"/>
        </w:rPr>
        <w:t>Odièvre</w:t>
      </w:r>
      <w:r>
        <w:rPr>
          <w:rFonts w:ascii="Calibri" w:eastAsia="Calibri" w:hAnsi="Calibri" w:cs="Calibri"/>
          <w:color w:val="1A1A1A"/>
        </w:rPr>
        <w:t xml:space="preserve">, </w:t>
      </w:r>
      <w:r>
        <w:rPr>
          <w:rFonts w:ascii="Calibri" w:eastAsia="Calibri" w:hAnsi="Calibri" w:cs="Calibri"/>
          <w:color w:val="E91E63"/>
        </w:rPr>
        <w:t>Godelli</w:t>
      </w:r>
      <w:r>
        <w:rPr>
          <w:rFonts w:ascii="Calibri" w:eastAsia="Calibri" w:hAnsi="Calibri" w:cs="Calibri"/>
          <w:color w:val="1A1A1A"/>
        </w:rPr>
        <w:t>), genre (</w:t>
      </w:r>
      <w:r>
        <w:rPr>
          <w:rFonts w:ascii="Calibri" w:eastAsia="Calibri" w:hAnsi="Calibri" w:cs="Calibri"/>
          <w:color w:val="E91E63"/>
        </w:rPr>
        <w:t>Goodwin</w:t>
      </w:r>
      <w:r>
        <w:rPr>
          <w:rFonts w:ascii="Calibri" w:eastAsia="Calibri" w:hAnsi="Calibri" w:cs="Calibri"/>
          <w:color w:val="1A1A1A"/>
        </w:rPr>
        <w:t xml:space="preserve">, </w:t>
      </w:r>
      <w:r>
        <w:rPr>
          <w:rFonts w:ascii="Calibri" w:eastAsia="Calibri" w:hAnsi="Calibri" w:cs="Calibri"/>
          <w:color w:val="E91E63"/>
        </w:rPr>
        <w:t>X et Y c. Roumanie</w:t>
      </w:r>
      <w:r>
        <w:rPr>
          <w:rFonts w:ascii="Calibri" w:eastAsia="Calibri" w:hAnsi="Calibri" w:cs="Calibri"/>
          <w:color w:val="1A1A1A"/>
        </w:rPr>
        <w:t>) ; B. De l’identité aux lieux : domicile professionnel (</w:t>
      </w:r>
      <w:r>
        <w:rPr>
          <w:rFonts w:ascii="Calibri" w:eastAsia="Calibri" w:hAnsi="Calibri" w:cs="Calibri"/>
          <w:color w:val="E91E63"/>
        </w:rPr>
        <w:t>Niemietz</w:t>
      </w:r>
      <w:r>
        <w:rPr>
          <w:rFonts w:ascii="Calibri" w:eastAsia="Calibri" w:hAnsi="Calibri" w:cs="Calibri"/>
          <w:color w:val="1A1A1A"/>
        </w:rPr>
        <w:t>), environnement (</w:t>
      </w:r>
      <w:r>
        <w:rPr>
          <w:rFonts w:ascii="Calibri" w:eastAsia="Calibri" w:hAnsi="Calibri" w:cs="Calibri"/>
          <w:color w:val="E91E63"/>
        </w:rPr>
        <w:t>Hatton</w:t>
      </w:r>
      <w:r>
        <w:rPr>
          <w:rFonts w:ascii="Calibri" w:eastAsia="Calibri" w:hAnsi="Calibri" w:cs="Calibri"/>
          <w:color w:val="1A1A1A"/>
        </w:rPr>
        <w:t xml:space="preserve">, </w:t>
      </w:r>
      <w:r>
        <w:rPr>
          <w:rFonts w:ascii="Calibri" w:eastAsia="Calibri" w:hAnsi="Calibri" w:cs="Calibri"/>
          <w:color w:val="E91E63"/>
        </w:rPr>
        <w:t>Dzemyuk</w:t>
      </w:r>
      <w:r>
        <w:rPr>
          <w:rFonts w:ascii="Calibri" w:eastAsia="Calibri" w:hAnsi="Calibri" w:cs="Calibri"/>
          <w:color w:val="1A1A1A"/>
        </w:rPr>
        <w:t>), voix (</w:t>
      </w:r>
      <w:r>
        <w:rPr>
          <w:rFonts w:ascii="Calibri" w:eastAsia="Calibri" w:hAnsi="Calibri" w:cs="Calibri"/>
          <w:color w:val="E91E63"/>
        </w:rPr>
        <w:t>Cass. 1re civ., 24 juin 2026</w:t>
      </w:r>
      <w:r>
        <w:rPr>
          <w:rFonts w:ascii="Calibri" w:eastAsia="Calibri" w:hAnsi="Calibri" w:cs="Calibri"/>
          <w:color w:val="1A1A1A"/>
        </w:rPr>
        <w:t xml:space="preserve">)) / </w:t>
      </w:r>
      <w:r>
        <w:rPr>
          <w:rFonts w:ascii="Calibri" w:eastAsia="Calibri" w:hAnsi="Calibri" w:cs="Calibri"/>
          <w:b/>
          <w:bCs/>
          <w:color w:val="1A1A1A"/>
        </w:rPr>
        <w:t>II. Une notion régulée par la proportionnalité</w:t>
      </w:r>
      <w:r>
        <w:rPr>
          <w:rFonts w:ascii="Calibri" w:eastAsia="Calibri" w:hAnsi="Calibri" w:cs="Calibri"/>
          <w:color w:val="1A1A1A"/>
        </w:rPr>
        <w:t xml:space="preserve"> (A. La mise en balance avec l’</w:t>
      </w:r>
      <w:r>
        <w:rPr>
          <w:rFonts w:ascii="Calibri" w:eastAsia="Calibri" w:hAnsi="Calibri" w:cs="Calibri"/>
          <w:color w:val="1E88E5"/>
        </w:rPr>
        <w:t>art. 10</w:t>
      </w:r>
      <w:r>
        <w:rPr>
          <w:rFonts w:ascii="Calibri" w:eastAsia="Calibri" w:hAnsi="Calibri" w:cs="Calibri"/>
          <w:color w:val="1A1A1A"/>
        </w:rPr>
        <w:t xml:space="preserve"> : </w:t>
      </w:r>
      <w:r>
        <w:rPr>
          <w:rFonts w:ascii="Calibri" w:eastAsia="Calibri" w:hAnsi="Calibri" w:cs="Calibri"/>
          <w:color w:val="E91E63"/>
        </w:rPr>
        <w:t>Von Hannover n° 2</w:t>
      </w:r>
      <w:r>
        <w:rPr>
          <w:rFonts w:ascii="Calibri" w:eastAsia="Calibri" w:hAnsi="Calibri" w:cs="Calibri"/>
          <w:color w:val="1A1A1A"/>
        </w:rPr>
        <w:t xml:space="preserve">, </w:t>
      </w:r>
      <w:r>
        <w:rPr>
          <w:rFonts w:ascii="Calibri" w:eastAsia="Calibri" w:hAnsi="Calibri" w:cs="Calibri"/>
          <w:color w:val="E91E63"/>
        </w:rPr>
        <w:t>Couderc</w:t>
      </w:r>
      <w:r>
        <w:rPr>
          <w:rFonts w:ascii="Calibri" w:eastAsia="Calibri" w:hAnsi="Calibri" w:cs="Calibri"/>
          <w:color w:val="1A1A1A"/>
        </w:rPr>
        <w:t xml:space="preserve"> ; B. La conciliation avec l’ordre public : surveillance (</w:t>
      </w:r>
      <w:r>
        <w:rPr>
          <w:rFonts w:ascii="Calibri" w:eastAsia="Calibri" w:hAnsi="Calibri" w:cs="Calibri"/>
          <w:color w:val="E91E63"/>
        </w:rPr>
        <w:t>Klass</w:t>
      </w:r>
      <w:r>
        <w:rPr>
          <w:rFonts w:ascii="Calibri" w:eastAsia="Calibri" w:hAnsi="Calibri" w:cs="Calibri"/>
          <w:color w:val="1A1A1A"/>
        </w:rPr>
        <w:t xml:space="preserve">, </w:t>
      </w:r>
      <w:r>
        <w:rPr>
          <w:rFonts w:ascii="Calibri" w:eastAsia="Calibri" w:hAnsi="Calibri" w:cs="Calibri"/>
          <w:color w:val="E91E63"/>
        </w:rPr>
        <w:t>Big Brother Watch</w:t>
      </w:r>
      <w:r>
        <w:rPr>
          <w:rFonts w:ascii="Calibri" w:eastAsia="Calibri" w:hAnsi="Calibri" w:cs="Calibri"/>
          <w:color w:val="1A1A1A"/>
        </w:rPr>
        <w:t>), domicile (</w:t>
      </w:r>
      <w:r>
        <w:rPr>
          <w:rFonts w:ascii="Calibri" w:eastAsia="Calibri" w:hAnsi="Calibri" w:cs="Calibri"/>
          <w:color w:val="E91E63"/>
        </w:rPr>
        <w:t>2019-778 DC</w:t>
      </w:r>
      <w:r>
        <w:rPr>
          <w:rFonts w:ascii="Calibri" w:eastAsia="Calibri" w:hAnsi="Calibri" w:cs="Calibri"/>
          <w:color w:val="1A1A1A"/>
        </w:rPr>
        <w:t>), vidéosurveillance algorithmique (</w:t>
      </w:r>
      <w:r>
        <w:rPr>
          <w:rFonts w:ascii="Calibri" w:eastAsia="Calibri" w:hAnsi="Calibri" w:cs="Calibri"/>
          <w:color w:val="E91E63"/>
        </w:rPr>
        <w:t>2023-850 DC</w:t>
      </w:r>
      <w:r>
        <w:rPr>
          <w:rFonts w:ascii="Calibri" w:eastAsia="Calibri" w:hAnsi="Calibri" w:cs="Calibri"/>
          <w:color w:val="1A1A1A"/>
        </w:rPr>
        <w:t xml:space="preserve">, </w:t>
      </w:r>
      <w:r>
        <w:rPr>
          <w:rFonts w:ascii="Calibri" w:eastAsia="Calibri" w:hAnsi="Calibri" w:cs="Calibri"/>
          <w:color w:val="E91E63"/>
        </w:rPr>
        <w:t>2025-878 DC</w:t>
      </w:r>
      <w:r>
        <w:rPr>
          <w:rFonts w:ascii="Calibri" w:eastAsia="Calibri" w:hAnsi="Calibri" w:cs="Calibri"/>
          <w:color w:val="1A1A1A"/>
        </w:rPr>
        <w:t>)).</w:t>
      </w:r>
    </w:p>
    <w:p w14:paraId="05D93C39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Sujet « Vie privée et sécurité »</w:t>
      </w:r>
      <w:r>
        <w:rPr>
          <w:rFonts w:ascii="Calibri" w:eastAsia="Calibri" w:hAnsi="Calibri" w:cs="Calibri"/>
          <w:color w:val="1A1A1A"/>
        </w:rPr>
        <w:t xml:space="preserve"> — </w:t>
      </w:r>
      <w:r>
        <w:rPr>
          <w:rFonts w:ascii="Calibri" w:eastAsia="Calibri" w:hAnsi="Calibri" w:cs="Calibri"/>
          <w:b/>
          <w:bCs/>
          <w:color w:val="1A1A1A"/>
        </w:rPr>
        <w:t>I. La vie privée, limite de principe aux pouvoirs de surveillance</w:t>
      </w:r>
      <w:r>
        <w:rPr>
          <w:rFonts w:ascii="Calibri" w:eastAsia="Calibri" w:hAnsi="Calibri" w:cs="Calibri"/>
          <w:color w:val="1A1A1A"/>
        </w:rPr>
        <w:t xml:space="preserve"> (A. La qualité de la loi : </w:t>
      </w:r>
      <w:r>
        <w:rPr>
          <w:rFonts w:ascii="Calibri" w:eastAsia="Calibri" w:hAnsi="Calibri" w:cs="Calibri"/>
          <w:color w:val="E91E63"/>
        </w:rPr>
        <w:t>Kruslin et Huvig</w:t>
      </w:r>
      <w:r>
        <w:rPr>
          <w:rFonts w:ascii="Calibri" w:eastAsia="Calibri" w:hAnsi="Calibri" w:cs="Calibri"/>
          <w:color w:val="1A1A1A"/>
        </w:rPr>
        <w:t xml:space="preserve">, </w:t>
      </w:r>
      <w:r>
        <w:rPr>
          <w:rFonts w:ascii="Calibri" w:eastAsia="Calibri" w:hAnsi="Calibri" w:cs="Calibri"/>
          <w:color w:val="1E88E5"/>
        </w:rPr>
        <w:t>loi du 10 juillet 1991</w:t>
      </w:r>
      <w:r>
        <w:rPr>
          <w:rFonts w:ascii="Calibri" w:eastAsia="Calibri" w:hAnsi="Calibri" w:cs="Calibri"/>
          <w:color w:val="1A1A1A"/>
        </w:rPr>
        <w:t xml:space="preserve"> ; B. Le contrôle indépendant : CNCTR, </w:t>
      </w:r>
      <w:r>
        <w:rPr>
          <w:rFonts w:ascii="Calibri" w:eastAsia="Calibri" w:hAnsi="Calibri" w:cs="Calibri"/>
          <w:color w:val="1E88E5"/>
        </w:rPr>
        <w:t>loi n° 2015-912 du 24 juillet 2015</w:t>
      </w:r>
      <w:r>
        <w:rPr>
          <w:rFonts w:ascii="Calibri" w:eastAsia="Calibri" w:hAnsi="Calibri" w:cs="Calibri"/>
          <w:color w:val="1A1A1A"/>
        </w:rPr>
        <w:t xml:space="preserve">, </w:t>
      </w:r>
      <w:r>
        <w:rPr>
          <w:rFonts w:ascii="Calibri" w:eastAsia="Calibri" w:hAnsi="Calibri" w:cs="Calibri"/>
          <w:color w:val="E91E63"/>
        </w:rPr>
        <w:t>2015-713 DC</w:t>
      </w:r>
      <w:r>
        <w:rPr>
          <w:rFonts w:ascii="Calibri" w:eastAsia="Calibri" w:hAnsi="Calibri" w:cs="Calibri"/>
          <w:color w:val="1A1A1A"/>
        </w:rPr>
        <w:t xml:space="preserve">) / </w:t>
      </w:r>
      <w:r>
        <w:rPr>
          <w:rFonts w:ascii="Calibri" w:eastAsia="Calibri" w:hAnsi="Calibri" w:cs="Calibri"/>
          <w:b/>
          <w:bCs/>
          <w:color w:val="1A1A1A"/>
        </w:rPr>
        <w:t>II. Une limite éprouvée par les technologies</w:t>
      </w:r>
      <w:r>
        <w:rPr>
          <w:rFonts w:ascii="Calibri" w:eastAsia="Calibri" w:hAnsi="Calibri" w:cs="Calibri"/>
          <w:color w:val="1A1A1A"/>
        </w:rPr>
        <w:t xml:space="preserve"> (A. De la vidéoprotection à la vidéosurveillance algorithmique : </w:t>
      </w:r>
      <w:r>
        <w:rPr>
          <w:rFonts w:ascii="Calibri" w:eastAsia="Calibri" w:hAnsi="Calibri" w:cs="Calibri"/>
          <w:color w:val="E91E63"/>
        </w:rPr>
        <w:t>94-352 DC</w:t>
      </w:r>
      <w:r>
        <w:rPr>
          <w:rFonts w:ascii="Calibri" w:eastAsia="Calibri" w:hAnsi="Calibri" w:cs="Calibri"/>
          <w:color w:val="1A1A1A"/>
        </w:rPr>
        <w:t xml:space="preserve">, </w:t>
      </w:r>
      <w:r>
        <w:rPr>
          <w:rFonts w:ascii="Calibri" w:eastAsia="Calibri" w:hAnsi="Calibri" w:cs="Calibri"/>
          <w:color w:val="1E88E5"/>
        </w:rPr>
        <w:t>art. 10 loi du 19 mai 2023</w:t>
      </w:r>
      <w:r>
        <w:rPr>
          <w:rFonts w:ascii="Calibri" w:eastAsia="Calibri" w:hAnsi="Calibri" w:cs="Calibri"/>
          <w:color w:val="1A1A1A"/>
        </w:rPr>
        <w:t xml:space="preserve">, </w:t>
      </w:r>
      <w:r>
        <w:rPr>
          <w:rFonts w:ascii="Calibri" w:eastAsia="Calibri" w:hAnsi="Calibri" w:cs="Calibri"/>
          <w:color w:val="1E88E5"/>
        </w:rPr>
        <w:t>loi n° 2026-798 du 18 août 2026</w:t>
      </w:r>
      <w:r>
        <w:rPr>
          <w:rFonts w:ascii="Calibri" w:eastAsia="Calibri" w:hAnsi="Calibri" w:cs="Calibri"/>
          <w:color w:val="1A1A1A"/>
        </w:rPr>
        <w:t xml:space="preserve"> ; B. Le juge, dernier rempart : </w:t>
      </w:r>
      <w:r>
        <w:rPr>
          <w:rFonts w:ascii="Calibri" w:eastAsia="Calibri" w:hAnsi="Calibri" w:cs="Calibri"/>
          <w:color w:val="E91E63"/>
        </w:rPr>
        <w:t>TA Caen, ord., 22 novembre 2023, BriefCam</w:t>
      </w:r>
      <w:r>
        <w:rPr>
          <w:rFonts w:ascii="Calibri" w:eastAsia="Calibri" w:hAnsi="Calibri" w:cs="Calibri"/>
          <w:color w:val="1A1A1A"/>
        </w:rPr>
        <w:t xml:space="preserve">, </w:t>
      </w:r>
      <w:r>
        <w:rPr>
          <w:rFonts w:ascii="Calibri" w:eastAsia="Calibri" w:hAnsi="Calibri" w:cs="Calibri"/>
          <w:color w:val="E91E63"/>
        </w:rPr>
        <w:t>Big Brother Watch</w:t>
      </w:r>
      <w:r>
        <w:rPr>
          <w:rFonts w:ascii="Calibri" w:eastAsia="Calibri" w:hAnsi="Calibri" w:cs="Calibri"/>
          <w:color w:val="1A1A1A"/>
        </w:rPr>
        <w:t>).</w:t>
      </w:r>
    </w:p>
    <w:p w14:paraId="79E80F93" w14:textId="77777777" w:rsidR="00C05C80" w:rsidRDefault="00000000">
      <w:pPr>
        <w:pStyle w:val="Titre3"/>
        <w:spacing w:before="200" w:after="90"/>
      </w:pPr>
      <w:r>
        <w:rPr>
          <w:rFonts w:ascii="Calibri" w:eastAsia="Calibri" w:hAnsi="Calibri" w:cs="Calibri"/>
          <w:b/>
          <w:bCs/>
          <w:i/>
          <w:iCs/>
          <w:color w:val="5A5A5A"/>
          <w:sz w:val="21"/>
          <w:szCs w:val="21"/>
        </w:rPr>
        <w:t>Trois pièges</w:t>
      </w:r>
    </w:p>
    <w:p w14:paraId="56AA756F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Vie privée ≠ liberté individuelle</w:t>
      </w:r>
      <w:r>
        <w:rPr>
          <w:rFonts w:ascii="Calibri" w:eastAsia="Calibri" w:hAnsi="Calibri" w:cs="Calibri"/>
          <w:color w:val="1A1A1A"/>
        </w:rPr>
        <w:t xml:space="preserve"> : depuis </w:t>
      </w:r>
      <w:r>
        <w:rPr>
          <w:rFonts w:ascii="Calibri" w:eastAsia="Calibri" w:hAnsi="Calibri" w:cs="Calibri"/>
          <w:color w:val="E91E63"/>
        </w:rPr>
        <w:t>99-416 DC</w:t>
      </w:r>
      <w:r>
        <w:rPr>
          <w:rFonts w:ascii="Calibri" w:eastAsia="Calibri" w:hAnsi="Calibri" w:cs="Calibri"/>
          <w:color w:val="1A1A1A"/>
        </w:rPr>
        <w:t>, la vie privée relève de l’</w:t>
      </w:r>
      <w:r>
        <w:rPr>
          <w:rFonts w:ascii="Calibri" w:eastAsia="Calibri" w:hAnsi="Calibri" w:cs="Calibri"/>
          <w:color w:val="1E88E5"/>
        </w:rPr>
        <w:t>art. 2 DDHC</w:t>
      </w:r>
      <w:r>
        <w:rPr>
          <w:rFonts w:ascii="Calibri" w:eastAsia="Calibri" w:hAnsi="Calibri" w:cs="Calibri"/>
          <w:color w:val="1A1A1A"/>
        </w:rPr>
        <w:t xml:space="preserve"> et non de l’</w:t>
      </w:r>
      <w:r>
        <w:rPr>
          <w:rFonts w:ascii="Calibri" w:eastAsia="Calibri" w:hAnsi="Calibri" w:cs="Calibri"/>
          <w:color w:val="1E88E5"/>
        </w:rPr>
        <w:t>art. 66 C.</w:t>
      </w:r>
      <w:r>
        <w:rPr>
          <w:rFonts w:ascii="Calibri" w:eastAsia="Calibri" w:hAnsi="Calibri" w:cs="Calibri"/>
          <w:color w:val="1A1A1A"/>
        </w:rPr>
        <w:t xml:space="preserve"> Conséquence : le </w:t>
      </w:r>
      <w:r>
        <w:rPr>
          <w:rFonts w:ascii="Calibri" w:eastAsia="Calibri" w:hAnsi="Calibri" w:cs="Calibri"/>
          <w:b/>
          <w:bCs/>
          <w:color w:val="1A1A1A"/>
        </w:rPr>
        <w:t>juge administratif</w:t>
      </w:r>
      <w:r>
        <w:rPr>
          <w:rFonts w:ascii="Calibri" w:eastAsia="Calibri" w:hAnsi="Calibri" w:cs="Calibri"/>
          <w:color w:val="1A1A1A"/>
        </w:rPr>
        <w:t xml:space="preserve"> en connaît pleinement, notamment en référé-liberté (</w:t>
      </w:r>
      <w:r>
        <w:rPr>
          <w:rFonts w:ascii="Calibri" w:eastAsia="Calibri" w:hAnsi="Calibri" w:cs="Calibri"/>
          <w:color w:val="E91E63"/>
        </w:rPr>
        <w:t>CE, ord., 25 octobre 2007, n° 310125</w:t>
      </w:r>
      <w:r>
        <w:rPr>
          <w:rFonts w:ascii="Calibri" w:eastAsia="Calibri" w:hAnsi="Calibri" w:cs="Calibri"/>
          <w:color w:val="1A1A1A"/>
        </w:rPr>
        <w:t>).</w:t>
      </w:r>
    </w:p>
    <w:p w14:paraId="646806E7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lastRenderedPageBreak/>
        <w:t>Art. 9 C. civ. ≠ art. 8 CEDH</w:t>
      </w:r>
      <w:r>
        <w:rPr>
          <w:rFonts w:ascii="Calibri" w:eastAsia="Calibri" w:hAnsi="Calibri" w:cs="Calibri"/>
          <w:color w:val="1A1A1A"/>
        </w:rPr>
        <w:t xml:space="preserve"> : le premier vise l’intimité contre la divulgation ; le second est une notion « attrape-tout » qui couvre l’identité, l’environnement, le travail. Ne pas les traiter comme synonymes.</w:t>
      </w:r>
    </w:p>
    <w:p w14:paraId="05DDB51F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Domicile : divergence de périmètre</w:t>
      </w:r>
      <w:r>
        <w:rPr>
          <w:rFonts w:ascii="Calibri" w:eastAsia="Calibri" w:hAnsi="Calibri" w:cs="Calibri"/>
          <w:color w:val="1A1A1A"/>
        </w:rPr>
        <w:t>. Pour Strasbourg, le domicile inclut les locaux professionnels (</w:t>
      </w:r>
      <w:r>
        <w:rPr>
          <w:rFonts w:ascii="Calibri" w:eastAsia="Calibri" w:hAnsi="Calibri" w:cs="Calibri"/>
          <w:color w:val="E91E63"/>
        </w:rPr>
        <w:t>Niemietz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Colas Est c. France, 2002</w:t>
      </w:r>
      <w:r>
        <w:rPr>
          <w:rFonts w:ascii="Calibri" w:eastAsia="Calibri" w:hAnsi="Calibri" w:cs="Calibri"/>
          <w:color w:val="1A1A1A"/>
        </w:rPr>
        <w:t xml:space="preserve">) ; pour le Conseil constitutionnel, l’inviolabilité stricte est réservée aux </w:t>
      </w:r>
      <w:r>
        <w:rPr>
          <w:rFonts w:ascii="Calibri" w:eastAsia="Calibri" w:hAnsi="Calibri" w:cs="Calibri"/>
          <w:b/>
          <w:bCs/>
          <w:color w:val="1A1A1A"/>
        </w:rPr>
        <w:t>lieux d’habitation</w:t>
      </w:r>
      <w:r>
        <w:rPr>
          <w:rFonts w:ascii="Calibri" w:eastAsia="Calibri" w:hAnsi="Calibri" w:cs="Calibri"/>
          <w:color w:val="1A1A1A"/>
        </w:rPr>
        <w:t xml:space="preserve"> (</w:t>
      </w:r>
      <w:r>
        <w:rPr>
          <w:rFonts w:ascii="Calibri" w:eastAsia="Calibri" w:hAnsi="Calibri" w:cs="Calibri"/>
          <w:color w:val="E91E63"/>
        </w:rPr>
        <w:t xml:space="preserve">2016-552 QPC, </w:t>
      </w:r>
      <w:proofErr w:type="spellStart"/>
      <w:r>
        <w:rPr>
          <w:rFonts w:ascii="Calibri" w:eastAsia="Calibri" w:hAnsi="Calibri" w:cs="Calibri"/>
          <w:color w:val="E91E63"/>
        </w:rPr>
        <w:t>Brenntag</w:t>
      </w:r>
      <w:proofErr w:type="spellEnd"/>
      <w:r>
        <w:rPr>
          <w:rFonts w:ascii="Calibri" w:eastAsia="Calibri" w:hAnsi="Calibri" w:cs="Calibri"/>
          <w:color w:val="1A1A1A"/>
        </w:rPr>
        <w:t>).</w:t>
      </w:r>
    </w:p>
    <w:p w14:paraId="257A1AA3" w14:textId="77777777" w:rsidR="00C05C80" w:rsidRDefault="00000000">
      <w:r>
        <w:br w:type="page"/>
      </w:r>
    </w:p>
    <w:p w14:paraId="585CB7C7" w14:textId="77777777" w:rsidR="00C05C80" w:rsidRDefault="00000000">
      <w:pPr>
        <w:pStyle w:val="Titre2"/>
        <w:spacing w:before="280" w:after="12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lastRenderedPageBreak/>
        <w:t>1. Architecture textuelle</w:t>
      </w:r>
    </w:p>
    <w:p w14:paraId="780341F4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Droit international</w:t>
      </w:r>
      <w:r>
        <w:rPr>
          <w:rFonts w:ascii="Calibri" w:eastAsia="Calibri" w:hAnsi="Calibri" w:cs="Calibri"/>
          <w:color w:val="1A1A1A"/>
        </w:rPr>
        <w:t xml:space="preserve"> : </w:t>
      </w:r>
      <w:r>
        <w:rPr>
          <w:rFonts w:ascii="Calibri" w:eastAsia="Calibri" w:hAnsi="Calibri" w:cs="Calibri"/>
          <w:color w:val="1E88E5"/>
        </w:rPr>
        <w:t>art. 12 DUDH</w:t>
      </w:r>
      <w:r>
        <w:rPr>
          <w:rFonts w:ascii="Calibri" w:eastAsia="Calibri" w:hAnsi="Calibri" w:cs="Calibri"/>
          <w:color w:val="1A1A1A"/>
        </w:rPr>
        <w:t xml:space="preserve"> (« Nul ne sera l’objet d’immixtions arbitraires dans sa vie privée… ») ; </w:t>
      </w:r>
      <w:r>
        <w:rPr>
          <w:rFonts w:ascii="Calibri" w:eastAsia="Calibri" w:hAnsi="Calibri" w:cs="Calibri"/>
          <w:color w:val="1E88E5"/>
        </w:rPr>
        <w:t>art. 17 PIDCP</w:t>
      </w:r>
      <w:r>
        <w:rPr>
          <w:rFonts w:ascii="Calibri" w:eastAsia="Calibri" w:hAnsi="Calibri" w:cs="Calibri"/>
          <w:color w:val="1A1A1A"/>
        </w:rPr>
        <w:t>.</w:t>
      </w:r>
    </w:p>
    <w:p w14:paraId="300626BA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Droit européen</w:t>
      </w:r>
      <w:r>
        <w:rPr>
          <w:rFonts w:ascii="Calibri" w:eastAsia="Calibri" w:hAnsi="Calibri" w:cs="Calibri"/>
          <w:color w:val="1A1A1A"/>
        </w:rPr>
        <w:t xml:space="preserve"> : </w:t>
      </w:r>
      <w:r>
        <w:rPr>
          <w:rFonts w:ascii="Calibri" w:eastAsia="Calibri" w:hAnsi="Calibri" w:cs="Calibri"/>
          <w:color w:val="1E88E5"/>
        </w:rPr>
        <w:t>art. 8 CEDH</w:t>
      </w:r>
      <w:r>
        <w:rPr>
          <w:rFonts w:ascii="Calibri" w:eastAsia="Calibri" w:hAnsi="Calibri" w:cs="Calibri"/>
          <w:color w:val="1A1A1A"/>
        </w:rPr>
        <w:t xml:space="preserve"> — § 1 : droit au respect de la vie privée et familiale, du domicile et de la correspondance ; § 2 : ingérence admise si </w:t>
      </w:r>
      <w:r>
        <w:rPr>
          <w:rFonts w:ascii="Calibri" w:eastAsia="Calibri" w:hAnsi="Calibri" w:cs="Calibri"/>
          <w:b/>
          <w:bCs/>
          <w:color w:val="1A1A1A"/>
        </w:rPr>
        <w:t>prévue par la loi</w:t>
      </w:r>
      <w:r>
        <w:rPr>
          <w:rFonts w:ascii="Calibri" w:eastAsia="Calibri" w:hAnsi="Calibri" w:cs="Calibri"/>
          <w:color w:val="1A1A1A"/>
        </w:rPr>
        <w:t xml:space="preserve">, poursuivant un </w:t>
      </w:r>
      <w:r>
        <w:rPr>
          <w:rFonts w:ascii="Calibri" w:eastAsia="Calibri" w:hAnsi="Calibri" w:cs="Calibri"/>
          <w:b/>
          <w:bCs/>
          <w:color w:val="1A1A1A"/>
        </w:rPr>
        <w:t>but légitime</w:t>
      </w:r>
      <w:r>
        <w:rPr>
          <w:rFonts w:ascii="Calibri" w:eastAsia="Calibri" w:hAnsi="Calibri" w:cs="Calibri"/>
          <w:color w:val="1A1A1A"/>
        </w:rPr>
        <w:t xml:space="preserve"> (sécurité nationale, sûreté publique, bien-être économique du pays, défense de l’ordre et prévention des infractions pénales, protection de la santé ou de la morale, protection des droits et libertés d’autrui) et </w:t>
      </w:r>
      <w:r>
        <w:rPr>
          <w:rFonts w:ascii="Calibri" w:eastAsia="Calibri" w:hAnsi="Calibri" w:cs="Calibri"/>
          <w:b/>
          <w:bCs/>
          <w:color w:val="1A1A1A"/>
        </w:rPr>
        <w:t>nécessaire dans une société démocratique</w:t>
      </w:r>
      <w:r>
        <w:rPr>
          <w:rFonts w:ascii="Calibri" w:eastAsia="Calibri" w:hAnsi="Calibri" w:cs="Calibri"/>
          <w:color w:val="1A1A1A"/>
        </w:rPr>
        <w:t xml:space="preserve">. </w:t>
      </w:r>
      <w:r>
        <w:rPr>
          <w:rFonts w:ascii="Calibri" w:eastAsia="Calibri" w:hAnsi="Calibri" w:cs="Calibri"/>
          <w:color w:val="1E88E5"/>
        </w:rPr>
        <w:t>Art. 7 CDFUE</w:t>
      </w:r>
      <w:r>
        <w:rPr>
          <w:rFonts w:ascii="Calibri" w:eastAsia="Calibri" w:hAnsi="Calibri" w:cs="Calibri"/>
          <w:color w:val="1A1A1A"/>
        </w:rPr>
        <w:t xml:space="preserve"> (vie privée) distinct de l’</w:t>
      </w:r>
      <w:r>
        <w:rPr>
          <w:rFonts w:ascii="Calibri" w:eastAsia="Calibri" w:hAnsi="Calibri" w:cs="Calibri"/>
          <w:color w:val="1E88E5"/>
        </w:rPr>
        <w:t>art. 8 CDFUE</w:t>
      </w:r>
      <w:r>
        <w:rPr>
          <w:rFonts w:ascii="Calibri" w:eastAsia="Calibri" w:hAnsi="Calibri" w:cs="Calibri"/>
          <w:color w:val="1A1A1A"/>
        </w:rPr>
        <w:t xml:space="preserve"> (données personnelles).</w:t>
      </w:r>
    </w:p>
    <w:p w14:paraId="7708756C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Droit constitutionnel</w:t>
      </w:r>
      <w:r>
        <w:rPr>
          <w:rFonts w:ascii="Calibri" w:eastAsia="Calibri" w:hAnsi="Calibri" w:cs="Calibri"/>
          <w:color w:val="1A1A1A"/>
        </w:rPr>
        <w:t xml:space="preserve"> : aucun texte ne mentionne la vie privée. Trajectoire en trois temps : rattachement à la liberté individuelle (</w:t>
      </w:r>
      <w:r>
        <w:rPr>
          <w:rFonts w:ascii="Calibri" w:eastAsia="Calibri" w:hAnsi="Calibri" w:cs="Calibri"/>
          <w:color w:val="E91E63"/>
        </w:rPr>
        <w:t>76-75 DC, 12 janvier 1977, fouille des véhicules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94-352 DC, 18 janvier 1995, vidéosurveillance</w:t>
      </w:r>
      <w:r>
        <w:rPr>
          <w:rFonts w:ascii="Calibri" w:eastAsia="Calibri" w:hAnsi="Calibri" w:cs="Calibri"/>
          <w:color w:val="1A1A1A"/>
        </w:rPr>
        <w:t xml:space="preserve">), puis hésitations des années 1990, enfin </w:t>
      </w:r>
      <w:r>
        <w:rPr>
          <w:rFonts w:ascii="Calibri" w:eastAsia="Calibri" w:hAnsi="Calibri" w:cs="Calibri"/>
          <w:b/>
          <w:bCs/>
          <w:color w:val="1A1A1A"/>
        </w:rPr>
        <w:t>clarification de 1999</w:t>
      </w:r>
      <w:r>
        <w:rPr>
          <w:rFonts w:ascii="Calibri" w:eastAsia="Calibri" w:hAnsi="Calibri" w:cs="Calibri"/>
          <w:color w:val="1A1A1A"/>
        </w:rPr>
        <w:t xml:space="preserve"> : </w:t>
      </w:r>
      <w:r>
        <w:rPr>
          <w:rFonts w:ascii="Calibri" w:eastAsia="Calibri" w:hAnsi="Calibri" w:cs="Calibri"/>
          <w:color w:val="E91E63"/>
        </w:rPr>
        <w:t>99-416 DC, 23 juillet 1999</w:t>
      </w:r>
      <w:r>
        <w:rPr>
          <w:rFonts w:ascii="Calibri" w:eastAsia="Calibri" w:hAnsi="Calibri" w:cs="Calibri"/>
          <w:color w:val="1A1A1A"/>
        </w:rPr>
        <w:t xml:space="preserve"> rattache la vie privée à l’</w:t>
      </w:r>
      <w:r>
        <w:rPr>
          <w:rFonts w:ascii="Calibri" w:eastAsia="Calibri" w:hAnsi="Calibri" w:cs="Calibri"/>
          <w:color w:val="1E88E5"/>
        </w:rPr>
        <w:t>art. 2 DDHC</w:t>
      </w:r>
      <w:r>
        <w:rPr>
          <w:rFonts w:ascii="Calibri" w:eastAsia="Calibri" w:hAnsi="Calibri" w:cs="Calibri"/>
          <w:color w:val="1A1A1A"/>
        </w:rPr>
        <w:t xml:space="preserve">. Le contrôle exige que l’atteinte soit justifiée par un </w:t>
      </w:r>
      <w:r>
        <w:rPr>
          <w:rFonts w:ascii="Calibri" w:eastAsia="Calibri" w:hAnsi="Calibri" w:cs="Calibri"/>
          <w:b/>
          <w:bCs/>
          <w:color w:val="1A1A1A"/>
        </w:rPr>
        <w:t>motif d’intérêt général</w:t>
      </w:r>
      <w:r>
        <w:rPr>
          <w:rFonts w:ascii="Calibri" w:eastAsia="Calibri" w:hAnsi="Calibri" w:cs="Calibri"/>
          <w:color w:val="1A1A1A"/>
        </w:rPr>
        <w:t xml:space="preserve"> et mise en œuvre de manière </w:t>
      </w:r>
      <w:r>
        <w:rPr>
          <w:rFonts w:ascii="Calibri" w:eastAsia="Calibri" w:hAnsi="Calibri" w:cs="Calibri"/>
          <w:b/>
          <w:bCs/>
          <w:color w:val="1A1A1A"/>
        </w:rPr>
        <w:t>adéquate et proportionnée</w:t>
      </w:r>
      <w:r>
        <w:rPr>
          <w:rFonts w:ascii="Calibri" w:eastAsia="Calibri" w:hAnsi="Calibri" w:cs="Calibri"/>
          <w:color w:val="1A1A1A"/>
        </w:rPr>
        <w:t>.</w:t>
      </w:r>
    </w:p>
    <w:p w14:paraId="1A8DB7DB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Droit civil</w:t>
      </w:r>
      <w:r>
        <w:rPr>
          <w:rFonts w:ascii="Calibri" w:eastAsia="Calibri" w:hAnsi="Calibri" w:cs="Calibri"/>
          <w:color w:val="1A1A1A"/>
        </w:rPr>
        <w:t xml:space="preserve"> : </w:t>
      </w:r>
      <w:r>
        <w:rPr>
          <w:rFonts w:ascii="Calibri" w:eastAsia="Calibri" w:hAnsi="Calibri" w:cs="Calibri"/>
          <w:color w:val="1E88E5"/>
        </w:rPr>
        <w:t>art. 9 C. civ.</w:t>
      </w:r>
      <w:r>
        <w:rPr>
          <w:rFonts w:ascii="Calibri" w:eastAsia="Calibri" w:hAnsi="Calibri" w:cs="Calibri"/>
          <w:color w:val="1A1A1A"/>
        </w:rPr>
        <w:t xml:space="preserve"> (loi du 17 juillet 1970) — « Chacun a droit au respect de sa vie privée » ; le juge peut prescrire « toutes mesures, telles que séquestre, saisie et autres, propres à empêcher ou faire cesser une atteinte à l’intimité de la vie privée », en référé s’il y a urgence. </w:t>
      </w:r>
      <w:r>
        <w:rPr>
          <w:rFonts w:ascii="Calibri" w:eastAsia="Calibri" w:hAnsi="Calibri" w:cs="Calibri"/>
          <w:b/>
          <w:bCs/>
          <w:color w:val="1A1A1A"/>
        </w:rPr>
        <w:t>La seule constatation de l’atteinte ouvre droit à réparation</w:t>
      </w:r>
      <w:r>
        <w:rPr>
          <w:rFonts w:ascii="Calibri" w:eastAsia="Calibri" w:hAnsi="Calibri" w:cs="Calibri"/>
          <w:color w:val="1A1A1A"/>
        </w:rPr>
        <w:t xml:space="preserve"> (jurisprudence constante de la 1re chambre civile).</w:t>
      </w:r>
    </w:p>
    <w:p w14:paraId="49D31D8E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Droit pénal</w:t>
      </w:r>
      <w:r>
        <w:rPr>
          <w:rFonts w:ascii="Calibri" w:eastAsia="Calibri" w:hAnsi="Calibri" w:cs="Calibri"/>
          <w:color w:val="1A1A1A"/>
        </w:rPr>
        <w:t xml:space="preserve"> : </w:t>
      </w:r>
      <w:r>
        <w:rPr>
          <w:rFonts w:ascii="Calibri" w:eastAsia="Calibri" w:hAnsi="Calibri" w:cs="Calibri"/>
          <w:color w:val="1E88E5"/>
        </w:rPr>
        <w:t>art. 226-1 C. pén.</w:t>
      </w:r>
      <w:r>
        <w:rPr>
          <w:rFonts w:ascii="Calibri" w:eastAsia="Calibri" w:hAnsi="Calibri" w:cs="Calibri"/>
          <w:color w:val="1A1A1A"/>
        </w:rPr>
        <w:t xml:space="preserve"> (captation ou transmission de paroles ou d’images dans un lieu privé sans consentement) ; </w:t>
      </w:r>
      <w:r>
        <w:rPr>
          <w:rFonts w:ascii="Calibri" w:eastAsia="Calibri" w:hAnsi="Calibri" w:cs="Calibri"/>
          <w:color w:val="1E88E5"/>
        </w:rPr>
        <w:t>art. 226-4-1</w:t>
      </w:r>
      <w:r>
        <w:rPr>
          <w:rFonts w:ascii="Calibri" w:eastAsia="Calibri" w:hAnsi="Calibri" w:cs="Calibri"/>
          <w:color w:val="1A1A1A"/>
        </w:rPr>
        <w:t xml:space="preserve"> (usurpation d’identité, y compris numérique) ; </w:t>
      </w:r>
      <w:r>
        <w:rPr>
          <w:rFonts w:ascii="Calibri" w:eastAsia="Calibri" w:hAnsi="Calibri" w:cs="Calibri"/>
          <w:color w:val="1E88E5"/>
        </w:rPr>
        <w:t>art. 226-8 et 226-8-1</w:t>
      </w:r>
      <w:r>
        <w:rPr>
          <w:rFonts w:ascii="Calibri" w:eastAsia="Calibri" w:hAnsi="Calibri" w:cs="Calibri"/>
          <w:color w:val="1A1A1A"/>
        </w:rPr>
        <w:t xml:space="preserve"> (montages et hypertrucages, étendus par la </w:t>
      </w:r>
      <w:r>
        <w:rPr>
          <w:rFonts w:ascii="Calibri" w:eastAsia="Calibri" w:hAnsi="Calibri" w:cs="Calibri"/>
          <w:color w:val="1E88E5"/>
        </w:rPr>
        <w:t>loi SREN n° 2024-449 du 21 mai 2024</w:t>
      </w:r>
      <w:r>
        <w:rPr>
          <w:rFonts w:ascii="Calibri" w:eastAsia="Calibri" w:hAnsi="Calibri" w:cs="Calibri"/>
          <w:color w:val="1A1A1A"/>
        </w:rPr>
        <w:t xml:space="preserve">) ; </w:t>
      </w:r>
      <w:r>
        <w:rPr>
          <w:rFonts w:ascii="Calibri" w:eastAsia="Calibri" w:hAnsi="Calibri" w:cs="Calibri"/>
          <w:color w:val="1E88E5"/>
        </w:rPr>
        <w:t>art. 226-13</w:t>
      </w:r>
      <w:r>
        <w:rPr>
          <w:rFonts w:ascii="Calibri" w:eastAsia="Calibri" w:hAnsi="Calibri" w:cs="Calibri"/>
          <w:color w:val="1A1A1A"/>
        </w:rPr>
        <w:t xml:space="preserve"> (secret professionnel) ; </w:t>
      </w:r>
      <w:r>
        <w:rPr>
          <w:rFonts w:ascii="Calibri" w:eastAsia="Calibri" w:hAnsi="Calibri" w:cs="Calibri"/>
          <w:color w:val="1E88E5"/>
        </w:rPr>
        <w:t>art. 432-9</w:t>
      </w:r>
      <w:r>
        <w:rPr>
          <w:rFonts w:ascii="Calibri" w:eastAsia="Calibri" w:hAnsi="Calibri" w:cs="Calibri"/>
          <w:color w:val="1A1A1A"/>
        </w:rPr>
        <w:t xml:space="preserve"> (violation des correspondances par un agent public).</w:t>
      </w:r>
    </w:p>
    <w:p w14:paraId="4321B7FD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Liberté fondamentale au sens du référé-liberté</w:t>
      </w:r>
      <w:r>
        <w:rPr>
          <w:rFonts w:ascii="Calibri" w:eastAsia="Calibri" w:hAnsi="Calibri" w:cs="Calibri"/>
          <w:color w:val="1A1A1A"/>
        </w:rPr>
        <w:t xml:space="preserve"> : </w:t>
      </w:r>
      <w:r>
        <w:rPr>
          <w:rFonts w:ascii="Calibri" w:eastAsia="Calibri" w:hAnsi="Calibri" w:cs="Calibri"/>
          <w:color w:val="1E88E5"/>
        </w:rPr>
        <w:t>art. L. 521-2 CJA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CE, ord., 25 octobre 2007, Mme Y., n° 310125</w:t>
      </w:r>
      <w:r>
        <w:rPr>
          <w:rFonts w:ascii="Calibri" w:eastAsia="Calibri" w:hAnsi="Calibri" w:cs="Calibri"/>
          <w:color w:val="1A1A1A"/>
        </w:rPr>
        <w:t>.</w:t>
      </w:r>
    </w:p>
    <w:p w14:paraId="7F9C31DC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 w:rsidRPr="006539FF">
        <w:rPr>
          <w:rFonts w:ascii="Calibri" w:eastAsia="Calibri" w:hAnsi="Calibri" w:cs="Calibri"/>
          <w:b/>
          <w:bCs/>
          <w:color w:val="1A1A1A"/>
          <w:highlight w:val="yellow"/>
        </w:rPr>
        <w:t>Lecture à retenir</w:t>
      </w:r>
      <w:r>
        <w:rPr>
          <w:rFonts w:ascii="Calibri" w:eastAsia="Calibri" w:hAnsi="Calibri" w:cs="Calibri"/>
          <w:color w:val="1A1A1A"/>
        </w:rPr>
        <w:t xml:space="preserve"> : l’abandon de l’</w:t>
      </w:r>
      <w:r>
        <w:rPr>
          <w:rFonts w:ascii="Calibri" w:eastAsia="Calibri" w:hAnsi="Calibri" w:cs="Calibri"/>
          <w:color w:val="1E88E5"/>
        </w:rPr>
        <w:t>art. 66 C.</w:t>
      </w:r>
      <w:r>
        <w:rPr>
          <w:rFonts w:ascii="Calibri" w:eastAsia="Calibri" w:hAnsi="Calibri" w:cs="Calibri"/>
          <w:color w:val="1A1A1A"/>
        </w:rPr>
        <w:t xml:space="preserve"> n’est pas un détail de technique constitutionnelle. Il </w:t>
      </w:r>
      <w:r>
        <w:rPr>
          <w:rFonts w:ascii="Calibri" w:eastAsia="Calibri" w:hAnsi="Calibri" w:cs="Calibri"/>
          <w:b/>
          <w:bCs/>
          <w:color w:val="1A1A1A"/>
        </w:rPr>
        <w:t>ouvre le contentieux de la vie privée au juge administratif</w:t>
      </w:r>
      <w:r>
        <w:rPr>
          <w:rFonts w:ascii="Calibri" w:eastAsia="Calibri" w:hAnsi="Calibri" w:cs="Calibri"/>
          <w:color w:val="1A1A1A"/>
        </w:rPr>
        <w:t xml:space="preserve"> et fait de la vie privée une </w:t>
      </w:r>
      <w:r>
        <w:rPr>
          <w:rFonts w:ascii="Calibri" w:eastAsia="Calibri" w:hAnsi="Calibri" w:cs="Calibri"/>
          <w:b/>
          <w:bCs/>
          <w:color w:val="1A1A1A"/>
        </w:rPr>
        <w:t>liberté personnelle</w:t>
      </w:r>
      <w:r>
        <w:rPr>
          <w:rFonts w:ascii="Calibri" w:eastAsia="Calibri" w:hAnsi="Calibri" w:cs="Calibri"/>
          <w:color w:val="1A1A1A"/>
        </w:rPr>
        <w:t xml:space="preserve"> plutôt qu’une garantie contre la détention arbitraire. C’est ce qui permet en 2026 au Conseil constitutionnel de mobiliser la vie privée </w:t>
      </w:r>
      <w:r>
        <w:rPr>
          <w:rFonts w:ascii="Calibri" w:eastAsia="Calibri" w:hAnsi="Calibri" w:cs="Calibri"/>
          <w:b/>
          <w:bCs/>
          <w:color w:val="1A1A1A"/>
        </w:rPr>
        <w:t>des majeurs</w:t>
      </w:r>
      <w:r>
        <w:rPr>
          <w:rFonts w:ascii="Calibri" w:eastAsia="Calibri" w:hAnsi="Calibri" w:cs="Calibri"/>
          <w:color w:val="1A1A1A"/>
        </w:rPr>
        <w:t xml:space="preserve"> contre la vérification d’âge en ligne (</w:t>
      </w:r>
      <w:r>
        <w:rPr>
          <w:rFonts w:ascii="Calibri" w:eastAsia="Calibri" w:hAnsi="Calibri" w:cs="Calibri"/>
          <w:color w:val="E91E63"/>
        </w:rPr>
        <w:t>2026-911 DC</w:t>
      </w:r>
      <w:r w:rsidRPr="006539FF">
        <w:rPr>
          <w:rFonts w:ascii="Calibri" w:eastAsia="Calibri" w:hAnsi="Calibri" w:cs="Calibri"/>
          <w:color w:val="FF1393"/>
        </w:rPr>
        <w:t>, § 19 à 21</w:t>
      </w:r>
      <w:r>
        <w:rPr>
          <w:rFonts w:ascii="Calibri" w:eastAsia="Calibri" w:hAnsi="Calibri" w:cs="Calibri"/>
          <w:color w:val="1A1A1A"/>
        </w:rPr>
        <w:t>).</w:t>
      </w:r>
    </w:p>
    <w:p w14:paraId="2631B3AB" w14:textId="77777777" w:rsidR="00C05C80" w:rsidRDefault="00000000">
      <w:pPr>
        <w:pStyle w:val="Titre2"/>
        <w:spacing w:before="280" w:after="12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2. La dimension personnelle : identité, intégrité, sexualité</w:t>
      </w:r>
    </w:p>
    <w:p w14:paraId="5BC66C6E" w14:textId="77777777" w:rsidR="00C05C80" w:rsidRDefault="00000000">
      <w:pPr>
        <w:pStyle w:val="Titre3"/>
        <w:spacing w:before="200" w:after="90"/>
      </w:pPr>
      <w:r>
        <w:rPr>
          <w:rFonts w:ascii="Calibri" w:eastAsia="Calibri" w:hAnsi="Calibri" w:cs="Calibri"/>
          <w:b/>
          <w:bCs/>
          <w:i/>
          <w:iCs/>
          <w:color w:val="5A5A5A"/>
          <w:sz w:val="21"/>
          <w:szCs w:val="21"/>
        </w:rPr>
        <w:t>2.1. Le respect de l’identité</w:t>
      </w:r>
    </w:p>
    <w:p w14:paraId="663A9279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Nom et prénom</w:t>
      </w:r>
      <w:r>
        <w:rPr>
          <w:rFonts w:ascii="Calibri" w:eastAsia="Calibri" w:hAnsi="Calibri" w:cs="Calibri"/>
          <w:color w:val="1A1A1A"/>
        </w:rPr>
        <w:t xml:space="preserve"> : l’attribution du nom relève de l’</w:t>
      </w:r>
      <w:r>
        <w:rPr>
          <w:rFonts w:ascii="Calibri" w:eastAsia="Calibri" w:hAnsi="Calibri" w:cs="Calibri"/>
          <w:color w:val="1E88E5"/>
        </w:rPr>
        <w:t>art. 8</w:t>
      </w:r>
      <w:r>
        <w:rPr>
          <w:rFonts w:ascii="Calibri" w:eastAsia="Calibri" w:hAnsi="Calibri" w:cs="Calibri"/>
          <w:color w:val="1A1A1A"/>
        </w:rPr>
        <w:t xml:space="preserve"> (</w:t>
      </w:r>
      <w:r>
        <w:rPr>
          <w:rFonts w:ascii="Calibri" w:eastAsia="Calibri" w:hAnsi="Calibri" w:cs="Calibri"/>
          <w:color w:val="E91E63"/>
        </w:rPr>
        <w:t xml:space="preserve">CEDH, 22 février 1994, </w:t>
      </w:r>
      <w:proofErr w:type="spellStart"/>
      <w:r>
        <w:rPr>
          <w:rFonts w:ascii="Calibri" w:eastAsia="Calibri" w:hAnsi="Calibri" w:cs="Calibri"/>
          <w:color w:val="E91E63"/>
        </w:rPr>
        <w:t>Burghartz</w:t>
      </w:r>
      <w:proofErr w:type="spellEnd"/>
      <w:r>
        <w:rPr>
          <w:rFonts w:ascii="Calibri" w:eastAsia="Calibri" w:hAnsi="Calibri" w:cs="Calibri"/>
          <w:color w:val="E91E63"/>
        </w:rPr>
        <w:t xml:space="preserve"> c. Suisse</w:t>
      </w:r>
      <w:r>
        <w:rPr>
          <w:rFonts w:ascii="Calibri" w:eastAsia="Calibri" w:hAnsi="Calibri" w:cs="Calibri"/>
          <w:color w:val="1A1A1A"/>
        </w:rPr>
        <w:t>) ; ample marge nationale (</w:t>
      </w:r>
      <w:r>
        <w:rPr>
          <w:rFonts w:ascii="Calibri" w:eastAsia="Calibri" w:hAnsi="Calibri" w:cs="Calibri"/>
          <w:color w:val="E91E63"/>
        </w:rPr>
        <w:t>CEDH, 25 novembre 1994, Stjerna c. Finlande</w:t>
      </w:r>
      <w:r>
        <w:rPr>
          <w:rFonts w:ascii="Calibri" w:eastAsia="Calibri" w:hAnsi="Calibri" w:cs="Calibri"/>
          <w:color w:val="1A1A1A"/>
        </w:rPr>
        <w:t>) ; prénom (</w:t>
      </w:r>
      <w:r>
        <w:rPr>
          <w:rFonts w:ascii="Calibri" w:eastAsia="Calibri" w:hAnsi="Calibri" w:cs="Calibri"/>
          <w:color w:val="E91E63"/>
        </w:rPr>
        <w:t>CEDH, 24 octobre 1996, Guillot c. France</w:t>
      </w:r>
      <w:r>
        <w:rPr>
          <w:rFonts w:ascii="Calibri" w:eastAsia="Calibri" w:hAnsi="Calibri" w:cs="Calibri"/>
          <w:color w:val="1A1A1A"/>
        </w:rPr>
        <w:t>).</w:t>
      </w:r>
    </w:p>
    <w:p w14:paraId="701215FA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Nationalité</w:t>
      </w:r>
      <w:r>
        <w:rPr>
          <w:rFonts w:ascii="Calibri" w:eastAsia="Calibri" w:hAnsi="Calibri" w:cs="Calibri"/>
          <w:color w:val="1A1A1A"/>
        </w:rPr>
        <w:t xml:space="preserve"> : la déchéance de nationalité affecte un élément constitutif de l’identité et justifie un </w:t>
      </w:r>
      <w:r>
        <w:rPr>
          <w:rFonts w:ascii="Calibri" w:eastAsia="Calibri" w:hAnsi="Calibri" w:cs="Calibri"/>
          <w:b/>
          <w:bCs/>
          <w:color w:val="1A1A1A"/>
        </w:rPr>
        <w:t>contrôle entier de proportionnalité</w:t>
      </w:r>
      <w:r>
        <w:rPr>
          <w:rFonts w:ascii="Calibri" w:eastAsia="Calibri" w:hAnsi="Calibri" w:cs="Calibri"/>
          <w:color w:val="1A1A1A"/>
        </w:rPr>
        <w:t xml:space="preserve"> (</w:t>
      </w:r>
      <w:r>
        <w:rPr>
          <w:rFonts w:ascii="Calibri" w:eastAsia="Calibri" w:hAnsi="Calibri" w:cs="Calibri"/>
          <w:color w:val="E91E63"/>
        </w:rPr>
        <w:t>CE, 8 juin 2016, n° 393348</w:t>
      </w:r>
      <w:r>
        <w:rPr>
          <w:rFonts w:ascii="Calibri" w:eastAsia="Calibri" w:hAnsi="Calibri" w:cs="Calibri"/>
          <w:color w:val="1A1A1A"/>
        </w:rPr>
        <w:t xml:space="preserve">). </w:t>
      </w:r>
      <w:r>
        <w:rPr>
          <w:rFonts w:ascii="Calibri" w:eastAsia="Calibri" w:hAnsi="Calibri" w:cs="Calibri"/>
          <w:b/>
          <w:bCs/>
          <w:color w:val="1A1A1A"/>
        </w:rPr>
        <w:t>Identité ethnique</w:t>
      </w:r>
      <w:r>
        <w:rPr>
          <w:rFonts w:ascii="Calibri" w:eastAsia="Calibri" w:hAnsi="Calibri" w:cs="Calibri"/>
          <w:color w:val="1A1A1A"/>
        </w:rPr>
        <w:t xml:space="preserve"> : élément de la vie privée (</w:t>
      </w:r>
      <w:r>
        <w:rPr>
          <w:rFonts w:ascii="Calibri" w:eastAsia="Calibri" w:hAnsi="Calibri" w:cs="Calibri"/>
          <w:color w:val="E91E63"/>
        </w:rPr>
        <w:t>CEDH, 27 avril 2010, Ciubotaru c. Moldavie</w:t>
      </w:r>
      <w:r>
        <w:rPr>
          <w:rFonts w:ascii="Calibri" w:eastAsia="Calibri" w:hAnsi="Calibri" w:cs="Calibri"/>
          <w:color w:val="1A1A1A"/>
        </w:rPr>
        <w:t>).</w:t>
      </w:r>
    </w:p>
    <w:p w14:paraId="00E218DA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Intégrité physique et morale</w:t>
      </w:r>
      <w:r>
        <w:rPr>
          <w:rFonts w:ascii="Calibri" w:eastAsia="Calibri" w:hAnsi="Calibri" w:cs="Calibri"/>
          <w:color w:val="1A1A1A"/>
        </w:rPr>
        <w:t xml:space="preserve"> : un traitement qui n’atteint pas le seuil de l’</w:t>
      </w:r>
      <w:r>
        <w:rPr>
          <w:rFonts w:ascii="Calibri" w:eastAsia="Calibri" w:hAnsi="Calibri" w:cs="Calibri"/>
          <w:color w:val="1E88E5"/>
        </w:rPr>
        <w:t>art. 3</w:t>
      </w:r>
      <w:r>
        <w:rPr>
          <w:rFonts w:ascii="Calibri" w:eastAsia="Calibri" w:hAnsi="Calibri" w:cs="Calibri"/>
          <w:color w:val="1A1A1A"/>
        </w:rPr>
        <w:t xml:space="preserve"> peut violer l’</w:t>
      </w:r>
      <w:r>
        <w:rPr>
          <w:rFonts w:ascii="Calibri" w:eastAsia="Calibri" w:hAnsi="Calibri" w:cs="Calibri"/>
          <w:color w:val="1E88E5"/>
        </w:rPr>
        <w:t>art. 8</w:t>
      </w:r>
      <w:r>
        <w:rPr>
          <w:rFonts w:ascii="Calibri" w:eastAsia="Calibri" w:hAnsi="Calibri" w:cs="Calibri"/>
          <w:color w:val="1A1A1A"/>
        </w:rPr>
        <w:t xml:space="preserve"> (</w:t>
      </w:r>
      <w:r>
        <w:rPr>
          <w:rFonts w:ascii="Calibri" w:eastAsia="Calibri" w:hAnsi="Calibri" w:cs="Calibri"/>
          <w:color w:val="E91E63"/>
        </w:rPr>
        <w:t>CEDH, 6 février 2001, Bensaïd c. Royaume-Uni</w:t>
      </w:r>
      <w:r>
        <w:rPr>
          <w:rFonts w:ascii="Calibri" w:eastAsia="Calibri" w:hAnsi="Calibri" w:cs="Calibri"/>
          <w:color w:val="1A1A1A"/>
        </w:rPr>
        <w:t>) ; information sanitaire (</w:t>
      </w:r>
      <w:r>
        <w:rPr>
          <w:rFonts w:ascii="Calibri" w:eastAsia="Calibri" w:hAnsi="Calibri" w:cs="Calibri"/>
          <w:color w:val="E91E63"/>
        </w:rPr>
        <w:t>CEDH, 9 juin 1998, McGinley et Egan c. Royaume-Uni</w:t>
      </w:r>
      <w:r>
        <w:rPr>
          <w:rFonts w:ascii="Calibri" w:eastAsia="Calibri" w:hAnsi="Calibri" w:cs="Calibri"/>
          <w:color w:val="1A1A1A"/>
        </w:rPr>
        <w:t xml:space="preserve">). </w:t>
      </w:r>
      <w:r w:rsidRPr="0039584A">
        <w:rPr>
          <w:rFonts w:ascii="Calibri" w:eastAsia="Calibri" w:hAnsi="Calibri" w:cs="Calibri"/>
          <w:color w:val="1A1A1A"/>
          <w:highlight w:val="yellow"/>
        </w:rPr>
        <w:t xml:space="preserve">La </w:t>
      </w:r>
      <w:r w:rsidRPr="0039584A">
        <w:rPr>
          <w:rFonts w:ascii="Calibri" w:eastAsia="Calibri" w:hAnsi="Calibri" w:cs="Calibri"/>
          <w:b/>
          <w:bCs/>
          <w:color w:val="1A1A1A"/>
          <w:highlight w:val="yellow"/>
        </w:rPr>
        <w:t>vaccination obligatoire</w:t>
      </w:r>
      <w:r w:rsidRPr="0039584A">
        <w:rPr>
          <w:rFonts w:ascii="Calibri" w:eastAsia="Calibri" w:hAnsi="Calibri" w:cs="Calibri"/>
          <w:color w:val="1A1A1A"/>
          <w:highlight w:val="yellow"/>
        </w:rPr>
        <w:t xml:space="preserve"> est une ingérence, mais justifiée</w:t>
      </w:r>
      <w:r>
        <w:rPr>
          <w:rFonts w:ascii="Calibri" w:eastAsia="Calibri" w:hAnsi="Calibri" w:cs="Calibri"/>
          <w:color w:val="1A1A1A"/>
        </w:rPr>
        <w:t xml:space="preserve"> (</w:t>
      </w:r>
      <w:r>
        <w:rPr>
          <w:rFonts w:ascii="Calibri" w:eastAsia="Calibri" w:hAnsi="Calibri" w:cs="Calibri"/>
          <w:color w:val="E91E63"/>
        </w:rPr>
        <w:t>CEDH [GC], 8 avril 2021, Vavřička c. République tchèque, n° 47621/13</w:t>
      </w:r>
      <w:r>
        <w:rPr>
          <w:rFonts w:ascii="Calibri" w:eastAsia="Calibri" w:hAnsi="Calibri" w:cs="Calibri"/>
          <w:color w:val="1A1A1A"/>
        </w:rPr>
        <w:t>).</w:t>
      </w:r>
    </w:p>
    <w:p w14:paraId="7CE00E6D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Fin de vie</w:t>
      </w:r>
      <w:r>
        <w:rPr>
          <w:rFonts w:ascii="Calibri" w:eastAsia="Calibri" w:hAnsi="Calibri" w:cs="Calibri"/>
          <w:color w:val="1A1A1A"/>
        </w:rPr>
        <w:t xml:space="preserve"> : le choix du moment et de la manière de mourir relève de l’</w:t>
      </w:r>
      <w:r>
        <w:rPr>
          <w:rFonts w:ascii="Calibri" w:eastAsia="Calibri" w:hAnsi="Calibri" w:cs="Calibri"/>
          <w:color w:val="1E88E5"/>
        </w:rPr>
        <w:t>art. 8</w:t>
      </w:r>
      <w:r>
        <w:rPr>
          <w:rFonts w:ascii="Calibri" w:eastAsia="Calibri" w:hAnsi="Calibri" w:cs="Calibri"/>
          <w:color w:val="1A1A1A"/>
        </w:rPr>
        <w:t xml:space="preserve"> (</w:t>
      </w:r>
      <w:r>
        <w:rPr>
          <w:rFonts w:ascii="Calibri" w:eastAsia="Calibri" w:hAnsi="Calibri" w:cs="Calibri"/>
          <w:color w:val="E91E63"/>
        </w:rPr>
        <w:t>CEDH, 20 janvier 2011, Haas c. Suisse, n° 31322/07</w:t>
      </w:r>
      <w:r>
        <w:rPr>
          <w:rFonts w:ascii="Calibri" w:eastAsia="Calibri" w:hAnsi="Calibri" w:cs="Calibri"/>
          <w:color w:val="1A1A1A"/>
        </w:rPr>
        <w:t xml:space="preserve"> — </w:t>
      </w:r>
      <w:r>
        <w:rPr>
          <w:rFonts w:ascii="Calibri" w:eastAsia="Calibri" w:hAnsi="Calibri" w:cs="Calibri"/>
          <w:b/>
          <w:bCs/>
          <w:color w:val="1A1A1A"/>
        </w:rPr>
        <w:t>et non « c. Royaume-Uni » comme l’écrit le fascicule</w:t>
      </w:r>
      <w:r>
        <w:rPr>
          <w:rFonts w:ascii="Calibri" w:eastAsia="Calibri" w:hAnsi="Calibri" w:cs="Calibri"/>
          <w:color w:val="1A1A1A"/>
        </w:rPr>
        <w:t xml:space="preserve">), sans obligation pour l’État de fournir la substance ; confirmé par </w:t>
      </w:r>
      <w:r>
        <w:rPr>
          <w:rFonts w:ascii="Calibri" w:eastAsia="Calibri" w:hAnsi="Calibri" w:cs="Calibri"/>
          <w:color w:val="E91E63"/>
        </w:rPr>
        <w:t>CEDH, 13 juin 2024, Karsai c. Hongrie, n° 32312/23</w:t>
      </w:r>
      <w:r>
        <w:rPr>
          <w:rFonts w:ascii="Calibri" w:eastAsia="Calibri" w:hAnsi="Calibri" w:cs="Calibri"/>
          <w:color w:val="1A1A1A"/>
        </w:rPr>
        <w:t xml:space="preserve"> (voir fiche 26 et la </w:t>
      </w:r>
      <w:r>
        <w:rPr>
          <w:rFonts w:ascii="Calibri" w:eastAsia="Calibri" w:hAnsi="Calibri" w:cs="Calibri"/>
          <w:color w:val="1E88E5"/>
        </w:rPr>
        <w:t>loi n° 2026-794 du 18 août 2026</w:t>
      </w:r>
      <w:r>
        <w:rPr>
          <w:rFonts w:ascii="Calibri" w:eastAsia="Calibri" w:hAnsi="Calibri" w:cs="Calibri"/>
          <w:color w:val="1A1A1A"/>
        </w:rPr>
        <w:t>).</w:t>
      </w:r>
    </w:p>
    <w:p w14:paraId="3A966462" w14:textId="77777777" w:rsidR="00C05C80" w:rsidRDefault="00000000">
      <w:pPr>
        <w:pStyle w:val="Titre3"/>
        <w:spacing w:before="200" w:after="90"/>
      </w:pPr>
      <w:r>
        <w:rPr>
          <w:rFonts w:ascii="Calibri" w:eastAsia="Calibri" w:hAnsi="Calibri" w:cs="Calibri"/>
          <w:b/>
          <w:bCs/>
          <w:i/>
          <w:iCs/>
          <w:color w:val="5A5A5A"/>
          <w:sz w:val="21"/>
          <w:szCs w:val="21"/>
        </w:rPr>
        <w:t>2.2. Le droit de connaître ses origines</w:t>
      </w:r>
    </w:p>
    <w:p w14:paraId="3695E17D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color w:val="1A1A1A"/>
        </w:rPr>
        <w:t xml:space="preserve">Évolution </w:t>
      </w:r>
      <w:r>
        <w:rPr>
          <w:rFonts w:ascii="Calibri" w:eastAsia="Calibri" w:hAnsi="Calibri" w:cs="Calibri"/>
          <w:b/>
          <w:bCs/>
          <w:color w:val="1A1A1A"/>
        </w:rPr>
        <w:t>inachevée</w:t>
      </w:r>
      <w:r>
        <w:rPr>
          <w:rFonts w:ascii="Calibri" w:eastAsia="Calibri" w:hAnsi="Calibri" w:cs="Calibri"/>
          <w:color w:val="1A1A1A"/>
        </w:rPr>
        <w:t xml:space="preserve"> : accès au dossier de placement (</w:t>
      </w:r>
      <w:r>
        <w:rPr>
          <w:rFonts w:ascii="Calibri" w:eastAsia="Calibri" w:hAnsi="Calibri" w:cs="Calibri"/>
          <w:color w:val="E91E63"/>
        </w:rPr>
        <w:t>CEDH, 7 juillet 1989, Gaskin c. Royaume-Uni</w:t>
      </w:r>
      <w:r>
        <w:rPr>
          <w:rFonts w:ascii="Calibri" w:eastAsia="Calibri" w:hAnsi="Calibri" w:cs="Calibri"/>
          <w:color w:val="1A1A1A"/>
        </w:rPr>
        <w:t>) ; marge nationale sur l’anonymat du donneur (</w:t>
      </w:r>
      <w:r>
        <w:rPr>
          <w:rFonts w:ascii="Calibri" w:eastAsia="Calibri" w:hAnsi="Calibri" w:cs="Calibri"/>
          <w:color w:val="E91E63"/>
        </w:rPr>
        <w:t>CEDH [GC], 22 avril 1997, X, Y et Z c. Royaume-Uni</w:t>
      </w:r>
      <w:r>
        <w:rPr>
          <w:rFonts w:ascii="Calibri" w:eastAsia="Calibri" w:hAnsi="Calibri" w:cs="Calibri"/>
          <w:color w:val="1A1A1A"/>
        </w:rPr>
        <w:t xml:space="preserve">) ; </w:t>
      </w:r>
      <w:r w:rsidRPr="000052DE">
        <w:rPr>
          <w:rFonts w:ascii="Calibri" w:eastAsia="Calibri" w:hAnsi="Calibri" w:cs="Calibri"/>
          <w:color w:val="1A1A1A"/>
          <w:highlight w:val="yellow"/>
        </w:rPr>
        <w:t>chacun doit pouvoir établir les détails de son identité</w:t>
      </w:r>
      <w:r>
        <w:rPr>
          <w:rFonts w:ascii="Calibri" w:eastAsia="Calibri" w:hAnsi="Calibri" w:cs="Calibri"/>
          <w:color w:val="1A1A1A"/>
        </w:rPr>
        <w:t xml:space="preserve"> (</w:t>
      </w:r>
      <w:r>
        <w:rPr>
          <w:rFonts w:ascii="Calibri" w:eastAsia="Calibri" w:hAnsi="Calibri" w:cs="Calibri"/>
          <w:color w:val="E91E63"/>
        </w:rPr>
        <w:t>CEDH, 7 février 2002, Mikulić c. Croatie</w:t>
      </w:r>
      <w:r>
        <w:rPr>
          <w:rFonts w:ascii="Calibri" w:eastAsia="Calibri" w:hAnsi="Calibri" w:cs="Calibri"/>
          <w:color w:val="1A1A1A"/>
        </w:rPr>
        <w:t>).</w:t>
      </w:r>
    </w:p>
    <w:p w14:paraId="2EF842BE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color w:val="1A1A1A"/>
        </w:rPr>
        <w:t xml:space="preserve">★ </w:t>
      </w:r>
      <w:r>
        <w:rPr>
          <w:rFonts w:ascii="Calibri" w:eastAsia="Calibri" w:hAnsi="Calibri" w:cs="Calibri"/>
          <w:color w:val="E91E63"/>
        </w:rPr>
        <w:t>CEDH [GC], 13 février 2003, Odièvre c. France, n° 42326/98</w:t>
      </w:r>
      <w:r>
        <w:rPr>
          <w:rFonts w:ascii="Calibri" w:eastAsia="Calibri" w:hAnsi="Calibri" w:cs="Calibri"/>
          <w:color w:val="1A1A1A"/>
        </w:rPr>
        <w:t xml:space="preserve"> : l’</w:t>
      </w:r>
      <w:r>
        <w:rPr>
          <w:rFonts w:ascii="Calibri" w:eastAsia="Calibri" w:hAnsi="Calibri" w:cs="Calibri"/>
          <w:color w:val="1E88E5"/>
        </w:rPr>
        <w:t>art. 8</w:t>
      </w:r>
      <w:r>
        <w:rPr>
          <w:rFonts w:ascii="Calibri" w:eastAsia="Calibri" w:hAnsi="Calibri" w:cs="Calibri"/>
          <w:color w:val="1A1A1A"/>
        </w:rPr>
        <w:t xml:space="preserve"> est applicable, mais l’</w:t>
      </w:r>
      <w:r>
        <w:rPr>
          <w:rFonts w:ascii="Calibri" w:eastAsia="Calibri" w:hAnsi="Calibri" w:cs="Calibri"/>
          <w:b/>
          <w:bCs/>
          <w:color w:val="1A1A1A"/>
        </w:rPr>
        <w:t>accouchement sous X</w:t>
      </w:r>
      <w:r>
        <w:rPr>
          <w:rFonts w:ascii="Calibri" w:eastAsia="Calibri" w:hAnsi="Calibri" w:cs="Calibri"/>
          <w:color w:val="1A1A1A"/>
        </w:rPr>
        <w:t xml:space="preserve"> n’est pas contraire à la Convention — la </w:t>
      </w:r>
      <w:r w:rsidRPr="000052DE">
        <w:rPr>
          <w:rFonts w:ascii="Calibri" w:eastAsia="Calibri" w:hAnsi="Calibri" w:cs="Calibri"/>
          <w:color w:val="00B0F0"/>
        </w:rPr>
        <w:t xml:space="preserve">loi du 22 janvier 2002 </w:t>
      </w:r>
      <w:r>
        <w:rPr>
          <w:rFonts w:ascii="Calibri" w:eastAsia="Calibri" w:hAnsi="Calibri" w:cs="Calibri"/>
          <w:color w:val="1A1A1A"/>
        </w:rPr>
        <w:t xml:space="preserve">(CNAOP) ménage un équilibre entre le droit de l’enfant et le secret de la mère. À l’inverse, </w:t>
      </w:r>
      <w:r w:rsidRPr="000052DE">
        <w:rPr>
          <w:rFonts w:ascii="Calibri" w:eastAsia="Calibri" w:hAnsi="Calibri" w:cs="Calibri"/>
          <w:color w:val="EE0000"/>
          <w:u w:val="single"/>
        </w:rPr>
        <w:t xml:space="preserve">violation lorsque la loi n’offre </w:t>
      </w:r>
      <w:r w:rsidRPr="000052DE">
        <w:rPr>
          <w:rFonts w:ascii="Calibri" w:eastAsia="Calibri" w:hAnsi="Calibri" w:cs="Calibri"/>
          <w:b/>
          <w:bCs/>
          <w:color w:val="EE0000"/>
          <w:u w:val="single"/>
        </w:rPr>
        <w:t xml:space="preserve">ni information non identifiante ni réversibilité du </w:t>
      </w:r>
      <w:r w:rsidRPr="000052DE">
        <w:rPr>
          <w:rFonts w:ascii="Calibri" w:eastAsia="Calibri" w:hAnsi="Calibri" w:cs="Calibri"/>
          <w:b/>
          <w:bCs/>
          <w:color w:val="EE0000"/>
          <w:u w:val="single"/>
        </w:rPr>
        <w:lastRenderedPageBreak/>
        <w:t>secret</w:t>
      </w:r>
      <w:r w:rsidRPr="000052DE">
        <w:rPr>
          <w:rFonts w:ascii="Calibri" w:eastAsia="Calibri" w:hAnsi="Calibri" w:cs="Calibri"/>
          <w:color w:val="EE0000"/>
        </w:rPr>
        <w:t xml:space="preserve"> </w:t>
      </w:r>
      <w:r>
        <w:rPr>
          <w:rFonts w:ascii="Calibri" w:eastAsia="Calibri" w:hAnsi="Calibri" w:cs="Calibri"/>
          <w:color w:val="1A1A1A"/>
        </w:rPr>
        <w:t>(</w:t>
      </w:r>
      <w:r>
        <w:rPr>
          <w:rFonts w:ascii="Calibri" w:eastAsia="Calibri" w:hAnsi="Calibri" w:cs="Calibri"/>
          <w:color w:val="E91E63"/>
        </w:rPr>
        <w:t>CEDH, 25 septembre 2012, Godelli c. Italie</w:t>
      </w:r>
      <w:r>
        <w:rPr>
          <w:rFonts w:ascii="Calibri" w:eastAsia="Calibri" w:hAnsi="Calibri" w:cs="Calibri"/>
          <w:color w:val="1A1A1A"/>
        </w:rPr>
        <w:t xml:space="preserve">) ; </w:t>
      </w:r>
      <w:r w:rsidRPr="000052DE">
        <w:rPr>
          <w:rFonts w:ascii="Calibri" w:eastAsia="Calibri" w:hAnsi="Calibri" w:cs="Calibri"/>
          <w:color w:val="1A1A1A"/>
          <w:highlight w:val="yellow"/>
        </w:rPr>
        <w:t>violation pour refus d’une expertise ADN post mortem sur le père présumé</w:t>
      </w:r>
      <w:r>
        <w:rPr>
          <w:rFonts w:ascii="Calibri" w:eastAsia="Calibri" w:hAnsi="Calibri" w:cs="Calibri"/>
          <w:color w:val="1A1A1A"/>
        </w:rPr>
        <w:t xml:space="preserve"> (</w:t>
      </w:r>
      <w:r>
        <w:rPr>
          <w:rFonts w:ascii="Calibri" w:eastAsia="Calibri" w:hAnsi="Calibri" w:cs="Calibri"/>
          <w:color w:val="E91E63"/>
        </w:rPr>
        <w:t xml:space="preserve">CEDH, 13 juillet 2006, </w:t>
      </w:r>
      <w:proofErr w:type="spellStart"/>
      <w:r>
        <w:rPr>
          <w:rFonts w:ascii="Calibri" w:eastAsia="Calibri" w:hAnsi="Calibri" w:cs="Calibri"/>
          <w:color w:val="E91E63"/>
        </w:rPr>
        <w:t>Jäggi</w:t>
      </w:r>
      <w:proofErr w:type="spellEnd"/>
      <w:r>
        <w:rPr>
          <w:rFonts w:ascii="Calibri" w:eastAsia="Calibri" w:hAnsi="Calibri" w:cs="Calibri"/>
          <w:color w:val="E91E63"/>
        </w:rPr>
        <w:t xml:space="preserve"> c. Suisse</w:t>
      </w:r>
      <w:r>
        <w:rPr>
          <w:rFonts w:ascii="Calibri" w:eastAsia="Calibri" w:hAnsi="Calibri" w:cs="Calibri"/>
          <w:color w:val="1A1A1A"/>
        </w:rPr>
        <w:t>).</w:t>
      </w:r>
    </w:p>
    <w:p w14:paraId="05252DB2" w14:textId="77777777" w:rsidR="00C05C80" w:rsidRPr="000052DE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  <w:rPr>
          <w:highlight w:val="yellow"/>
        </w:rPr>
      </w:pPr>
      <w:r>
        <w:rPr>
          <w:rFonts w:ascii="Calibri" w:eastAsia="Calibri" w:hAnsi="Calibri" w:cs="Calibri"/>
          <w:color w:val="1A1A1A"/>
        </w:rPr>
        <w:t xml:space="preserve">En droit interne, la </w:t>
      </w:r>
      <w:r>
        <w:rPr>
          <w:rFonts w:ascii="Calibri" w:eastAsia="Calibri" w:hAnsi="Calibri" w:cs="Calibri"/>
          <w:color w:val="1E88E5"/>
        </w:rPr>
        <w:t>loi n° 2021-1017 du 2 août 2021</w:t>
      </w:r>
      <w:r>
        <w:rPr>
          <w:rFonts w:ascii="Calibri" w:eastAsia="Calibri" w:hAnsi="Calibri" w:cs="Calibri"/>
          <w:color w:val="1A1A1A"/>
        </w:rPr>
        <w:t xml:space="preserve"> relative à la bioéthique ouvre aux personnes nées d’un don de gamètes, à leur majorité, l’accès à l’identité du donneur, dont </w:t>
      </w:r>
      <w:r w:rsidRPr="000052DE">
        <w:rPr>
          <w:rFonts w:ascii="Calibri" w:eastAsia="Calibri" w:hAnsi="Calibri" w:cs="Calibri"/>
          <w:color w:val="1A1A1A"/>
          <w:highlight w:val="yellow"/>
        </w:rPr>
        <w:t>le consentement à cette communication devient une condition du don.</w:t>
      </w:r>
    </w:p>
    <w:p w14:paraId="7E56C1C1" w14:textId="77777777" w:rsidR="00C05C80" w:rsidRDefault="00000000">
      <w:pPr>
        <w:pStyle w:val="Titre3"/>
        <w:spacing w:before="200" w:after="90"/>
      </w:pPr>
      <w:r>
        <w:rPr>
          <w:rFonts w:ascii="Calibri" w:eastAsia="Calibri" w:hAnsi="Calibri" w:cs="Calibri"/>
          <w:b/>
          <w:bCs/>
          <w:i/>
          <w:iCs/>
          <w:color w:val="5A5A5A"/>
          <w:sz w:val="21"/>
          <w:szCs w:val="21"/>
        </w:rPr>
        <w:t>2.3. Minorités, genre et sexualité</w:t>
      </w:r>
    </w:p>
    <w:p w14:paraId="6153FCE0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Minorités</w:t>
      </w:r>
      <w:r>
        <w:rPr>
          <w:rFonts w:ascii="Calibri" w:eastAsia="Calibri" w:hAnsi="Calibri" w:cs="Calibri"/>
          <w:color w:val="1A1A1A"/>
        </w:rPr>
        <w:t xml:space="preserve"> : la vie en caravane fait partie de l’identité tsigane (</w:t>
      </w:r>
      <w:r>
        <w:rPr>
          <w:rFonts w:ascii="Calibri" w:eastAsia="Calibri" w:hAnsi="Calibri" w:cs="Calibri"/>
          <w:color w:val="E91E63"/>
        </w:rPr>
        <w:t>CEDH [GC], 18 janvier 2001, Chapman c. Royaume-Uni</w:t>
      </w:r>
      <w:r>
        <w:rPr>
          <w:rFonts w:ascii="Calibri" w:eastAsia="Calibri" w:hAnsi="Calibri" w:cs="Calibri"/>
          <w:color w:val="1A1A1A"/>
        </w:rPr>
        <w:t>) ; l’expulsion de gens du voyage installés de longue date viole l’</w:t>
      </w:r>
      <w:r>
        <w:rPr>
          <w:rFonts w:ascii="Calibri" w:eastAsia="Calibri" w:hAnsi="Calibri" w:cs="Calibri"/>
          <w:color w:val="1E88E5"/>
        </w:rPr>
        <w:t>art. 8</w:t>
      </w:r>
      <w:r>
        <w:rPr>
          <w:rFonts w:ascii="Calibri" w:eastAsia="Calibri" w:hAnsi="Calibri" w:cs="Calibri"/>
          <w:color w:val="1A1A1A"/>
        </w:rPr>
        <w:t xml:space="preserve"> (</w:t>
      </w:r>
      <w:r>
        <w:rPr>
          <w:rFonts w:ascii="Calibri" w:eastAsia="Calibri" w:hAnsi="Calibri" w:cs="Calibri"/>
          <w:color w:val="E91E63"/>
        </w:rPr>
        <w:t>CEDH, 17 octobre 2013, Winterstein et autres c. France</w:t>
      </w:r>
      <w:r>
        <w:rPr>
          <w:rFonts w:ascii="Calibri" w:eastAsia="Calibri" w:hAnsi="Calibri" w:cs="Calibri"/>
          <w:color w:val="1A1A1A"/>
        </w:rPr>
        <w:t>).</w:t>
      </w:r>
    </w:p>
    <w:p w14:paraId="6E190FA3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Orientation sexuelle</w:t>
      </w:r>
      <w:r>
        <w:rPr>
          <w:rFonts w:ascii="Calibri" w:eastAsia="Calibri" w:hAnsi="Calibri" w:cs="Calibri"/>
          <w:color w:val="1A1A1A"/>
        </w:rPr>
        <w:t xml:space="preserve"> : la pénalisation des relations homosexuelles entre adultes consentants viole l’</w:t>
      </w:r>
      <w:r>
        <w:rPr>
          <w:rFonts w:ascii="Calibri" w:eastAsia="Calibri" w:hAnsi="Calibri" w:cs="Calibri"/>
          <w:color w:val="1E88E5"/>
        </w:rPr>
        <w:t>art. 8</w:t>
      </w:r>
      <w:r>
        <w:rPr>
          <w:rFonts w:ascii="Calibri" w:eastAsia="Calibri" w:hAnsi="Calibri" w:cs="Calibri"/>
          <w:color w:val="1A1A1A"/>
        </w:rPr>
        <w:t xml:space="preserve"> (</w:t>
      </w:r>
      <w:r>
        <w:rPr>
          <w:rFonts w:ascii="Calibri" w:eastAsia="Calibri" w:hAnsi="Calibri" w:cs="Calibri"/>
          <w:color w:val="E91E63"/>
        </w:rPr>
        <w:t>CEDH, 22 octobre 1981, Dudgeon c. Royaume-Uni</w:t>
      </w:r>
      <w:r>
        <w:rPr>
          <w:rFonts w:ascii="Calibri" w:eastAsia="Calibri" w:hAnsi="Calibri" w:cs="Calibri"/>
          <w:color w:val="1A1A1A"/>
        </w:rPr>
        <w:t>) ; exclusion de l’armée (</w:t>
      </w:r>
      <w:r>
        <w:rPr>
          <w:rFonts w:ascii="Calibri" w:eastAsia="Calibri" w:hAnsi="Calibri" w:cs="Calibri"/>
          <w:color w:val="E91E63"/>
        </w:rPr>
        <w:t>CEDH, 27 septembre 1999, Smith et Grady</w:t>
      </w:r>
      <w:r>
        <w:rPr>
          <w:rFonts w:ascii="Calibri" w:eastAsia="Calibri" w:hAnsi="Calibri" w:cs="Calibri"/>
          <w:color w:val="1A1A1A"/>
        </w:rPr>
        <w:t xml:space="preserve"> et </w:t>
      </w:r>
      <w:r>
        <w:rPr>
          <w:rFonts w:ascii="Calibri" w:eastAsia="Calibri" w:hAnsi="Calibri" w:cs="Calibri"/>
          <w:color w:val="E91E63"/>
        </w:rPr>
        <w:t>Lustig-Prean et Beckett c. Royaume-Uni</w:t>
      </w:r>
      <w:r>
        <w:rPr>
          <w:rFonts w:ascii="Calibri" w:eastAsia="Calibri" w:hAnsi="Calibri" w:cs="Calibri"/>
          <w:color w:val="1A1A1A"/>
        </w:rPr>
        <w:t>) ; limites tenant à la violence consentie (</w:t>
      </w:r>
      <w:r>
        <w:rPr>
          <w:rFonts w:ascii="Calibri" w:eastAsia="Calibri" w:hAnsi="Calibri" w:cs="Calibri"/>
          <w:color w:val="E91E63"/>
        </w:rPr>
        <w:t>CEDH, 19 février 1997, Laskey, Jaggard et Brown c. Royaume-Uni</w:t>
      </w:r>
      <w:r>
        <w:rPr>
          <w:rFonts w:ascii="Calibri" w:eastAsia="Calibri" w:hAnsi="Calibri" w:cs="Calibri"/>
          <w:color w:val="1A1A1A"/>
        </w:rPr>
        <w:t xml:space="preserve">) — à confronter à </w:t>
      </w:r>
      <w:r>
        <w:rPr>
          <w:rFonts w:ascii="Calibri" w:eastAsia="Calibri" w:hAnsi="Calibri" w:cs="Calibri"/>
          <w:color w:val="E91E63"/>
        </w:rPr>
        <w:t>CEDH, 17 février 2005, K.A. et A.D. c. Belgique</w:t>
      </w:r>
      <w:r>
        <w:rPr>
          <w:rFonts w:ascii="Calibri" w:eastAsia="Calibri" w:hAnsi="Calibri" w:cs="Calibri"/>
          <w:color w:val="1A1A1A"/>
        </w:rPr>
        <w:t xml:space="preserve"> (</w:t>
      </w:r>
      <w:r>
        <w:rPr>
          <w:rFonts w:ascii="Calibri" w:eastAsia="Calibri" w:hAnsi="Calibri" w:cs="Calibri"/>
          <w:b/>
          <w:bCs/>
          <w:color w:val="1A1A1A"/>
        </w:rPr>
        <w:t>2005</w:t>
      </w:r>
      <w:r>
        <w:rPr>
          <w:rFonts w:ascii="Calibri" w:eastAsia="Calibri" w:hAnsi="Calibri" w:cs="Calibri"/>
          <w:color w:val="1A1A1A"/>
        </w:rPr>
        <w:t xml:space="preserve">, et non 1995), qui affirme le </w:t>
      </w:r>
      <w:r w:rsidRPr="00184F8F">
        <w:rPr>
          <w:rFonts w:ascii="Calibri" w:eastAsia="Calibri" w:hAnsi="Calibri" w:cs="Calibri"/>
          <w:color w:val="1A1A1A"/>
          <w:highlight w:val="yellow"/>
        </w:rPr>
        <w:t>droit d’entretenir des relations sexuelles dans les limites du consentement.</w:t>
      </w:r>
    </w:p>
    <w:p w14:paraId="5279E07E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Identité de genre</w:t>
      </w:r>
      <w:r>
        <w:rPr>
          <w:rFonts w:ascii="Calibri" w:eastAsia="Calibri" w:hAnsi="Calibri" w:cs="Calibri"/>
          <w:color w:val="1A1A1A"/>
        </w:rPr>
        <w:t xml:space="preserve"> : ★ </w:t>
      </w:r>
      <w:r>
        <w:rPr>
          <w:rFonts w:ascii="Calibri" w:eastAsia="Calibri" w:hAnsi="Calibri" w:cs="Calibri"/>
          <w:color w:val="E91E63"/>
        </w:rPr>
        <w:t>CEDH [GC], 11 juillet 2002, Christine Goodwin c. Royaume-Uni, n° 28957/95</w:t>
      </w:r>
      <w:r>
        <w:rPr>
          <w:rFonts w:ascii="Calibri" w:eastAsia="Calibri" w:hAnsi="Calibri" w:cs="Calibri"/>
          <w:color w:val="1A1A1A"/>
        </w:rPr>
        <w:t xml:space="preserve"> — </w:t>
      </w:r>
      <w:r w:rsidRPr="00184F8F">
        <w:rPr>
          <w:rFonts w:ascii="Calibri" w:eastAsia="Calibri" w:hAnsi="Calibri" w:cs="Calibri"/>
          <w:color w:val="1A1A1A"/>
          <w:highlight w:val="yellow"/>
        </w:rPr>
        <w:t xml:space="preserve">obligation positive de </w:t>
      </w:r>
      <w:r w:rsidRPr="00184F8F">
        <w:rPr>
          <w:rFonts w:ascii="Calibri" w:eastAsia="Calibri" w:hAnsi="Calibri" w:cs="Calibri"/>
          <w:b/>
          <w:bCs/>
          <w:color w:val="1A1A1A"/>
          <w:highlight w:val="yellow"/>
        </w:rPr>
        <w:t>reconnaissance juridique</w:t>
      </w:r>
      <w:r w:rsidRPr="00184F8F">
        <w:rPr>
          <w:rFonts w:ascii="Calibri" w:eastAsia="Calibri" w:hAnsi="Calibri" w:cs="Calibri"/>
          <w:color w:val="1A1A1A"/>
          <w:highlight w:val="yellow"/>
        </w:rPr>
        <w:t xml:space="preserve"> du changement de sexe et droit au mariage</w:t>
      </w:r>
      <w:r>
        <w:rPr>
          <w:rFonts w:ascii="Calibri" w:eastAsia="Calibri" w:hAnsi="Calibri" w:cs="Calibri"/>
          <w:color w:val="1A1A1A"/>
        </w:rPr>
        <w:t xml:space="preserve"> ; la stérilisation ne peut être exigée (</w:t>
      </w:r>
      <w:r>
        <w:rPr>
          <w:rFonts w:ascii="Calibri" w:eastAsia="Calibri" w:hAnsi="Calibri" w:cs="Calibri"/>
          <w:color w:val="E91E63"/>
        </w:rPr>
        <w:t>CEDH, 6 avril 2017, A.P., Garçon et Nicot c. France</w:t>
      </w:r>
      <w:r>
        <w:rPr>
          <w:rFonts w:ascii="Calibri" w:eastAsia="Calibri" w:hAnsi="Calibri" w:cs="Calibri"/>
          <w:color w:val="1A1A1A"/>
        </w:rPr>
        <w:t>) ; ni l’opération chirurgicale (</w:t>
      </w:r>
      <w:r>
        <w:rPr>
          <w:rFonts w:ascii="Calibri" w:eastAsia="Calibri" w:hAnsi="Calibri" w:cs="Calibri"/>
          <w:color w:val="E91E63"/>
        </w:rPr>
        <w:t>CEDH, 19 janvier 2021, X et Y c. Roumanie, n° 2145/16</w:t>
      </w:r>
      <w:r>
        <w:rPr>
          <w:rFonts w:ascii="Calibri" w:eastAsia="Calibri" w:hAnsi="Calibri" w:cs="Calibri"/>
          <w:color w:val="1A1A1A"/>
        </w:rPr>
        <w:t xml:space="preserve">). En droit interne, la </w:t>
      </w:r>
      <w:r>
        <w:rPr>
          <w:rFonts w:ascii="Calibri" w:eastAsia="Calibri" w:hAnsi="Calibri" w:cs="Calibri"/>
          <w:color w:val="1E88E5"/>
        </w:rPr>
        <w:t>loi n° 2016-1547 du 18 novembre 2016</w:t>
      </w:r>
      <w:r>
        <w:rPr>
          <w:rFonts w:ascii="Calibri" w:eastAsia="Calibri" w:hAnsi="Calibri" w:cs="Calibri"/>
          <w:color w:val="1A1A1A"/>
        </w:rPr>
        <w:t xml:space="preserve"> démédicalise la modification de la mention du sexe (</w:t>
      </w:r>
      <w:r>
        <w:rPr>
          <w:rFonts w:ascii="Calibri" w:eastAsia="Calibri" w:hAnsi="Calibri" w:cs="Calibri"/>
          <w:color w:val="1E88E5"/>
        </w:rPr>
        <w:t>art. 61-5 C. civ.</w:t>
      </w:r>
      <w:r>
        <w:rPr>
          <w:rFonts w:ascii="Calibri" w:eastAsia="Calibri" w:hAnsi="Calibri" w:cs="Calibri"/>
          <w:color w:val="1A1A1A"/>
        </w:rPr>
        <w:t>).</w:t>
      </w:r>
    </w:p>
    <w:p w14:paraId="28A61A6A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Couples de même sexe</w:t>
      </w:r>
      <w:r>
        <w:rPr>
          <w:rFonts w:ascii="Calibri" w:eastAsia="Calibri" w:hAnsi="Calibri" w:cs="Calibri"/>
          <w:color w:val="1A1A1A"/>
        </w:rPr>
        <w:t xml:space="preserve"> : obligation de leur offrir un statut (</w:t>
      </w:r>
      <w:r>
        <w:rPr>
          <w:rFonts w:ascii="Calibri" w:eastAsia="Calibri" w:hAnsi="Calibri" w:cs="Calibri"/>
          <w:color w:val="E91E63"/>
        </w:rPr>
        <w:t>CEDH, 21 juillet 2015, Oliari c. Italie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CEDH [GC], 17 janvier 2023, Fedotova c. Russie</w:t>
      </w:r>
      <w:r>
        <w:rPr>
          <w:rFonts w:ascii="Calibri" w:eastAsia="Calibri" w:hAnsi="Calibri" w:cs="Calibri"/>
          <w:color w:val="1A1A1A"/>
        </w:rPr>
        <w:t>) — voir fiche 34.</w:t>
      </w:r>
    </w:p>
    <w:p w14:paraId="075029C8" w14:textId="77777777" w:rsidR="00C05C80" w:rsidRDefault="00000000">
      <w:pPr>
        <w:pStyle w:val="Titre3"/>
        <w:spacing w:before="200" w:after="90"/>
      </w:pPr>
      <w:r>
        <w:rPr>
          <w:rFonts w:ascii="Calibri" w:eastAsia="Calibri" w:hAnsi="Calibri" w:cs="Calibri"/>
          <w:b/>
          <w:bCs/>
          <w:i/>
          <w:iCs/>
          <w:color w:val="5A5A5A"/>
          <w:sz w:val="21"/>
          <w:szCs w:val="21"/>
        </w:rPr>
        <w:t>2.4. Réputation, image, voix</w:t>
      </w:r>
    </w:p>
    <w:p w14:paraId="295F85E5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Réputation</w:t>
      </w:r>
      <w:r>
        <w:rPr>
          <w:rFonts w:ascii="Calibri" w:eastAsia="Calibri" w:hAnsi="Calibri" w:cs="Calibri"/>
          <w:color w:val="1A1A1A"/>
        </w:rPr>
        <w:t xml:space="preserve"> : partie de l’identité personnelle (</w:t>
      </w:r>
      <w:r>
        <w:rPr>
          <w:rFonts w:ascii="Calibri" w:eastAsia="Calibri" w:hAnsi="Calibri" w:cs="Calibri"/>
          <w:color w:val="E91E63"/>
        </w:rPr>
        <w:t>CEDH, 15 novembre 2007, Pfeifer c. Autriche</w:t>
      </w:r>
      <w:r>
        <w:rPr>
          <w:rFonts w:ascii="Calibri" w:eastAsia="Calibri" w:hAnsi="Calibri" w:cs="Calibri"/>
          <w:color w:val="1A1A1A"/>
        </w:rPr>
        <w:t xml:space="preserve"> — </w:t>
      </w:r>
      <w:r>
        <w:rPr>
          <w:rFonts w:ascii="Calibri" w:eastAsia="Calibri" w:hAnsi="Calibri" w:cs="Calibri"/>
          <w:b/>
          <w:bCs/>
          <w:color w:val="1A1A1A"/>
        </w:rPr>
        <w:t>novembre</w:t>
      </w:r>
      <w:r>
        <w:rPr>
          <w:rFonts w:ascii="Calibri" w:eastAsia="Calibri" w:hAnsi="Calibri" w:cs="Calibri"/>
          <w:color w:val="1A1A1A"/>
        </w:rPr>
        <w:t>, non « décembre ») ; droit interne : diffamation et injure (</w:t>
      </w:r>
      <w:r>
        <w:rPr>
          <w:rFonts w:ascii="Calibri" w:eastAsia="Calibri" w:hAnsi="Calibri" w:cs="Calibri"/>
          <w:color w:val="1E88E5"/>
        </w:rPr>
        <w:t>art. 29 de la loi du 29 juillet 1881</w:t>
      </w:r>
      <w:r>
        <w:rPr>
          <w:rFonts w:ascii="Calibri" w:eastAsia="Calibri" w:hAnsi="Calibri" w:cs="Calibri"/>
          <w:color w:val="1A1A1A"/>
        </w:rPr>
        <w:t>).</w:t>
      </w:r>
    </w:p>
    <w:p w14:paraId="50A06A6C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Image</w:t>
      </w:r>
      <w:r>
        <w:rPr>
          <w:rFonts w:ascii="Calibri" w:eastAsia="Calibri" w:hAnsi="Calibri" w:cs="Calibri"/>
          <w:color w:val="1A1A1A"/>
        </w:rPr>
        <w:t xml:space="preserve"> : l’individu doit en garder la maîtrise, dès la captation (</w:t>
      </w:r>
      <w:r>
        <w:rPr>
          <w:rFonts w:ascii="Calibri" w:eastAsia="Calibri" w:hAnsi="Calibri" w:cs="Calibri"/>
          <w:color w:val="E91E63"/>
        </w:rPr>
        <w:t>CEDH, 15 janvier 2009, Reklos et Davourlis c. Grèce</w:t>
      </w:r>
      <w:r>
        <w:rPr>
          <w:rFonts w:ascii="Calibri" w:eastAsia="Calibri" w:hAnsi="Calibri" w:cs="Calibri"/>
          <w:color w:val="1A1A1A"/>
        </w:rPr>
        <w:t>) ; droit de s’opposer à la diffusion, à la captation et à la conservation (</w:t>
      </w:r>
      <w:r>
        <w:rPr>
          <w:rFonts w:ascii="Calibri" w:eastAsia="Calibri" w:hAnsi="Calibri" w:cs="Calibri"/>
          <w:color w:val="E91E63"/>
        </w:rPr>
        <w:t>CEDH, 13 octobre 2015, Bremner c. Turquie</w:t>
      </w:r>
      <w:r>
        <w:rPr>
          <w:rFonts w:ascii="Calibri" w:eastAsia="Calibri" w:hAnsi="Calibri" w:cs="Calibri"/>
          <w:color w:val="1A1A1A"/>
        </w:rPr>
        <w:t>). La dignité limite la publication d’une victime (</w:t>
      </w:r>
      <w:r>
        <w:rPr>
          <w:rFonts w:ascii="Calibri" w:eastAsia="Calibri" w:hAnsi="Calibri" w:cs="Calibri"/>
          <w:color w:val="E91E63"/>
        </w:rPr>
        <w:t>Cass. 1re civ., 20 décembre 2000, n° 98-13.875, préfet Érignac</w:t>
      </w:r>
      <w:r>
        <w:rPr>
          <w:rFonts w:ascii="Calibri" w:eastAsia="Calibri" w:hAnsi="Calibri" w:cs="Calibri"/>
          <w:color w:val="1A1A1A"/>
        </w:rPr>
        <w:t>).</w:t>
      </w:r>
    </w:p>
    <w:p w14:paraId="351F8EF8" w14:textId="5A4E37A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color w:val="1A1A1A"/>
        </w:rPr>
        <w:t xml:space="preserve">★ </w:t>
      </w:r>
      <w:r w:rsidR="00EB2F39" w:rsidRPr="00EB2F39">
        <w:rPr>
          <w:rFonts w:ascii="Calibri" w:eastAsia="Calibri" w:hAnsi="Calibri" w:cs="Calibri"/>
          <w:b/>
          <w:bCs/>
          <w:color w:val="1A1A1A"/>
          <w:highlight w:val="yellow"/>
        </w:rPr>
        <w:t>Actualité</w:t>
      </w:r>
      <w:r w:rsidR="00EB2F39">
        <w:rPr>
          <w:rFonts w:ascii="Calibri" w:eastAsia="Calibri" w:hAnsi="Calibri" w:cs="Calibri"/>
          <w:color w:val="1A1A1A"/>
        </w:rPr>
        <w:t xml:space="preserve"> - </w:t>
      </w:r>
      <w:r>
        <w:rPr>
          <w:rFonts w:ascii="Calibri" w:eastAsia="Calibri" w:hAnsi="Calibri" w:cs="Calibri"/>
          <w:b/>
          <w:bCs/>
          <w:color w:val="1A1A1A"/>
        </w:rPr>
        <w:t>Voix</w:t>
      </w:r>
      <w:r>
        <w:rPr>
          <w:rFonts w:ascii="Calibri" w:eastAsia="Calibri" w:hAnsi="Calibri" w:cs="Calibri"/>
          <w:color w:val="1A1A1A"/>
        </w:rPr>
        <w:t xml:space="preserve"> : </w:t>
      </w:r>
      <w:r>
        <w:rPr>
          <w:rFonts w:ascii="Calibri" w:eastAsia="Calibri" w:hAnsi="Calibri" w:cs="Calibri"/>
          <w:color w:val="E91E63"/>
        </w:rPr>
        <w:t>Cass. 1re civ., 24 juin 2026, n° 25-20.483</w:t>
      </w:r>
      <w:r>
        <w:rPr>
          <w:rFonts w:ascii="Calibri" w:eastAsia="Calibri" w:hAnsi="Calibri" w:cs="Calibri"/>
          <w:color w:val="1A1A1A"/>
        </w:rPr>
        <w:t xml:space="preserve"> — « le droit au respect de la vie privée inclut, outre le droit au respect de l’image, le droit au respect de la voix » ; </w:t>
      </w:r>
      <w:r w:rsidRPr="00EB2F39">
        <w:rPr>
          <w:rFonts w:ascii="Calibri" w:eastAsia="Calibri" w:hAnsi="Calibri" w:cs="Calibri"/>
          <w:color w:val="1A1A1A"/>
          <w:highlight w:val="yellow"/>
        </w:rPr>
        <w:t>la reproduction non autorisée d’une voix identifiable caractérise l’atteinte</w:t>
      </w:r>
      <w:r>
        <w:rPr>
          <w:rFonts w:ascii="Calibri" w:eastAsia="Calibri" w:hAnsi="Calibri" w:cs="Calibri"/>
          <w:color w:val="1A1A1A"/>
        </w:rPr>
        <w:t xml:space="preserve">, mais l’arrêt est </w:t>
      </w:r>
      <w:r>
        <w:rPr>
          <w:rFonts w:ascii="Calibri" w:eastAsia="Calibri" w:hAnsi="Calibri" w:cs="Calibri"/>
          <w:b/>
          <w:bCs/>
          <w:color w:val="1A1A1A"/>
        </w:rPr>
        <w:t>cassé faute de mise en balance</w:t>
      </w:r>
      <w:r>
        <w:rPr>
          <w:rFonts w:ascii="Calibri" w:eastAsia="Calibri" w:hAnsi="Calibri" w:cs="Calibri"/>
          <w:color w:val="1A1A1A"/>
        </w:rPr>
        <w:t xml:space="preserve"> avec la liberté d’expression, le propos relevant d’un débat d’intérêt général. </w:t>
      </w:r>
      <w:r>
        <w:rPr>
          <w:rFonts w:ascii="Calibri" w:eastAsia="Calibri" w:hAnsi="Calibri" w:cs="Calibri"/>
          <w:b/>
          <w:bCs/>
          <w:color w:val="1A1A1A"/>
        </w:rPr>
        <w:t xml:space="preserve">Le droit naît </w:t>
      </w:r>
      <w:r w:rsidRPr="00EB2F39">
        <w:rPr>
          <w:rFonts w:ascii="Calibri" w:eastAsia="Calibri" w:hAnsi="Calibri" w:cs="Calibri"/>
          <w:b/>
          <w:bCs/>
          <w:color w:val="1A1A1A"/>
          <w:highlight w:val="yellow"/>
        </w:rPr>
        <w:t>déjà soumis à la proportionnalité</w:t>
      </w:r>
      <w:r>
        <w:rPr>
          <w:rFonts w:ascii="Calibri" w:eastAsia="Calibri" w:hAnsi="Calibri" w:cs="Calibri"/>
          <w:b/>
          <w:bCs/>
          <w:color w:val="1A1A1A"/>
        </w:rPr>
        <w:t>.</w:t>
      </w:r>
      <w:r>
        <w:rPr>
          <w:rFonts w:ascii="Calibri" w:eastAsia="Calibri" w:hAnsi="Calibri" w:cs="Calibri"/>
          <w:color w:val="1A1A1A"/>
        </w:rPr>
        <w:t xml:space="preserve"> Prolongement pénal : </w:t>
      </w:r>
      <w:r>
        <w:rPr>
          <w:rFonts w:ascii="Calibri" w:eastAsia="Calibri" w:hAnsi="Calibri" w:cs="Calibri"/>
          <w:color w:val="1E88E5"/>
        </w:rPr>
        <w:t>art. 226-8 C. pén.</w:t>
      </w:r>
      <w:r>
        <w:rPr>
          <w:rFonts w:ascii="Calibri" w:eastAsia="Calibri" w:hAnsi="Calibri" w:cs="Calibri"/>
          <w:color w:val="1A1A1A"/>
        </w:rPr>
        <w:t xml:space="preserve"> (hypertrucages) ; transparence : </w:t>
      </w:r>
      <w:r>
        <w:rPr>
          <w:rFonts w:ascii="Calibri" w:eastAsia="Calibri" w:hAnsi="Calibri" w:cs="Calibri"/>
          <w:color w:val="1E88E5"/>
        </w:rPr>
        <w:t>art. 50 du règlement (UE) 2024/1689</w:t>
      </w:r>
      <w:r>
        <w:rPr>
          <w:rFonts w:ascii="Calibri" w:eastAsia="Calibri" w:hAnsi="Calibri" w:cs="Calibri"/>
          <w:color w:val="1A1A1A"/>
        </w:rPr>
        <w:t xml:space="preserve"> applicable depuis le 2 août 2026.</w:t>
      </w:r>
    </w:p>
    <w:p w14:paraId="16BCA2DA" w14:textId="77777777" w:rsidR="00C05C80" w:rsidRDefault="00000000">
      <w:pPr>
        <w:pStyle w:val="Titre2"/>
        <w:spacing w:before="280" w:after="12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3. Le droit aux secrets : correspondances, surveillance, travail</w:t>
      </w:r>
    </w:p>
    <w:p w14:paraId="5DC0481B" w14:textId="77777777" w:rsidR="00C05C80" w:rsidRDefault="00000000">
      <w:pPr>
        <w:pStyle w:val="Titre3"/>
        <w:spacing w:before="200" w:after="90"/>
      </w:pPr>
      <w:r>
        <w:rPr>
          <w:rFonts w:ascii="Calibri" w:eastAsia="Calibri" w:hAnsi="Calibri" w:cs="Calibri"/>
          <w:b/>
          <w:bCs/>
          <w:i/>
          <w:iCs/>
          <w:color w:val="5A5A5A"/>
          <w:sz w:val="21"/>
          <w:szCs w:val="21"/>
        </w:rPr>
        <w:t>3.1. Correspondances et écoutes</w:t>
      </w:r>
    </w:p>
    <w:p w14:paraId="349B1584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color w:val="1A1A1A"/>
        </w:rPr>
        <w:t xml:space="preserve">★ </w:t>
      </w:r>
      <w:r>
        <w:rPr>
          <w:rFonts w:ascii="Calibri" w:eastAsia="Calibri" w:hAnsi="Calibri" w:cs="Calibri"/>
          <w:color w:val="E91E63"/>
        </w:rPr>
        <w:t>Klass c. Allemagne, 1978</w:t>
      </w:r>
      <w:r>
        <w:rPr>
          <w:rFonts w:ascii="Calibri" w:eastAsia="Calibri" w:hAnsi="Calibri" w:cs="Calibri"/>
          <w:color w:val="1A1A1A"/>
        </w:rPr>
        <w:t xml:space="preserve"> : la surveillance secrète n’est tolérable que « strictement nécessaire à la sauvegarde des institutions démocratiques » et entourée de garanties. ★ </w:t>
      </w:r>
      <w:r>
        <w:rPr>
          <w:rFonts w:ascii="Calibri" w:eastAsia="Calibri" w:hAnsi="Calibri" w:cs="Calibri"/>
          <w:color w:val="E91E63"/>
        </w:rPr>
        <w:t>CEDH, 24 avril 1990, Kruslin c. France, n° 11801/85, et Huvig c. France, n° 11105/84</w:t>
      </w:r>
      <w:r>
        <w:rPr>
          <w:rFonts w:ascii="Calibri" w:eastAsia="Calibri" w:hAnsi="Calibri" w:cs="Calibri"/>
          <w:color w:val="1A1A1A"/>
        </w:rPr>
        <w:t xml:space="preserve"> : condamnation pour défaut de </w:t>
      </w:r>
      <w:r>
        <w:rPr>
          <w:rFonts w:ascii="Calibri" w:eastAsia="Calibri" w:hAnsi="Calibri" w:cs="Calibri"/>
          <w:b/>
          <w:bCs/>
          <w:color w:val="1A1A1A"/>
        </w:rPr>
        <w:t>qualité de la loi</w:t>
      </w:r>
      <w:r>
        <w:rPr>
          <w:rFonts w:ascii="Calibri" w:eastAsia="Calibri" w:hAnsi="Calibri" w:cs="Calibri"/>
          <w:color w:val="1A1A1A"/>
        </w:rPr>
        <w:t xml:space="preserve"> sur les écoutes judiciaires → </w:t>
      </w:r>
      <w:r>
        <w:rPr>
          <w:rFonts w:ascii="Calibri" w:eastAsia="Calibri" w:hAnsi="Calibri" w:cs="Calibri"/>
          <w:color w:val="1E88E5"/>
        </w:rPr>
        <w:t>loi n° 91-646 du 10 juillet 1991</w:t>
      </w:r>
      <w:r>
        <w:rPr>
          <w:rFonts w:ascii="Calibri" w:eastAsia="Calibri" w:hAnsi="Calibri" w:cs="Calibri"/>
          <w:color w:val="1A1A1A"/>
        </w:rPr>
        <w:t>.</w:t>
      </w:r>
    </w:p>
    <w:p w14:paraId="3C953D66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color w:val="1A1A1A"/>
        </w:rPr>
        <w:t>Toutes les formes de communication sont protégées (</w:t>
      </w:r>
      <w:r>
        <w:rPr>
          <w:rFonts w:ascii="Calibri" w:eastAsia="Calibri" w:hAnsi="Calibri" w:cs="Calibri"/>
          <w:color w:val="E91E63"/>
        </w:rPr>
        <w:t>CEDH, 22 octobre 2002, Taylor-Sabori c. Royaume-Uni</w:t>
      </w:r>
      <w:r>
        <w:rPr>
          <w:rFonts w:ascii="Calibri" w:eastAsia="Calibri" w:hAnsi="Calibri" w:cs="Calibri"/>
          <w:color w:val="1A1A1A"/>
        </w:rPr>
        <w:t>) ; obligation positive de prévenir les fuites (</w:t>
      </w:r>
      <w:r>
        <w:rPr>
          <w:rFonts w:ascii="Calibri" w:eastAsia="Calibri" w:hAnsi="Calibri" w:cs="Calibri"/>
          <w:color w:val="E91E63"/>
        </w:rPr>
        <w:t>CEDH, 17 juillet 2003, Craxi c. Italie (n° 2)</w:t>
      </w:r>
      <w:r>
        <w:rPr>
          <w:rFonts w:ascii="Calibri" w:eastAsia="Calibri" w:hAnsi="Calibri" w:cs="Calibri"/>
          <w:color w:val="1A1A1A"/>
        </w:rPr>
        <w:t>) ; sonorisations (</w:t>
      </w:r>
      <w:r>
        <w:rPr>
          <w:rFonts w:ascii="Calibri" w:eastAsia="Calibri" w:hAnsi="Calibri" w:cs="Calibri"/>
          <w:color w:val="E91E63"/>
        </w:rPr>
        <w:t>CEDH, 31 mai 2005, Vetter c. France</w:t>
      </w:r>
      <w:r>
        <w:rPr>
          <w:rFonts w:ascii="Calibri" w:eastAsia="Calibri" w:hAnsi="Calibri" w:cs="Calibri"/>
          <w:color w:val="1A1A1A"/>
        </w:rPr>
        <w:t>) ; parloirs (</w:t>
      </w:r>
      <w:r>
        <w:rPr>
          <w:rFonts w:ascii="Calibri" w:eastAsia="Calibri" w:hAnsi="Calibri" w:cs="Calibri"/>
          <w:color w:val="E91E63"/>
        </w:rPr>
        <w:t>CEDH, 20 décembre 2005, Wisse c. France</w:t>
      </w:r>
      <w:r>
        <w:rPr>
          <w:rFonts w:ascii="Calibri" w:eastAsia="Calibri" w:hAnsi="Calibri" w:cs="Calibri"/>
          <w:color w:val="1A1A1A"/>
        </w:rPr>
        <w:t>).</w:t>
      </w:r>
    </w:p>
    <w:p w14:paraId="446140BB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Avocats</w:t>
      </w:r>
      <w:r>
        <w:rPr>
          <w:rFonts w:ascii="Calibri" w:eastAsia="Calibri" w:hAnsi="Calibri" w:cs="Calibri"/>
          <w:color w:val="1A1A1A"/>
        </w:rPr>
        <w:t xml:space="preserve"> : protection renforcée des échanges (</w:t>
      </w:r>
      <w:r>
        <w:rPr>
          <w:rFonts w:ascii="Calibri" w:eastAsia="Calibri" w:hAnsi="Calibri" w:cs="Calibri"/>
          <w:color w:val="E91E63"/>
        </w:rPr>
        <w:t>CEDH, 12 février 2015, Yuditskaya c. Russie</w:t>
      </w:r>
      <w:r>
        <w:rPr>
          <w:rFonts w:ascii="Calibri" w:eastAsia="Calibri" w:hAnsi="Calibri" w:cs="Calibri"/>
          <w:color w:val="1A1A1A"/>
        </w:rPr>
        <w:t xml:space="preserve">) ; </w:t>
      </w:r>
      <w:r w:rsidRPr="00EB2F39">
        <w:rPr>
          <w:rFonts w:ascii="Calibri" w:eastAsia="Calibri" w:hAnsi="Calibri" w:cs="Calibri"/>
          <w:color w:val="1A1A1A"/>
          <w:highlight w:val="yellow"/>
        </w:rPr>
        <w:t>saisies admises sous garanties procédurales</w:t>
      </w:r>
      <w:r>
        <w:rPr>
          <w:rFonts w:ascii="Calibri" w:eastAsia="Calibri" w:hAnsi="Calibri" w:cs="Calibri"/>
          <w:color w:val="1A1A1A"/>
        </w:rPr>
        <w:t xml:space="preserve"> (</w:t>
      </w:r>
      <w:r>
        <w:rPr>
          <w:rFonts w:ascii="Calibri" w:eastAsia="Calibri" w:hAnsi="Calibri" w:cs="Calibri"/>
          <w:color w:val="E91E63"/>
        </w:rPr>
        <w:t>CEDH, 3 septembre 2015, Sérvulo &amp; Associados c. Portugal</w:t>
      </w:r>
      <w:r>
        <w:rPr>
          <w:rFonts w:ascii="Calibri" w:eastAsia="Calibri" w:hAnsi="Calibri" w:cs="Calibri"/>
          <w:color w:val="1A1A1A"/>
        </w:rPr>
        <w:t xml:space="preserve">) ; en droit interne, </w:t>
      </w:r>
      <w:r>
        <w:rPr>
          <w:rFonts w:ascii="Calibri" w:eastAsia="Calibri" w:hAnsi="Calibri" w:cs="Calibri"/>
          <w:color w:val="1E88E5"/>
        </w:rPr>
        <w:t>art. 56-1 CPP</w:t>
      </w:r>
      <w:r>
        <w:rPr>
          <w:rFonts w:ascii="Calibri" w:eastAsia="Calibri" w:hAnsi="Calibri" w:cs="Calibri"/>
          <w:color w:val="1A1A1A"/>
        </w:rPr>
        <w:t xml:space="preserve"> (perquisition en cabinet par un magistrat, en présence du bâtonnier, décision écrite et motivée) et </w:t>
      </w:r>
      <w:r>
        <w:rPr>
          <w:rFonts w:ascii="Calibri" w:eastAsia="Calibri" w:hAnsi="Calibri" w:cs="Calibri"/>
          <w:color w:val="1E88E5"/>
        </w:rPr>
        <w:t>art. 100-5 et 100-7 CPP</w:t>
      </w:r>
      <w:r>
        <w:rPr>
          <w:rFonts w:ascii="Calibri" w:eastAsia="Calibri" w:hAnsi="Calibri" w:cs="Calibri"/>
          <w:color w:val="1A1A1A"/>
        </w:rPr>
        <w:t xml:space="preserve"> (écoutes).</w:t>
      </w:r>
    </w:p>
    <w:p w14:paraId="61FD1522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Renseignement</w:t>
      </w:r>
      <w:r>
        <w:rPr>
          <w:rFonts w:ascii="Calibri" w:eastAsia="Calibri" w:hAnsi="Calibri" w:cs="Calibri"/>
          <w:color w:val="1A1A1A"/>
        </w:rPr>
        <w:t xml:space="preserve"> : </w:t>
      </w:r>
      <w:r>
        <w:rPr>
          <w:rFonts w:ascii="Calibri" w:eastAsia="Calibri" w:hAnsi="Calibri" w:cs="Calibri"/>
          <w:color w:val="1E88E5"/>
        </w:rPr>
        <w:t>loi n° 2015-912 du 24 juillet 2015</w:t>
      </w:r>
      <w:r>
        <w:rPr>
          <w:rFonts w:ascii="Calibri" w:eastAsia="Calibri" w:hAnsi="Calibri" w:cs="Calibri"/>
          <w:color w:val="1A1A1A"/>
        </w:rPr>
        <w:t xml:space="preserve"> — avis préalable de la Commission nationale de contrôle des techniques de renseignement (CNCTR), recours devant une formation spécialisée du Conseil d’État ; </w:t>
      </w:r>
      <w:r>
        <w:rPr>
          <w:rFonts w:ascii="Calibri" w:eastAsia="Calibri" w:hAnsi="Calibri" w:cs="Calibri"/>
          <w:color w:val="E91E63"/>
        </w:rPr>
        <w:t>Cons. const., 2015-713 DC, 23 juillet 2015</w:t>
      </w:r>
      <w:r>
        <w:rPr>
          <w:rFonts w:ascii="Calibri" w:eastAsia="Calibri" w:hAnsi="Calibri" w:cs="Calibri"/>
          <w:color w:val="1A1A1A"/>
        </w:rPr>
        <w:t xml:space="preserve"> (censure de la surveillance internationale pour incompétence négative). Interceptions </w:t>
      </w:r>
      <w:r>
        <w:rPr>
          <w:rFonts w:ascii="Calibri" w:eastAsia="Calibri" w:hAnsi="Calibri" w:cs="Calibri"/>
          <w:color w:val="1A1A1A"/>
        </w:rPr>
        <w:lastRenderedPageBreak/>
        <w:t xml:space="preserve">de masse : ★ </w:t>
      </w:r>
      <w:r>
        <w:rPr>
          <w:rFonts w:ascii="Calibri" w:eastAsia="Calibri" w:hAnsi="Calibri" w:cs="Calibri"/>
          <w:color w:val="E91E63"/>
        </w:rPr>
        <w:t>Big Brother Watch, GC, 2021</w:t>
      </w:r>
      <w:r>
        <w:rPr>
          <w:rFonts w:ascii="Calibri" w:eastAsia="Calibri" w:hAnsi="Calibri" w:cs="Calibri"/>
          <w:color w:val="1A1A1A"/>
        </w:rPr>
        <w:t xml:space="preserve"> — non contraires en soi à l’</w:t>
      </w:r>
      <w:r>
        <w:rPr>
          <w:rFonts w:ascii="Calibri" w:eastAsia="Calibri" w:hAnsi="Calibri" w:cs="Calibri"/>
          <w:color w:val="1E88E5"/>
        </w:rPr>
        <w:t>art. 8</w:t>
      </w:r>
      <w:r>
        <w:rPr>
          <w:rFonts w:ascii="Calibri" w:eastAsia="Calibri" w:hAnsi="Calibri" w:cs="Calibri"/>
          <w:color w:val="1A1A1A"/>
        </w:rPr>
        <w:t>, mais garanties « de bout en bout » (autorisation indépendante, finalités, supervision, contrôle a posteriori).</w:t>
      </w:r>
    </w:p>
    <w:p w14:paraId="452092F7" w14:textId="77777777" w:rsidR="00C05C80" w:rsidRDefault="00000000">
      <w:pPr>
        <w:pStyle w:val="Titre3"/>
        <w:spacing w:before="200" w:after="90"/>
      </w:pPr>
      <w:r>
        <w:rPr>
          <w:rFonts w:ascii="Calibri" w:eastAsia="Calibri" w:hAnsi="Calibri" w:cs="Calibri"/>
          <w:b/>
          <w:bCs/>
          <w:i/>
          <w:iCs/>
          <w:color w:val="5A5A5A"/>
          <w:sz w:val="21"/>
          <w:szCs w:val="21"/>
        </w:rPr>
        <w:t>3.2. Le salarié et la preuve</w:t>
      </w:r>
    </w:p>
    <w:p w14:paraId="0DB2F0DD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color w:val="1A1A1A"/>
        </w:rPr>
        <w:t>La vie privée inclut la vie professionnelle et sociale (</w:t>
      </w:r>
      <w:r>
        <w:rPr>
          <w:rFonts w:ascii="Calibri" w:eastAsia="Calibri" w:hAnsi="Calibri" w:cs="Calibri"/>
          <w:color w:val="E91E63"/>
        </w:rPr>
        <w:t>Niemietz c. Allemagne, 16 décembre 1992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CEDH, 28 mai 2009, Bigaeva c. Grèce</w:t>
      </w:r>
      <w:r>
        <w:rPr>
          <w:rFonts w:ascii="Calibri" w:eastAsia="Calibri" w:hAnsi="Calibri" w:cs="Calibri"/>
          <w:color w:val="1A1A1A"/>
        </w:rPr>
        <w:t>). Surveillance des messageries : information préalable et justification (</w:t>
      </w:r>
      <w:r>
        <w:rPr>
          <w:rFonts w:ascii="Calibri" w:eastAsia="Calibri" w:hAnsi="Calibri" w:cs="Calibri"/>
          <w:color w:val="E91E63"/>
        </w:rPr>
        <w:t>CEDH [GC], 5 septembre 2017, Bărbulescu c. Roumanie, n° 61496/08</w:t>
      </w:r>
      <w:r>
        <w:rPr>
          <w:rFonts w:ascii="Calibri" w:eastAsia="Calibri" w:hAnsi="Calibri" w:cs="Calibri"/>
          <w:color w:val="1A1A1A"/>
        </w:rPr>
        <w:t>) ; vidéosurveillance cachée de courte durée admise en cas de soupçons sérieux (</w:t>
      </w:r>
      <w:r>
        <w:rPr>
          <w:rFonts w:ascii="Calibri" w:eastAsia="Calibri" w:hAnsi="Calibri" w:cs="Calibri"/>
          <w:color w:val="E91E63"/>
        </w:rPr>
        <w:t>CEDH [GC], 17 octobre 2019, López Ribalda c. Espagne</w:t>
      </w:r>
      <w:r>
        <w:rPr>
          <w:rFonts w:ascii="Calibri" w:eastAsia="Calibri" w:hAnsi="Calibri" w:cs="Calibri"/>
          <w:color w:val="1A1A1A"/>
        </w:rPr>
        <w:t>).</w:t>
      </w:r>
    </w:p>
    <w:p w14:paraId="24CF0DAD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color w:val="1A1A1A"/>
        </w:rPr>
        <w:t xml:space="preserve">★ </w:t>
      </w:r>
      <w:r>
        <w:rPr>
          <w:rFonts w:ascii="Calibri" w:eastAsia="Calibri" w:hAnsi="Calibri" w:cs="Calibri"/>
          <w:color w:val="E91E63"/>
        </w:rPr>
        <w:t>Cass. ass. plén., 22 décembre 2023, n° 20-20.648</w:t>
      </w:r>
      <w:r>
        <w:rPr>
          <w:rFonts w:ascii="Calibri" w:eastAsia="Calibri" w:hAnsi="Calibri" w:cs="Calibri"/>
          <w:color w:val="1A1A1A"/>
        </w:rPr>
        <w:t xml:space="preserve"> : </w:t>
      </w:r>
      <w:r w:rsidRPr="00BB334D">
        <w:rPr>
          <w:rFonts w:ascii="Calibri" w:eastAsia="Calibri" w:hAnsi="Calibri" w:cs="Calibri"/>
          <w:color w:val="1A1A1A"/>
          <w:highlight w:val="yellow"/>
        </w:rPr>
        <w:t>la preuve illicite ou déloyale n’est plus nécessairement écartée</w:t>
      </w:r>
      <w:r>
        <w:rPr>
          <w:rFonts w:ascii="Calibri" w:eastAsia="Calibri" w:hAnsi="Calibri" w:cs="Calibri"/>
          <w:color w:val="1A1A1A"/>
        </w:rPr>
        <w:t xml:space="preserve"> ; le juge vérifie que sa production est </w:t>
      </w:r>
      <w:r w:rsidRPr="00BB334D">
        <w:rPr>
          <w:rFonts w:ascii="Calibri" w:eastAsia="Calibri" w:hAnsi="Calibri" w:cs="Calibri"/>
          <w:b/>
          <w:bCs/>
          <w:color w:val="1A1A1A"/>
          <w:highlight w:val="yellow"/>
        </w:rPr>
        <w:t>indispensable</w:t>
      </w:r>
      <w:r>
        <w:rPr>
          <w:rFonts w:ascii="Calibri" w:eastAsia="Calibri" w:hAnsi="Calibri" w:cs="Calibri"/>
          <w:b/>
          <w:bCs/>
          <w:color w:val="1A1A1A"/>
        </w:rPr>
        <w:t xml:space="preserve"> à l’exercice du droit à la preuve</w:t>
      </w:r>
      <w:r>
        <w:rPr>
          <w:rFonts w:ascii="Calibri" w:eastAsia="Calibri" w:hAnsi="Calibri" w:cs="Calibri"/>
          <w:color w:val="1A1A1A"/>
        </w:rPr>
        <w:t xml:space="preserve"> et que l’atteinte est </w:t>
      </w:r>
      <w:r>
        <w:rPr>
          <w:rFonts w:ascii="Calibri" w:eastAsia="Calibri" w:hAnsi="Calibri" w:cs="Calibri"/>
          <w:b/>
          <w:bCs/>
          <w:color w:val="1A1A1A"/>
        </w:rPr>
        <w:t xml:space="preserve">strictement </w:t>
      </w:r>
      <w:r w:rsidRPr="00BB334D">
        <w:rPr>
          <w:rFonts w:ascii="Calibri" w:eastAsia="Calibri" w:hAnsi="Calibri" w:cs="Calibri"/>
          <w:b/>
          <w:bCs/>
          <w:color w:val="1A1A1A"/>
          <w:highlight w:val="yellow"/>
        </w:rPr>
        <w:t>proportionnée</w:t>
      </w:r>
      <w:r>
        <w:rPr>
          <w:rFonts w:ascii="Calibri" w:eastAsia="Calibri" w:hAnsi="Calibri" w:cs="Calibri"/>
          <w:color w:val="1A1A1A"/>
        </w:rPr>
        <w:t xml:space="preserve">. </w:t>
      </w:r>
      <w:r w:rsidRPr="00BB334D">
        <w:rPr>
          <w:rFonts w:ascii="Calibri" w:eastAsia="Calibri" w:hAnsi="Calibri" w:cs="Calibri"/>
          <w:b/>
          <w:bCs/>
          <w:i/>
          <w:iCs/>
          <w:color w:val="1A1A1A"/>
        </w:rPr>
        <w:t>Prolongement</w:t>
      </w:r>
      <w:r>
        <w:rPr>
          <w:rFonts w:ascii="Calibri" w:eastAsia="Calibri" w:hAnsi="Calibri" w:cs="Calibri"/>
          <w:color w:val="1A1A1A"/>
        </w:rPr>
        <w:t xml:space="preserve"> : </w:t>
      </w:r>
      <w:r>
        <w:rPr>
          <w:rFonts w:ascii="Calibri" w:eastAsia="Calibri" w:hAnsi="Calibri" w:cs="Calibri"/>
          <w:color w:val="E91E63"/>
        </w:rPr>
        <w:t>Cass. com., 17 juin 2026, n° 25-11.499</w:t>
      </w:r>
      <w:r>
        <w:rPr>
          <w:rFonts w:ascii="Calibri" w:eastAsia="Calibri" w:hAnsi="Calibri" w:cs="Calibri"/>
          <w:color w:val="1A1A1A"/>
        </w:rPr>
        <w:t xml:space="preserve"> (données piratées mais pseudonymisées — </w:t>
      </w:r>
      <w:r>
        <w:rPr>
          <w:rFonts w:ascii="Calibri" w:eastAsia="Calibri" w:hAnsi="Calibri" w:cs="Calibri"/>
          <w:i/>
          <w:iCs/>
          <w:color w:val="1A1A1A"/>
        </w:rPr>
        <w:t>référence tirée de la veille, à recontrôler</w:t>
      </w:r>
      <w:r>
        <w:rPr>
          <w:rFonts w:ascii="Calibri" w:eastAsia="Calibri" w:hAnsi="Calibri" w:cs="Calibri"/>
          <w:color w:val="1A1A1A"/>
        </w:rPr>
        <w:t>).</w:t>
      </w:r>
    </w:p>
    <w:p w14:paraId="364C72F3" w14:textId="77777777" w:rsidR="00C05C80" w:rsidRDefault="00000000">
      <w:pPr>
        <w:pStyle w:val="Titre3"/>
        <w:spacing w:before="200" w:after="90"/>
      </w:pPr>
      <w:r>
        <w:rPr>
          <w:rFonts w:ascii="Calibri" w:eastAsia="Calibri" w:hAnsi="Calibri" w:cs="Calibri"/>
          <w:b/>
          <w:bCs/>
          <w:i/>
          <w:iCs/>
          <w:color w:val="5A5A5A"/>
          <w:sz w:val="21"/>
          <w:szCs w:val="21"/>
        </w:rPr>
        <w:t>3.3. Personnalités publiques et presse</w:t>
      </w:r>
    </w:p>
    <w:p w14:paraId="2DE2AA99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color w:val="E91E63"/>
        </w:rPr>
        <w:t>Von Hannover, 2004</w:t>
      </w:r>
      <w:r>
        <w:rPr>
          <w:rFonts w:ascii="Calibri" w:eastAsia="Calibri" w:hAnsi="Calibri" w:cs="Calibri"/>
          <w:color w:val="1A1A1A"/>
        </w:rPr>
        <w:t xml:space="preserve"> : la vie quotidienne d’une personnalité, même dans un lieu public, relève de sa vie privée ; « espérance légitime » de protection. </w:t>
      </w:r>
      <w:r>
        <w:rPr>
          <w:rFonts w:ascii="Calibri" w:eastAsia="Calibri" w:hAnsi="Calibri" w:cs="Calibri"/>
          <w:color w:val="E91E63"/>
        </w:rPr>
        <w:t>CEDH [GC], 7 février 2012, Von Hannover (n° 2)</w:t>
      </w:r>
      <w:r>
        <w:rPr>
          <w:rFonts w:ascii="Calibri" w:eastAsia="Calibri" w:hAnsi="Calibri" w:cs="Calibri"/>
          <w:color w:val="1A1A1A"/>
        </w:rPr>
        <w:t xml:space="preserve"> et </w:t>
      </w:r>
      <w:r>
        <w:rPr>
          <w:rFonts w:ascii="Calibri" w:eastAsia="Calibri" w:hAnsi="Calibri" w:cs="Calibri"/>
          <w:color w:val="E91E63"/>
        </w:rPr>
        <w:t>Axel Springer AG c. Allemagne</w:t>
      </w:r>
      <w:r>
        <w:rPr>
          <w:rFonts w:ascii="Calibri" w:eastAsia="Calibri" w:hAnsi="Calibri" w:cs="Calibri"/>
          <w:color w:val="1A1A1A"/>
        </w:rPr>
        <w:t xml:space="preserve"> : </w:t>
      </w:r>
      <w:r>
        <w:rPr>
          <w:rFonts w:ascii="Calibri" w:eastAsia="Calibri" w:hAnsi="Calibri" w:cs="Calibri"/>
          <w:b/>
          <w:bCs/>
          <w:color w:val="1A1A1A"/>
        </w:rPr>
        <w:t>critères</w:t>
      </w:r>
      <w:r>
        <w:rPr>
          <w:rFonts w:ascii="Calibri" w:eastAsia="Calibri" w:hAnsi="Calibri" w:cs="Calibri"/>
          <w:color w:val="1A1A1A"/>
        </w:rPr>
        <w:t xml:space="preserve"> de mise en balance (contribution à un débat d’intérêt général, notoriété de la personne et objet du reportage, comportement antérieur, contenu, forme et répercussions de la publication, circonstances de la prise de vue). Application contre la France : </w:t>
      </w:r>
      <w:r>
        <w:rPr>
          <w:rFonts w:ascii="Calibri" w:eastAsia="Calibri" w:hAnsi="Calibri" w:cs="Calibri"/>
          <w:color w:val="E91E63"/>
        </w:rPr>
        <w:t>CEDH [GC], 10 novembre 2015, Couderc et Hachette Filipacchi Associés c. France</w:t>
      </w:r>
      <w:r>
        <w:rPr>
          <w:rFonts w:ascii="Calibri" w:eastAsia="Calibri" w:hAnsi="Calibri" w:cs="Calibri"/>
          <w:color w:val="1A1A1A"/>
        </w:rPr>
        <w:t>.</w:t>
      </w:r>
    </w:p>
    <w:p w14:paraId="6BB76CA5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Secret médical</w:t>
      </w:r>
      <w:r>
        <w:rPr>
          <w:rFonts w:ascii="Calibri" w:eastAsia="Calibri" w:hAnsi="Calibri" w:cs="Calibri"/>
          <w:color w:val="1A1A1A"/>
        </w:rPr>
        <w:t xml:space="preserve"> après le décès : le rapport d’autopsie d’un salarié reste couvert et ne peut être communiqué à l’employeur au seul titre du contradictoire (</w:t>
      </w:r>
      <w:r>
        <w:rPr>
          <w:rFonts w:ascii="Calibri" w:eastAsia="Calibri" w:hAnsi="Calibri" w:cs="Calibri"/>
          <w:color w:val="E91E63"/>
        </w:rPr>
        <w:t>Cass. 2e civ., 3 avril 2025, n° 22-22.634</w:t>
      </w:r>
      <w:r>
        <w:rPr>
          <w:rFonts w:ascii="Calibri" w:eastAsia="Calibri" w:hAnsi="Calibri" w:cs="Calibri"/>
          <w:color w:val="1A1A1A"/>
        </w:rPr>
        <w:t>, selon le fascicule).</w:t>
      </w:r>
    </w:p>
    <w:p w14:paraId="76CFF790" w14:textId="77777777" w:rsidR="00C05C80" w:rsidRDefault="00000000">
      <w:pPr>
        <w:pStyle w:val="Titre2"/>
        <w:spacing w:before="280" w:after="12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4. Les lieux de la vie privée</w:t>
      </w:r>
    </w:p>
    <w:p w14:paraId="235958A8" w14:textId="77777777" w:rsidR="00C05C80" w:rsidRDefault="00000000">
      <w:pPr>
        <w:pStyle w:val="Titre3"/>
        <w:spacing w:before="200" w:after="90"/>
      </w:pPr>
      <w:r>
        <w:rPr>
          <w:rFonts w:ascii="Calibri" w:eastAsia="Calibri" w:hAnsi="Calibri" w:cs="Calibri"/>
          <w:b/>
          <w:bCs/>
          <w:i/>
          <w:iCs/>
          <w:color w:val="5A5A5A"/>
          <w:sz w:val="21"/>
          <w:szCs w:val="21"/>
        </w:rPr>
        <w:t>4.1. Le domicile</w:t>
      </w:r>
    </w:p>
    <w:p w14:paraId="35AAFCEC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Fondement</w:t>
      </w:r>
      <w:r>
        <w:rPr>
          <w:rFonts w:ascii="Calibri" w:eastAsia="Calibri" w:hAnsi="Calibri" w:cs="Calibri"/>
          <w:color w:val="1A1A1A"/>
        </w:rPr>
        <w:t xml:space="preserve"> : initialement l’</w:t>
      </w:r>
      <w:r>
        <w:rPr>
          <w:rFonts w:ascii="Calibri" w:eastAsia="Calibri" w:hAnsi="Calibri" w:cs="Calibri"/>
          <w:color w:val="1E88E5"/>
        </w:rPr>
        <w:t>art. 66 C.</w:t>
      </w:r>
      <w:r>
        <w:rPr>
          <w:rFonts w:ascii="Calibri" w:eastAsia="Calibri" w:hAnsi="Calibri" w:cs="Calibri"/>
          <w:color w:val="1A1A1A"/>
        </w:rPr>
        <w:t xml:space="preserve">, aujourd’hui les </w:t>
      </w:r>
      <w:r>
        <w:rPr>
          <w:rFonts w:ascii="Calibri" w:eastAsia="Calibri" w:hAnsi="Calibri" w:cs="Calibri"/>
          <w:color w:val="1E88E5"/>
        </w:rPr>
        <w:t>art. 2 et 4 DDHC</w:t>
      </w:r>
      <w:r>
        <w:rPr>
          <w:rFonts w:ascii="Calibri" w:eastAsia="Calibri" w:hAnsi="Calibri" w:cs="Calibri"/>
          <w:color w:val="1A1A1A"/>
        </w:rPr>
        <w:t xml:space="preserve"> (</w:t>
      </w:r>
      <w:r>
        <w:rPr>
          <w:rFonts w:ascii="Calibri" w:eastAsia="Calibri" w:hAnsi="Calibri" w:cs="Calibri"/>
          <w:color w:val="E91E63"/>
        </w:rPr>
        <w:t>83-164 DC, 29 décembre 1983, perquisitions fiscales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2013-679 DC, 4 décembre 2013, loi fraude fiscale</w:t>
      </w:r>
      <w:r>
        <w:rPr>
          <w:rFonts w:ascii="Calibri" w:eastAsia="Calibri" w:hAnsi="Calibri" w:cs="Calibri"/>
          <w:color w:val="1A1A1A"/>
        </w:rPr>
        <w:t xml:space="preserve"> — le fascicule écrit « 2013-674 », à rectifier).</w:t>
      </w:r>
    </w:p>
    <w:p w14:paraId="7BB5C60B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Garanties</w:t>
      </w:r>
      <w:r>
        <w:rPr>
          <w:rFonts w:ascii="Calibri" w:eastAsia="Calibri" w:hAnsi="Calibri" w:cs="Calibri"/>
          <w:color w:val="1A1A1A"/>
        </w:rPr>
        <w:t xml:space="preserve"> : heures légales de </w:t>
      </w:r>
      <w:r>
        <w:rPr>
          <w:rFonts w:ascii="Calibri" w:eastAsia="Calibri" w:hAnsi="Calibri" w:cs="Calibri"/>
          <w:b/>
          <w:bCs/>
          <w:color w:val="1A1A1A"/>
        </w:rPr>
        <w:t>6 heures à 21 heures</w:t>
      </w:r>
      <w:r>
        <w:rPr>
          <w:rFonts w:ascii="Calibri" w:eastAsia="Calibri" w:hAnsi="Calibri" w:cs="Calibri"/>
          <w:color w:val="1A1A1A"/>
        </w:rPr>
        <w:t xml:space="preserve"> (</w:t>
      </w:r>
      <w:r>
        <w:rPr>
          <w:rFonts w:ascii="Calibri" w:eastAsia="Calibri" w:hAnsi="Calibri" w:cs="Calibri"/>
          <w:color w:val="1E88E5"/>
        </w:rPr>
        <w:t>art. 59 CPP</w:t>
      </w:r>
      <w:r>
        <w:rPr>
          <w:rFonts w:ascii="Calibri" w:eastAsia="Calibri" w:hAnsi="Calibri" w:cs="Calibri"/>
          <w:color w:val="1A1A1A"/>
        </w:rPr>
        <w:t>) ; en enquête préliminaire, assentiment exprès ou autorisation du JLD (</w:t>
      </w:r>
      <w:r>
        <w:rPr>
          <w:rFonts w:ascii="Calibri" w:eastAsia="Calibri" w:hAnsi="Calibri" w:cs="Calibri"/>
          <w:color w:val="1E88E5"/>
        </w:rPr>
        <w:t>art. 76 CPP</w:t>
      </w:r>
      <w:r>
        <w:rPr>
          <w:rFonts w:ascii="Calibri" w:eastAsia="Calibri" w:hAnsi="Calibri" w:cs="Calibri"/>
          <w:color w:val="1A1A1A"/>
        </w:rPr>
        <w:t xml:space="preserve">) ; toute intrusion non consentie suppose l’autorisation d’un </w:t>
      </w:r>
      <w:r>
        <w:rPr>
          <w:rFonts w:ascii="Calibri" w:eastAsia="Calibri" w:hAnsi="Calibri" w:cs="Calibri"/>
          <w:b/>
          <w:bCs/>
          <w:color w:val="1A1A1A"/>
        </w:rPr>
        <w:t>magistrat du siège</w:t>
      </w:r>
      <w:r>
        <w:rPr>
          <w:rFonts w:ascii="Calibri" w:eastAsia="Calibri" w:hAnsi="Calibri" w:cs="Calibri"/>
          <w:color w:val="1A1A1A"/>
        </w:rPr>
        <w:t xml:space="preserve"> (</w:t>
      </w:r>
      <w:r>
        <w:rPr>
          <w:rFonts w:ascii="Calibri" w:eastAsia="Calibri" w:hAnsi="Calibri" w:cs="Calibri"/>
          <w:color w:val="E91E63"/>
        </w:rPr>
        <w:t>2019-778 DC, 21 mars 2019</w:t>
      </w:r>
      <w:r>
        <w:rPr>
          <w:rFonts w:ascii="Calibri" w:eastAsia="Calibri" w:hAnsi="Calibri" w:cs="Calibri"/>
          <w:color w:val="1A1A1A"/>
        </w:rPr>
        <w:t>) ; perquisitions de nuit en criminalité organisée validées sous garanties (</w:t>
      </w:r>
      <w:r>
        <w:rPr>
          <w:rFonts w:ascii="Calibri" w:eastAsia="Calibri" w:hAnsi="Calibri" w:cs="Calibri"/>
          <w:color w:val="E91E63"/>
        </w:rPr>
        <w:t>2004-492 DC, 2 mars 2004</w:t>
      </w:r>
      <w:r>
        <w:rPr>
          <w:rFonts w:ascii="Calibri" w:eastAsia="Calibri" w:hAnsi="Calibri" w:cs="Calibri"/>
          <w:color w:val="1A1A1A"/>
        </w:rPr>
        <w:t>) ; géolocalisation (</w:t>
      </w:r>
      <w:r>
        <w:rPr>
          <w:rFonts w:ascii="Calibri" w:eastAsia="Calibri" w:hAnsi="Calibri" w:cs="Calibri"/>
          <w:color w:val="1E88E5"/>
        </w:rPr>
        <w:t>art. 230-32 s. CPP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2014-693 DC, 25 mars 2014</w:t>
      </w:r>
      <w:r>
        <w:rPr>
          <w:rFonts w:ascii="Calibri" w:eastAsia="Calibri" w:hAnsi="Calibri" w:cs="Calibri"/>
          <w:color w:val="1A1A1A"/>
        </w:rPr>
        <w:t>).</w:t>
      </w:r>
    </w:p>
    <w:p w14:paraId="077B8BCF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Périmètre</w:t>
      </w:r>
      <w:r>
        <w:rPr>
          <w:rFonts w:ascii="Calibri" w:eastAsia="Calibri" w:hAnsi="Calibri" w:cs="Calibri"/>
          <w:color w:val="1A1A1A"/>
        </w:rPr>
        <w:t xml:space="preserve"> : la Cour européenne inclut les locaux </w:t>
      </w:r>
      <w:r w:rsidRPr="0064035B">
        <w:rPr>
          <w:rFonts w:ascii="Calibri" w:eastAsia="Calibri" w:hAnsi="Calibri" w:cs="Calibri"/>
          <w:b/>
          <w:bCs/>
          <w:color w:val="1A1A1A"/>
        </w:rPr>
        <w:t>professionnels</w:t>
      </w:r>
      <w:r>
        <w:rPr>
          <w:rFonts w:ascii="Calibri" w:eastAsia="Calibri" w:hAnsi="Calibri" w:cs="Calibri"/>
          <w:color w:val="1A1A1A"/>
        </w:rPr>
        <w:t xml:space="preserve"> (</w:t>
      </w:r>
      <w:r>
        <w:rPr>
          <w:rFonts w:ascii="Calibri" w:eastAsia="Calibri" w:hAnsi="Calibri" w:cs="Calibri"/>
          <w:color w:val="E91E63"/>
        </w:rPr>
        <w:t>Niemietz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CEDH, 16 avril 2002, Société Colas Est c. France</w:t>
      </w:r>
      <w:r>
        <w:rPr>
          <w:rFonts w:ascii="Calibri" w:eastAsia="Calibri" w:hAnsi="Calibri" w:cs="Calibri"/>
          <w:color w:val="1A1A1A"/>
        </w:rPr>
        <w:t xml:space="preserve">) ; </w:t>
      </w:r>
      <w:r w:rsidRPr="0064035B">
        <w:rPr>
          <w:rFonts w:ascii="Calibri" w:eastAsia="Calibri" w:hAnsi="Calibri" w:cs="Calibri"/>
          <w:color w:val="1A1A1A"/>
          <w:highlight w:val="yellow"/>
        </w:rPr>
        <w:t xml:space="preserve">le Conseil constitutionnel réserve l’inviolabilité stricte aux lieux </w:t>
      </w:r>
      <w:r w:rsidRPr="0064035B">
        <w:rPr>
          <w:rFonts w:ascii="Calibri" w:eastAsia="Calibri" w:hAnsi="Calibri" w:cs="Calibri"/>
          <w:b/>
          <w:bCs/>
          <w:color w:val="1A1A1A"/>
          <w:highlight w:val="yellow"/>
        </w:rPr>
        <w:t>d’habitation</w:t>
      </w:r>
      <w:r>
        <w:rPr>
          <w:rFonts w:ascii="Calibri" w:eastAsia="Calibri" w:hAnsi="Calibri" w:cs="Calibri"/>
          <w:color w:val="1A1A1A"/>
        </w:rPr>
        <w:t xml:space="preserve"> (</w:t>
      </w:r>
      <w:r>
        <w:rPr>
          <w:rFonts w:ascii="Calibri" w:eastAsia="Calibri" w:hAnsi="Calibri" w:cs="Calibri"/>
          <w:color w:val="E91E63"/>
        </w:rPr>
        <w:t xml:space="preserve">2016-552 QPC, 8 juillet 2016, </w:t>
      </w:r>
      <w:proofErr w:type="spellStart"/>
      <w:r>
        <w:rPr>
          <w:rFonts w:ascii="Calibri" w:eastAsia="Calibri" w:hAnsi="Calibri" w:cs="Calibri"/>
          <w:color w:val="E91E63"/>
        </w:rPr>
        <w:t>Brenntag</w:t>
      </w:r>
      <w:proofErr w:type="spellEnd"/>
      <w:r>
        <w:rPr>
          <w:rFonts w:ascii="Calibri" w:eastAsia="Calibri" w:hAnsi="Calibri" w:cs="Calibri"/>
          <w:color w:val="1A1A1A"/>
        </w:rPr>
        <w:t>).</w:t>
      </w:r>
    </w:p>
    <w:p w14:paraId="29AF48C3" w14:textId="77777777" w:rsidR="00C05C80" w:rsidRDefault="00000000">
      <w:pPr>
        <w:pStyle w:val="Titre3"/>
        <w:spacing w:before="200" w:after="90"/>
      </w:pPr>
      <w:r>
        <w:rPr>
          <w:rFonts w:ascii="Calibri" w:eastAsia="Calibri" w:hAnsi="Calibri" w:cs="Calibri"/>
          <w:b/>
          <w:bCs/>
          <w:i/>
          <w:iCs/>
          <w:color w:val="5A5A5A"/>
          <w:sz w:val="21"/>
          <w:szCs w:val="21"/>
        </w:rPr>
        <w:t>4.2. L’environnement</w:t>
      </w:r>
    </w:p>
    <w:p w14:paraId="44871C09" w14:textId="6EEA630A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color w:val="1A1A1A"/>
        </w:rPr>
        <w:t>Pas de droit à l’environnement dans la Convention (</w:t>
      </w:r>
      <w:r>
        <w:rPr>
          <w:rFonts w:ascii="Calibri" w:eastAsia="Calibri" w:hAnsi="Calibri" w:cs="Calibri"/>
          <w:color w:val="E91E63"/>
        </w:rPr>
        <w:t>CEDH, 22 mai 2003, Kyrtatos c. Grèce</w:t>
      </w:r>
      <w:r>
        <w:rPr>
          <w:rFonts w:ascii="Calibri" w:eastAsia="Calibri" w:hAnsi="Calibri" w:cs="Calibri"/>
          <w:color w:val="1A1A1A"/>
        </w:rPr>
        <w:t xml:space="preserve">), mais </w:t>
      </w:r>
      <w:r w:rsidRPr="0064035B">
        <w:rPr>
          <w:rFonts w:ascii="Calibri" w:eastAsia="Calibri" w:hAnsi="Calibri" w:cs="Calibri"/>
          <w:color w:val="1A1A1A"/>
          <w:highlight w:val="yellow"/>
        </w:rPr>
        <w:t xml:space="preserve">protection </w:t>
      </w:r>
      <w:r w:rsidRPr="0064035B">
        <w:rPr>
          <w:rFonts w:ascii="Calibri" w:eastAsia="Calibri" w:hAnsi="Calibri" w:cs="Calibri"/>
          <w:b/>
          <w:bCs/>
          <w:color w:val="1A1A1A"/>
          <w:highlight w:val="yellow"/>
        </w:rPr>
        <w:t>par ricochet</w:t>
      </w:r>
      <w:r>
        <w:rPr>
          <w:rFonts w:ascii="Calibri" w:eastAsia="Calibri" w:hAnsi="Calibri" w:cs="Calibri"/>
          <w:color w:val="1A1A1A"/>
        </w:rPr>
        <w:t xml:space="preserve"> : nuisances graves (</w:t>
      </w:r>
      <w:r>
        <w:rPr>
          <w:rFonts w:ascii="Calibri" w:eastAsia="Calibri" w:hAnsi="Calibri" w:cs="Calibri"/>
          <w:color w:val="E91E63"/>
        </w:rPr>
        <w:t>CEDH, 9 décembre 1994, López Ostra c. Espagne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CEDH [GC], 8 juillet 2003, Hatton c. Royaume-Uni</w:t>
      </w:r>
      <w:r>
        <w:rPr>
          <w:rFonts w:ascii="Calibri" w:eastAsia="Calibri" w:hAnsi="Calibri" w:cs="Calibri"/>
          <w:color w:val="1A1A1A"/>
        </w:rPr>
        <w:t>) ; bruit (</w:t>
      </w:r>
      <w:r>
        <w:rPr>
          <w:rFonts w:ascii="Calibri" w:eastAsia="Calibri" w:hAnsi="Calibri" w:cs="Calibri"/>
          <w:color w:val="E91E63"/>
        </w:rPr>
        <w:t>Moreno Gómez c. Espagne, 2004</w:t>
      </w:r>
      <w:r>
        <w:rPr>
          <w:rFonts w:ascii="Calibri" w:eastAsia="Calibri" w:hAnsi="Calibri" w:cs="Calibri"/>
          <w:color w:val="1A1A1A"/>
        </w:rPr>
        <w:t>) ; eau polluée (</w:t>
      </w:r>
      <w:r>
        <w:rPr>
          <w:rFonts w:ascii="Calibri" w:eastAsia="Calibri" w:hAnsi="Calibri" w:cs="Calibri"/>
          <w:color w:val="E91E63"/>
        </w:rPr>
        <w:t>Dzemyuk c. Ukraine, 4 septembre 2014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Otgon c. Moldavie, 2016</w:t>
      </w:r>
      <w:r>
        <w:rPr>
          <w:rFonts w:ascii="Calibri" w:eastAsia="Calibri" w:hAnsi="Calibri" w:cs="Calibri"/>
          <w:color w:val="1A1A1A"/>
        </w:rPr>
        <w:t>) ; pollution industrielle (</w:t>
      </w:r>
      <w:proofErr w:type="spellStart"/>
      <w:r>
        <w:rPr>
          <w:rFonts w:ascii="Calibri" w:eastAsia="Calibri" w:hAnsi="Calibri" w:cs="Calibri"/>
          <w:color w:val="E91E63"/>
        </w:rPr>
        <w:t>Dubetska</w:t>
      </w:r>
      <w:proofErr w:type="spellEnd"/>
      <w:r>
        <w:rPr>
          <w:rFonts w:ascii="Calibri" w:eastAsia="Calibri" w:hAnsi="Calibri" w:cs="Calibri"/>
          <w:color w:val="E91E63"/>
        </w:rPr>
        <w:t xml:space="preserve"> c. Ukraine, 2011</w:t>
      </w:r>
      <w:r>
        <w:rPr>
          <w:rFonts w:ascii="Calibri" w:eastAsia="Calibri" w:hAnsi="Calibri" w:cs="Calibri"/>
          <w:color w:val="1A1A1A"/>
        </w:rPr>
        <w:t>). Le relais est désormais aussi pris par l’</w:t>
      </w:r>
      <w:r>
        <w:rPr>
          <w:rFonts w:ascii="Calibri" w:eastAsia="Calibri" w:hAnsi="Calibri" w:cs="Calibri"/>
          <w:color w:val="1E88E5"/>
        </w:rPr>
        <w:t>art. 2</w:t>
      </w:r>
      <w:r>
        <w:rPr>
          <w:rFonts w:ascii="Calibri" w:eastAsia="Calibri" w:hAnsi="Calibri" w:cs="Calibri"/>
          <w:color w:val="1A1A1A"/>
        </w:rPr>
        <w:t xml:space="preserve"> (</w:t>
      </w:r>
      <w:r>
        <w:rPr>
          <w:rFonts w:ascii="Calibri" w:eastAsia="Calibri" w:hAnsi="Calibri" w:cs="Calibri"/>
          <w:color w:val="E91E63"/>
        </w:rPr>
        <w:t>Cannavacciuolo c. Italie, 30 janvier 2025</w:t>
      </w:r>
      <w:r>
        <w:rPr>
          <w:rFonts w:ascii="Calibri" w:eastAsia="Calibri" w:hAnsi="Calibri" w:cs="Calibri"/>
          <w:color w:val="1A1A1A"/>
        </w:rPr>
        <w:t>) et par le climat (</w:t>
      </w:r>
      <w:proofErr w:type="spellStart"/>
      <w:r>
        <w:rPr>
          <w:rFonts w:ascii="Calibri" w:eastAsia="Calibri" w:hAnsi="Calibri" w:cs="Calibri"/>
          <w:color w:val="E91E63"/>
        </w:rPr>
        <w:t>KlimaSeniorinnen</w:t>
      </w:r>
      <w:proofErr w:type="spellEnd"/>
      <w:r>
        <w:rPr>
          <w:rFonts w:ascii="Calibri" w:eastAsia="Calibri" w:hAnsi="Calibri" w:cs="Calibri"/>
          <w:color w:val="E91E63"/>
        </w:rPr>
        <w:t>, GC, 9 avril 2024</w:t>
      </w:r>
      <w:r>
        <w:rPr>
          <w:rFonts w:ascii="Calibri" w:eastAsia="Calibri" w:hAnsi="Calibri" w:cs="Calibri"/>
          <w:color w:val="1A1A1A"/>
        </w:rPr>
        <w:t>, sur le terrain de l’</w:t>
      </w:r>
      <w:r>
        <w:rPr>
          <w:rFonts w:ascii="Calibri" w:eastAsia="Calibri" w:hAnsi="Calibri" w:cs="Calibri"/>
          <w:color w:val="1E88E5"/>
        </w:rPr>
        <w:t>art. 8</w:t>
      </w:r>
      <w:r>
        <w:rPr>
          <w:rFonts w:ascii="Calibri" w:eastAsia="Calibri" w:hAnsi="Calibri" w:cs="Calibri"/>
          <w:color w:val="1A1A1A"/>
        </w:rPr>
        <w:t>).</w:t>
      </w:r>
    </w:p>
    <w:p w14:paraId="0E4B4BC8" w14:textId="77777777" w:rsidR="00C05C80" w:rsidRDefault="00000000">
      <w:pPr>
        <w:pStyle w:val="Titre3"/>
        <w:spacing w:before="200" w:after="90"/>
      </w:pPr>
      <w:r>
        <w:rPr>
          <w:rFonts w:ascii="Calibri" w:eastAsia="Calibri" w:hAnsi="Calibri" w:cs="Calibri"/>
          <w:b/>
          <w:bCs/>
          <w:i/>
          <w:iCs/>
          <w:color w:val="5A5A5A"/>
          <w:sz w:val="21"/>
          <w:szCs w:val="21"/>
        </w:rPr>
        <w:t>4.3. L’espace numérique et la surveillance algorithmique</w:t>
      </w:r>
    </w:p>
    <w:p w14:paraId="79A6E835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color w:val="1A1A1A"/>
        </w:rPr>
        <w:t>Faux profil sur un réseau social : atteinte à la vie privée et à l’image (</w:t>
      </w:r>
      <w:r>
        <w:rPr>
          <w:rFonts w:ascii="Calibri" w:eastAsia="Calibri" w:hAnsi="Calibri" w:cs="Calibri"/>
          <w:color w:val="1E88E5"/>
        </w:rPr>
        <w:t>art. 9 C. civ.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1E88E5"/>
        </w:rPr>
        <w:t>art. 226-4-1 C. pén.</w:t>
      </w:r>
      <w:r>
        <w:rPr>
          <w:rFonts w:ascii="Calibri" w:eastAsia="Calibri" w:hAnsi="Calibri" w:cs="Calibri"/>
          <w:color w:val="1A1A1A"/>
        </w:rPr>
        <w:t>).</w:t>
      </w:r>
    </w:p>
    <w:p w14:paraId="13BA694E" w14:textId="77777777" w:rsidR="0064035B" w:rsidRPr="0064035B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Vidéoprotection</w:t>
      </w:r>
      <w:r>
        <w:rPr>
          <w:rFonts w:ascii="Calibri" w:eastAsia="Calibri" w:hAnsi="Calibri" w:cs="Calibri"/>
          <w:color w:val="1A1A1A"/>
        </w:rPr>
        <w:t xml:space="preserve"> : </w:t>
      </w:r>
      <w:r>
        <w:rPr>
          <w:rFonts w:ascii="Calibri" w:eastAsia="Calibri" w:hAnsi="Calibri" w:cs="Calibri"/>
          <w:color w:val="1E88E5"/>
        </w:rPr>
        <w:t>loi n° 95-73 du 21 janvier 1995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94-352 DC, 18 janvier 1995</w:t>
      </w:r>
      <w:r>
        <w:rPr>
          <w:rFonts w:ascii="Calibri" w:eastAsia="Calibri" w:hAnsi="Calibri" w:cs="Calibri"/>
          <w:color w:val="1A1A1A"/>
        </w:rPr>
        <w:t xml:space="preserve">. </w:t>
      </w:r>
    </w:p>
    <w:p w14:paraId="13272E12" w14:textId="30E67244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Vidéosurveillance algorithmique</w:t>
      </w:r>
      <w:r>
        <w:rPr>
          <w:rFonts w:ascii="Calibri" w:eastAsia="Calibri" w:hAnsi="Calibri" w:cs="Calibri"/>
          <w:color w:val="1A1A1A"/>
        </w:rPr>
        <w:t xml:space="preserve"> : expérimentation par l’</w:t>
      </w:r>
      <w:r>
        <w:rPr>
          <w:rFonts w:ascii="Calibri" w:eastAsia="Calibri" w:hAnsi="Calibri" w:cs="Calibri"/>
          <w:color w:val="1E88E5"/>
        </w:rPr>
        <w:t>art. 10 de la loi n° 2023-380 du 19 mai 2023</w:t>
      </w:r>
      <w:r>
        <w:rPr>
          <w:rFonts w:ascii="Calibri" w:eastAsia="Calibri" w:hAnsi="Calibri" w:cs="Calibri"/>
          <w:color w:val="1A1A1A"/>
        </w:rPr>
        <w:t xml:space="preserve"> (Jeux olympiques), validée sous réserves — ni reconnaissance faciale, ni décision automatique (</w:t>
      </w:r>
      <w:r>
        <w:rPr>
          <w:rFonts w:ascii="Calibri" w:eastAsia="Calibri" w:hAnsi="Calibri" w:cs="Calibri"/>
          <w:color w:val="E91E63"/>
        </w:rPr>
        <w:t>2023-850 DC, 17 mai 2023</w:t>
      </w:r>
      <w:r>
        <w:rPr>
          <w:rFonts w:ascii="Calibri" w:eastAsia="Calibri" w:hAnsi="Calibri" w:cs="Calibri"/>
          <w:color w:val="1A1A1A"/>
        </w:rPr>
        <w:t xml:space="preserve">) ; prolongation censurée comme </w:t>
      </w:r>
      <w:r>
        <w:rPr>
          <w:rFonts w:ascii="Calibri" w:eastAsia="Calibri" w:hAnsi="Calibri" w:cs="Calibri"/>
          <w:b/>
          <w:bCs/>
          <w:color w:val="1A1A1A"/>
        </w:rPr>
        <w:t>cavalier législatif</w:t>
      </w:r>
      <w:r>
        <w:rPr>
          <w:rFonts w:ascii="Calibri" w:eastAsia="Calibri" w:hAnsi="Calibri" w:cs="Calibri"/>
          <w:color w:val="1A1A1A"/>
        </w:rPr>
        <w:t xml:space="preserve"> (</w:t>
      </w:r>
      <w:r>
        <w:rPr>
          <w:rFonts w:ascii="Calibri" w:eastAsia="Calibri" w:hAnsi="Calibri" w:cs="Calibri"/>
          <w:color w:val="E91E63"/>
        </w:rPr>
        <w:t>2025-878 DC, 24 avril 2025</w:t>
      </w:r>
      <w:r>
        <w:rPr>
          <w:rFonts w:ascii="Calibri" w:eastAsia="Calibri" w:hAnsi="Calibri" w:cs="Calibri"/>
          <w:color w:val="1A1A1A"/>
        </w:rPr>
        <w:t xml:space="preserve">) ; </w:t>
      </w:r>
      <w:r>
        <w:rPr>
          <w:rFonts w:ascii="Calibri" w:eastAsia="Calibri" w:hAnsi="Calibri" w:cs="Calibri"/>
          <w:b/>
          <w:bCs/>
          <w:color w:val="1A1A1A"/>
        </w:rPr>
        <w:t>nouvelle prorogation jusqu’en 2030</w:t>
      </w:r>
      <w:r>
        <w:rPr>
          <w:rFonts w:ascii="Calibri" w:eastAsia="Calibri" w:hAnsi="Calibri" w:cs="Calibri"/>
          <w:color w:val="1A1A1A"/>
        </w:rPr>
        <w:t xml:space="preserve"> par la </w:t>
      </w:r>
      <w:r>
        <w:rPr>
          <w:rFonts w:ascii="Calibri" w:eastAsia="Calibri" w:hAnsi="Calibri" w:cs="Calibri"/>
          <w:color w:val="1E88E5"/>
        </w:rPr>
        <w:t>loi n° 2026-798 du 18 août 2026</w:t>
      </w:r>
      <w:r>
        <w:rPr>
          <w:rFonts w:ascii="Calibri" w:eastAsia="Calibri" w:hAnsi="Calibri" w:cs="Calibri"/>
          <w:color w:val="1A1A1A"/>
        </w:rPr>
        <w:t xml:space="preserve"> dite « RIPOST » (</w:t>
      </w:r>
      <w:r>
        <w:rPr>
          <w:rFonts w:ascii="Calibri" w:eastAsia="Calibri" w:hAnsi="Calibri" w:cs="Calibri"/>
          <w:color w:val="E91E63"/>
        </w:rPr>
        <w:t>2026-915 DC, 14 août 2026</w:t>
      </w:r>
      <w:r>
        <w:rPr>
          <w:rFonts w:ascii="Calibri" w:eastAsia="Calibri" w:hAnsi="Calibri" w:cs="Calibri"/>
          <w:color w:val="1A1A1A"/>
        </w:rPr>
        <w:t xml:space="preserve">). </w:t>
      </w:r>
      <w:r w:rsidRPr="0064035B">
        <w:rPr>
          <w:rFonts w:ascii="Calibri" w:eastAsia="Calibri" w:hAnsi="Calibri" w:cs="Calibri"/>
          <w:b/>
          <w:bCs/>
          <w:color w:val="EE0000"/>
          <w:u w:val="single"/>
        </w:rPr>
        <w:t>Hors cadre légal, le dispositif est illégal</w:t>
      </w:r>
      <w:r>
        <w:rPr>
          <w:rFonts w:ascii="Calibri" w:eastAsia="Calibri" w:hAnsi="Calibri" w:cs="Calibri"/>
          <w:color w:val="1A1A1A"/>
        </w:rPr>
        <w:t xml:space="preserve"> (</w:t>
      </w:r>
      <w:r>
        <w:rPr>
          <w:rFonts w:ascii="Calibri" w:eastAsia="Calibri" w:hAnsi="Calibri" w:cs="Calibri"/>
          <w:color w:val="E91E63"/>
        </w:rPr>
        <w:t>TA Caen, ord., 22 novembre 2023, BriefCam</w:t>
      </w:r>
      <w:r>
        <w:rPr>
          <w:rFonts w:ascii="Calibri" w:eastAsia="Calibri" w:hAnsi="Calibri" w:cs="Calibri"/>
          <w:color w:val="1A1A1A"/>
        </w:rPr>
        <w:t>).</w:t>
      </w:r>
    </w:p>
    <w:p w14:paraId="611F22E8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color w:val="1A1A1A"/>
        </w:rPr>
        <w:lastRenderedPageBreak/>
        <w:t xml:space="preserve">★ </w:t>
      </w:r>
      <w:r w:rsidRPr="0064035B">
        <w:rPr>
          <w:rFonts w:ascii="Calibri" w:eastAsia="Calibri" w:hAnsi="Calibri" w:cs="Calibri"/>
          <w:b/>
          <w:bCs/>
          <w:color w:val="1A1A1A"/>
          <w:highlight w:val="yellow"/>
        </w:rPr>
        <w:t>Vérification de l’âge en ligne</w:t>
      </w:r>
      <w:r>
        <w:rPr>
          <w:rFonts w:ascii="Calibri" w:eastAsia="Calibri" w:hAnsi="Calibri" w:cs="Calibri"/>
          <w:color w:val="1A1A1A"/>
        </w:rPr>
        <w:t xml:space="preserve"> : </w:t>
      </w:r>
      <w:r>
        <w:rPr>
          <w:rFonts w:ascii="Calibri" w:eastAsia="Calibri" w:hAnsi="Calibri" w:cs="Calibri"/>
          <w:color w:val="E91E63"/>
        </w:rPr>
        <w:t>Cons. const., 2026-911 DC, 14 août 2026</w:t>
      </w:r>
      <w:r>
        <w:rPr>
          <w:rFonts w:ascii="Calibri" w:eastAsia="Calibri" w:hAnsi="Calibri" w:cs="Calibri"/>
          <w:color w:val="1A1A1A"/>
        </w:rPr>
        <w:t xml:space="preserve"> — l’interdiction des réseaux sociaux aux moins de quinze ans obligeait </w:t>
      </w:r>
      <w:r>
        <w:rPr>
          <w:rFonts w:ascii="Calibri" w:eastAsia="Calibri" w:hAnsi="Calibri" w:cs="Calibri"/>
          <w:b/>
          <w:bCs/>
          <w:color w:val="1A1A1A"/>
        </w:rPr>
        <w:t>toute personne, même majeure</w:t>
      </w:r>
      <w:r>
        <w:rPr>
          <w:rFonts w:ascii="Calibri" w:eastAsia="Calibri" w:hAnsi="Calibri" w:cs="Calibri"/>
          <w:color w:val="1A1A1A"/>
        </w:rPr>
        <w:t>, à prouver son âge, sans garantie légale encadrant cette justification : atteinte à la vie privée des majeurs (§ 19 à 21). Réécriture notifiée à la Commission le 14 septembre 2026 (jeton délivré par un tiers de confiance).</w:t>
      </w:r>
    </w:p>
    <w:p w14:paraId="028B0B3B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color w:val="2E7D32"/>
        </w:rPr>
        <w:t>Doctrine</w:t>
      </w:r>
      <w:r>
        <w:rPr>
          <w:rFonts w:ascii="Calibri" w:eastAsia="Calibri" w:hAnsi="Calibri" w:cs="Calibri"/>
          <w:color w:val="1A1A1A"/>
        </w:rPr>
        <w:t xml:space="preserve"> : </w:t>
      </w:r>
      <w:r>
        <w:rPr>
          <w:rFonts w:ascii="Calibri" w:eastAsia="Calibri" w:hAnsi="Calibri" w:cs="Calibri"/>
          <w:color w:val="2E7D32"/>
        </w:rPr>
        <w:t>Michel Foucault, Surveiller et punir (1975)</w:t>
      </w:r>
      <w:r>
        <w:rPr>
          <w:rFonts w:ascii="Calibri" w:eastAsia="Calibri" w:hAnsi="Calibri" w:cs="Calibri"/>
          <w:color w:val="1A1A1A"/>
        </w:rPr>
        <w:t xml:space="preserve"> et le panoptique de </w:t>
      </w:r>
      <w:r>
        <w:rPr>
          <w:rFonts w:ascii="Calibri" w:eastAsia="Calibri" w:hAnsi="Calibri" w:cs="Calibri"/>
          <w:color w:val="2E7D32"/>
        </w:rPr>
        <w:t>Bentham</w:t>
      </w:r>
      <w:r>
        <w:rPr>
          <w:rFonts w:ascii="Calibri" w:eastAsia="Calibri" w:hAnsi="Calibri" w:cs="Calibri"/>
          <w:color w:val="1A1A1A"/>
        </w:rPr>
        <w:t xml:space="preserve"> — le pouvoir qui voit sans être vu ; </w:t>
      </w:r>
      <w:r>
        <w:rPr>
          <w:rFonts w:ascii="Calibri" w:eastAsia="Calibri" w:hAnsi="Calibri" w:cs="Calibri"/>
          <w:color w:val="2E7D32"/>
        </w:rPr>
        <w:t>Shoshana Zuboff, L’Âge du capitalisme de surveillance (2019)</w:t>
      </w:r>
      <w:r>
        <w:rPr>
          <w:rFonts w:ascii="Calibri" w:eastAsia="Calibri" w:hAnsi="Calibri" w:cs="Calibri"/>
          <w:color w:val="1A1A1A"/>
        </w:rPr>
        <w:t xml:space="preserve"> — la donnée comportementale comme matière première ; </w:t>
      </w:r>
      <w:r>
        <w:rPr>
          <w:rFonts w:ascii="Calibri" w:eastAsia="Calibri" w:hAnsi="Calibri" w:cs="Calibri"/>
          <w:color w:val="2E7D32"/>
        </w:rPr>
        <w:t>George Orwell, 1984</w:t>
      </w:r>
      <w:r>
        <w:rPr>
          <w:rFonts w:ascii="Calibri" w:eastAsia="Calibri" w:hAnsi="Calibri" w:cs="Calibri"/>
          <w:color w:val="1A1A1A"/>
        </w:rPr>
        <w:t>.</w:t>
      </w:r>
    </w:p>
    <w:p w14:paraId="2B3A8DF5" w14:textId="77777777" w:rsidR="00C05C80" w:rsidRDefault="00000000">
      <w:pPr>
        <w:pStyle w:val="Titre2"/>
        <w:spacing w:before="280" w:after="12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5. Débats doctrinaux et critiques</w:t>
      </w:r>
    </w:p>
    <w:p w14:paraId="0064BA57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Une notion « attrape-tout » : force ou faiblesse ?</w:t>
      </w:r>
      <w:r>
        <w:rPr>
          <w:rFonts w:ascii="Calibri" w:eastAsia="Calibri" w:hAnsi="Calibri" w:cs="Calibri"/>
          <w:color w:val="1A1A1A"/>
        </w:rPr>
        <w:t xml:space="preserve"> — L’extension de l’</w:t>
      </w:r>
      <w:r>
        <w:rPr>
          <w:rFonts w:ascii="Calibri" w:eastAsia="Calibri" w:hAnsi="Calibri" w:cs="Calibri"/>
          <w:color w:val="1E88E5"/>
        </w:rPr>
        <w:t>art. 8</w:t>
      </w:r>
      <w:r>
        <w:rPr>
          <w:rFonts w:ascii="Calibri" w:eastAsia="Calibri" w:hAnsi="Calibri" w:cs="Calibri"/>
          <w:color w:val="1A1A1A"/>
        </w:rPr>
        <w:t xml:space="preserve"> assure l’</w:t>
      </w:r>
      <w:r>
        <w:rPr>
          <w:rFonts w:ascii="Calibri" w:eastAsia="Calibri" w:hAnsi="Calibri" w:cs="Calibri"/>
          <w:b/>
          <w:bCs/>
          <w:color w:val="1A1A1A"/>
        </w:rPr>
        <w:t>effectivité</w:t>
      </w:r>
      <w:r>
        <w:rPr>
          <w:rFonts w:ascii="Calibri" w:eastAsia="Calibri" w:hAnsi="Calibri" w:cs="Calibri"/>
          <w:color w:val="1A1A1A"/>
        </w:rPr>
        <w:t xml:space="preserve"> de la Convention (instrument vivant) ; mais elle dilue la notion et accroît la place de la </w:t>
      </w:r>
      <w:r>
        <w:rPr>
          <w:rFonts w:ascii="Calibri" w:eastAsia="Calibri" w:hAnsi="Calibri" w:cs="Calibri"/>
          <w:b/>
          <w:bCs/>
          <w:color w:val="1A1A1A"/>
        </w:rPr>
        <w:t>marge nationale d’appréciation</w:t>
      </w:r>
      <w:r>
        <w:rPr>
          <w:rFonts w:ascii="Calibri" w:eastAsia="Calibri" w:hAnsi="Calibri" w:cs="Calibri"/>
          <w:color w:val="1A1A1A"/>
        </w:rPr>
        <w:t>, qui reprend d’une main ce que l’extension donne de l’autre (</w:t>
      </w:r>
      <w:r>
        <w:rPr>
          <w:rFonts w:ascii="Calibri" w:eastAsia="Calibri" w:hAnsi="Calibri" w:cs="Calibri"/>
          <w:color w:val="E91E63"/>
        </w:rPr>
        <w:t>Odièvre</w:t>
      </w:r>
      <w:r>
        <w:rPr>
          <w:rFonts w:ascii="Calibri" w:eastAsia="Calibri" w:hAnsi="Calibri" w:cs="Calibri"/>
          <w:color w:val="1A1A1A"/>
        </w:rPr>
        <w:t>).</w:t>
      </w:r>
    </w:p>
    <w:p w14:paraId="334D46EA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Contrôle constitutionnel « théoriquement rigoureux, pratiquement restreint »</w:t>
      </w:r>
      <w:r>
        <w:rPr>
          <w:rFonts w:ascii="Calibri" w:eastAsia="Calibri" w:hAnsi="Calibri" w:cs="Calibri"/>
          <w:color w:val="1A1A1A"/>
        </w:rPr>
        <w:t xml:space="preserve"> : le Conseil affirme une exigence de proportionnalité, mais se limite souvent à l’erreur manifeste (relevé du fascicule) — d’où le rôle supplétif de la Cour de justice et de la Cour européenne, plus exigeantes en matière de surveillance et de données (fiche 35).</w:t>
      </w:r>
    </w:p>
    <w:p w14:paraId="36A65866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Le « rien à cacher »</w:t>
      </w:r>
      <w:r>
        <w:rPr>
          <w:rFonts w:ascii="Calibri" w:eastAsia="Calibri" w:hAnsi="Calibri" w:cs="Calibri"/>
          <w:color w:val="1A1A1A"/>
        </w:rPr>
        <w:t xml:space="preserve"> : l’argument confond secret et culpabilité. La vie privée protège moins ce que l’on cache que </w:t>
      </w:r>
      <w:r>
        <w:rPr>
          <w:rFonts w:ascii="Calibri" w:eastAsia="Calibri" w:hAnsi="Calibri" w:cs="Calibri"/>
          <w:b/>
          <w:bCs/>
          <w:color w:val="1A1A1A"/>
        </w:rPr>
        <w:t>la possibilité de penser, d’échanger et de se tromper sans être observé</w:t>
      </w:r>
      <w:r>
        <w:rPr>
          <w:rFonts w:ascii="Calibri" w:eastAsia="Calibri" w:hAnsi="Calibri" w:cs="Calibri"/>
          <w:color w:val="1A1A1A"/>
        </w:rPr>
        <w:t xml:space="preserve"> — condition de la liberté d’expression et d’opinion.</w:t>
      </w:r>
    </w:p>
    <w:p w14:paraId="269A1DAB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Repli de la protection face à la presse ?</w:t>
      </w:r>
      <w:r>
        <w:rPr>
          <w:rFonts w:ascii="Calibri" w:eastAsia="Calibri" w:hAnsi="Calibri" w:cs="Calibri"/>
          <w:color w:val="1A1A1A"/>
        </w:rPr>
        <w:t xml:space="preserve"> — Depuis 2012, la grille </w:t>
      </w:r>
      <w:r>
        <w:rPr>
          <w:rFonts w:ascii="Calibri" w:eastAsia="Calibri" w:hAnsi="Calibri" w:cs="Calibri"/>
          <w:color w:val="E91E63"/>
        </w:rPr>
        <w:t>Von Hannover n° 2</w:t>
      </w:r>
      <w:r>
        <w:rPr>
          <w:rFonts w:ascii="Calibri" w:eastAsia="Calibri" w:hAnsi="Calibri" w:cs="Calibri"/>
          <w:color w:val="1A1A1A"/>
        </w:rPr>
        <w:t xml:space="preserve"> favorise la liberté d’expression dès qu’un débat d’intérêt général est identifié ; le droit à la voix de 2026 confirme cette logique : </w:t>
      </w:r>
      <w:r>
        <w:rPr>
          <w:rFonts w:ascii="Calibri" w:eastAsia="Calibri" w:hAnsi="Calibri" w:cs="Calibri"/>
          <w:b/>
          <w:bCs/>
          <w:color w:val="1A1A1A"/>
        </w:rPr>
        <w:t>chaque nouveau droit de la personnalité naît soumis à la balance</w:t>
      </w:r>
      <w:r>
        <w:rPr>
          <w:rFonts w:ascii="Calibri" w:eastAsia="Calibri" w:hAnsi="Calibri" w:cs="Calibri"/>
          <w:color w:val="1A1A1A"/>
        </w:rPr>
        <w:t>.</w:t>
      </w:r>
    </w:p>
    <w:p w14:paraId="0170F015" w14:textId="77777777" w:rsidR="00C05C80" w:rsidRDefault="00000000">
      <w:pPr>
        <w:pStyle w:val="Titre2"/>
        <w:spacing w:before="280" w:after="12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6. Dispositif « Grand Oral »</w:t>
      </w:r>
    </w:p>
    <w:p w14:paraId="64B709A1" w14:textId="77777777" w:rsidR="00C05C80" w:rsidRDefault="00000000">
      <w:pPr>
        <w:pStyle w:val="Titre3"/>
        <w:spacing w:before="200" w:after="90"/>
      </w:pPr>
      <w:r>
        <w:rPr>
          <w:rFonts w:ascii="Calibri" w:eastAsia="Calibri" w:hAnsi="Calibri" w:cs="Calibri"/>
          <w:b/>
          <w:bCs/>
          <w:i/>
          <w:iCs/>
          <w:color w:val="5A5A5A"/>
          <w:sz w:val="21"/>
          <w:szCs w:val="21"/>
        </w:rPr>
        <w:t>6.1. Trois relances / questions pièges</w:t>
      </w:r>
    </w:p>
    <w:p w14:paraId="5CF94193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« La vie privée est-elle une liberté individuelle au sens de l’article 66 ? »</w:t>
      </w:r>
      <w:r>
        <w:rPr>
          <w:rFonts w:ascii="Calibri" w:eastAsia="Calibri" w:hAnsi="Calibri" w:cs="Calibri"/>
          <w:color w:val="1A1A1A"/>
        </w:rPr>
        <w:t xml:space="preserve"> — Non depuis </w:t>
      </w:r>
      <w:r>
        <w:rPr>
          <w:rFonts w:ascii="Calibri" w:eastAsia="Calibri" w:hAnsi="Calibri" w:cs="Calibri"/>
          <w:color w:val="E91E63"/>
        </w:rPr>
        <w:t>99-416 DC</w:t>
      </w:r>
      <w:r>
        <w:rPr>
          <w:rFonts w:ascii="Calibri" w:eastAsia="Calibri" w:hAnsi="Calibri" w:cs="Calibri"/>
          <w:color w:val="1A1A1A"/>
        </w:rPr>
        <w:t xml:space="preserve"> : elle relève de la liberté de l’</w:t>
      </w:r>
      <w:r>
        <w:rPr>
          <w:rFonts w:ascii="Calibri" w:eastAsia="Calibri" w:hAnsi="Calibri" w:cs="Calibri"/>
          <w:color w:val="1E88E5"/>
        </w:rPr>
        <w:t>art. 2 DDHC</w:t>
      </w:r>
      <w:r>
        <w:rPr>
          <w:rFonts w:ascii="Calibri" w:eastAsia="Calibri" w:hAnsi="Calibri" w:cs="Calibri"/>
          <w:color w:val="1A1A1A"/>
        </w:rPr>
        <w:t>. Conséquence pratique : le juge administratif en connaît (référé-liberté), et la répartition des compétences n’est plus commandée par l’</w:t>
      </w:r>
      <w:r>
        <w:rPr>
          <w:rFonts w:ascii="Calibri" w:eastAsia="Calibri" w:hAnsi="Calibri" w:cs="Calibri"/>
          <w:color w:val="1E88E5"/>
        </w:rPr>
        <w:t>art. 66</w:t>
      </w:r>
      <w:r>
        <w:rPr>
          <w:rFonts w:ascii="Calibri" w:eastAsia="Calibri" w:hAnsi="Calibri" w:cs="Calibri"/>
          <w:color w:val="1A1A1A"/>
        </w:rPr>
        <w:t>.</w:t>
      </w:r>
    </w:p>
    <w:p w14:paraId="615592C5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« Une personnalité photographiée dans la rue peut-elle s’opposer à la publication ? »</w:t>
      </w:r>
      <w:r>
        <w:rPr>
          <w:rFonts w:ascii="Calibri" w:eastAsia="Calibri" w:hAnsi="Calibri" w:cs="Calibri"/>
          <w:color w:val="1A1A1A"/>
        </w:rPr>
        <w:t xml:space="preserve"> — Oui en principe (</w:t>
      </w:r>
      <w:r>
        <w:rPr>
          <w:rFonts w:ascii="Calibri" w:eastAsia="Calibri" w:hAnsi="Calibri" w:cs="Calibri"/>
          <w:color w:val="E91E63"/>
        </w:rPr>
        <w:t xml:space="preserve">Von </w:t>
      </w:r>
      <w:r w:rsidRPr="002E1C89">
        <w:rPr>
          <w:rFonts w:ascii="Calibri" w:eastAsia="Calibri" w:hAnsi="Calibri" w:cs="Calibri"/>
          <w:color w:val="E91D62"/>
        </w:rPr>
        <w:t>Hannover, 2004</w:t>
      </w:r>
      <w:r>
        <w:rPr>
          <w:rFonts w:ascii="Calibri" w:eastAsia="Calibri" w:hAnsi="Calibri" w:cs="Calibri"/>
          <w:color w:val="1A1A1A"/>
        </w:rPr>
        <w:t xml:space="preserve">), mais la balance des critères de </w:t>
      </w:r>
      <w:r>
        <w:rPr>
          <w:rFonts w:ascii="Calibri" w:eastAsia="Calibri" w:hAnsi="Calibri" w:cs="Calibri"/>
          <w:color w:val="E91E63"/>
        </w:rPr>
        <w:t>Von Hannover n° 2</w:t>
      </w:r>
      <w:r>
        <w:rPr>
          <w:rFonts w:ascii="Calibri" w:eastAsia="Calibri" w:hAnsi="Calibri" w:cs="Calibri"/>
          <w:color w:val="1A1A1A"/>
        </w:rPr>
        <w:t xml:space="preserve"> l’emporte si la photographie nourrit un débat d’intérêt général (</w:t>
      </w:r>
      <w:r>
        <w:rPr>
          <w:rFonts w:ascii="Calibri" w:eastAsia="Calibri" w:hAnsi="Calibri" w:cs="Calibri"/>
          <w:color w:val="E91E63"/>
        </w:rPr>
        <w:t xml:space="preserve">Couderc c. </w:t>
      </w:r>
      <w:r w:rsidRPr="002E1C89">
        <w:rPr>
          <w:rFonts w:ascii="Calibri" w:eastAsia="Calibri" w:hAnsi="Calibri" w:cs="Calibri"/>
          <w:color w:val="E91D62"/>
        </w:rPr>
        <w:t>France, 2015</w:t>
      </w:r>
      <w:r>
        <w:rPr>
          <w:rFonts w:ascii="Calibri" w:eastAsia="Calibri" w:hAnsi="Calibri" w:cs="Calibri"/>
          <w:color w:val="1A1A1A"/>
        </w:rPr>
        <w:t>). La dignité reste une limite autonome (</w:t>
      </w:r>
      <w:r w:rsidRPr="002E1C89">
        <w:rPr>
          <w:rFonts w:ascii="Calibri" w:eastAsia="Calibri" w:hAnsi="Calibri" w:cs="Calibri"/>
          <w:color w:val="E91D62"/>
        </w:rPr>
        <w:t>Érignac, 2000</w:t>
      </w:r>
      <w:r>
        <w:rPr>
          <w:rFonts w:ascii="Calibri" w:eastAsia="Calibri" w:hAnsi="Calibri" w:cs="Calibri"/>
          <w:color w:val="1A1A1A"/>
        </w:rPr>
        <w:t>).</w:t>
      </w:r>
    </w:p>
    <w:p w14:paraId="2AEC7EC3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« La vidéosurveillance algorithmique est-elle de la reconnaissance faciale ? »</w:t>
      </w:r>
      <w:r>
        <w:rPr>
          <w:rFonts w:ascii="Calibri" w:eastAsia="Calibri" w:hAnsi="Calibri" w:cs="Calibri"/>
          <w:color w:val="1A1A1A"/>
        </w:rPr>
        <w:t xml:space="preserve"> — Non : elle détecte des </w:t>
      </w:r>
      <w:r>
        <w:rPr>
          <w:rFonts w:ascii="Calibri" w:eastAsia="Calibri" w:hAnsi="Calibri" w:cs="Calibri"/>
          <w:b/>
          <w:bCs/>
          <w:color w:val="1A1A1A"/>
        </w:rPr>
        <w:t>événements</w:t>
      </w:r>
      <w:r>
        <w:rPr>
          <w:rFonts w:ascii="Calibri" w:eastAsia="Calibri" w:hAnsi="Calibri" w:cs="Calibri"/>
          <w:color w:val="1A1A1A"/>
        </w:rPr>
        <w:t xml:space="preserve"> prédéterminés (mouvement de foule, objet abandonné), sans identification biométrique ; la reconnaissance faciale en temps réel par la police dans l’espace public est </w:t>
      </w:r>
      <w:r>
        <w:rPr>
          <w:rFonts w:ascii="Calibri" w:eastAsia="Calibri" w:hAnsi="Calibri" w:cs="Calibri"/>
          <w:b/>
          <w:bCs/>
          <w:color w:val="1A1A1A"/>
        </w:rPr>
        <w:t>interdite par principe</w:t>
      </w:r>
      <w:r>
        <w:rPr>
          <w:rFonts w:ascii="Calibri" w:eastAsia="Calibri" w:hAnsi="Calibri" w:cs="Calibri"/>
          <w:color w:val="1A1A1A"/>
        </w:rPr>
        <w:t xml:space="preserve"> par l’</w:t>
      </w:r>
      <w:r>
        <w:rPr>
          <w:rFonts w:ascii="Calibri" w:eastAsia="Calibri" w:hAnsi="Calibri" w:cs="Calibri"/>
          <w:color w:val="1E88E5"/>
        </w:rPr>
        <w:t>art. 5 du règlement (UE) 2024/1689</w:t>
      </w:r>
      <w:r>
        <w:rPr>
          <w:rFonts w:ascii="Calibri" w:eastAsia="Calibri" w:hAnsi="Calibri" w:cs="Calibri"/>
          <w:color w:val="1A1A1A"/>
        </w:rPr>
        <w:t xml:space="preserve">, sauf exceptions limitatives. C’est la condition posée par </w:t>
      </w:r>
      <w:r>
        <w:rPr>
          <w:rFonts w:ascii="Calibri" w:eastAsia="Calibri" w:hAnsi="Calibri" w:cs="Calibri"/>
          <w:color w:val="E91E63"/>
        </w:rPr>
        <w:t>2023-850 DC</w:t>
      </w:r>
      <w:r>
        <w:rPr>
          <w:rFonts w:ascii="Calibri" w:eastAsia="Calibri" w:hAnsi="Calibri" w:cs="Calibri"/>
          <w:color w:val="1A1A1A"/>
        </w:rPr>
        <w:t>.</w:t>
      </w:r>
    </w:p>
    <w:p w14:paraId="4DC7C798" w14:textId="77777777" w:rsidR="00C05C80" w:rsidRDefault="00000000">
      <w:pPr>
        <w:pStyle w:val="Titre3"/>
        <w:spacing w:before="200" w:after="90"/>
      </w:pPr>
      <w:r>
        <w:rPr>
          <w:rFonts w:ascii="Calibri" w:eastAsia="Calibri" w:hAnsi="Calibri" w:cs="Calibri"/>
          <w:b/>
          <w:bCs/>
          <w:i/>
          <w:iCs/>
          <w:color w:val="5A5A5A"/>
          <w:sz w:val="21"/>
          <w:szCs w:val="21"/>
        </w:rPr>
        <w:t>6.2. Sujets d’exposé rattachables</w:t>
      </w:r>
    </w:p>
    <w:p w14:paraId="0440FA5F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color w:val="1A1A1A"/>
        </w:rPr>
        <w:t xml:space="preserve">La vie privée, notion attrape-tout ? — Vie privée et sécurité — Le droit à l’image — Le droit de connaître ses origines — Vie privée et liberté de la presse — Le domicile — Vie privée et nouvelles technologies — Le secret — Commentaire : </w:t>
      </w:r>
      <w:r>
        <w:rPr>
          <w:rFonts w:ascii="Calibri" w:eastAsia="Calibri" w:hAnsi="Calibri" w:cs="Calibri"/>
          <w:color w:val="E91E63"/>
        </w:rPr>
        <w:t>Dzemyuk c. Ukraine</w:t>
      </w:r>
      <w:r>
        <w:rPr>
          <w:rFonts w:ascii="Calibri" w:eastAsia="Calibri" w:hAnsi="Calibri" w:cs="Calibri"/>
          <w:color w:val="1A1A1A"/>
        </w:rPr>
        <w:t xml:space="preserve"> (sujet « Pour s’entraîner » du fascicule) — Commentaire : </w:t>
      </w:r>
      <w:r>
        <w:rPr>
          <w:rFonts w:ascii="Calibri" w:eastAsia="Calibri" w:hAnsi="Calibri" w:cs="Calibri"/>
          <w:color w:val="E91E63"/>
        </w:rPr>
        <w:t>Cass. 1re civ., 24 juin 2026</w:t>
      </w:r>
      <w:r>
        <w:rPr>
          <w:rFonts w:ascii="Calibri" w:eastAsia="Calibri" w:hAnsi="Calibri" w:cs="Calibri"/>
          <w:color w:val="1A1A1A"/>
        </w:rPr>
        <w:t xml:space="preserve"> (droit à la voix).</w:t>
      </w:r>
    </w:p>
    <w:p w14:paraId="4BD1D46B" w14:textId="77777777" w:rsidR="00C05C80" w:rsidRDefault="00000000">
      <w:pPr>
        <w:pStyle w:val="Titre3"/>
        <w:spacing w:before="200" w:after="90"/>
      </w:pPr>
      <w:r>
        <w:rPr>
          <w:rFonts w:ascii="Calibri" w:eastAsia="Calibri" w:hAnsi="Calibri" w:cs="Calibri"/>
          <w:b/>
          <w:bCs/>
          <w:i/>
          <w:iCs/>
          <w:color w:val="5A5A5A"/>
          <w:sz w:val="21"/>
          <w:szCs w:val="21"/>
        </w:rPr>
        <w:t>6.3. Angles morts — en question / réponse</w:t>
      </w:r>
    </w:p>
    <w:p w14:paraId="4BCEF8C4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Q. Quelle loi a créé l’article 9 du Code civil ?</w:t>
      </w:r>
      <w:r>
        <w:rPr>
          <w:rFonts w:ascii="Calibri" w:eastAsia="Calibri" w:hAnsi="Calibri" w:cs="Calibri"/>
          <w:color w:val="1A1A1A"/>
        </w:rPr>
        <w:t xml:space="preserve"> — La </w:t>
      </w:r>
      <w:r>
        <w:rPr>
          <w:rFonts w:ascii="Calibri" w:eastAsia="Calibri" w:hAnsi="Calibri" w:cs="Calibri"/>
          <w:color w:val="1E88E5"/>
        </w:rPr>
        <w:t>loi n° 70-643 du 17 juillet 1970</w:t>
      </w:r>
      <w:r>
        <w:rPr>
          <w:rFonts w:ascii="Calibri" w:eastAsia="Calibri" w:hAnsi="Calibri" w:cs="Calibri"/>
          <w:color w:val="1A1A1A"/>
        </w:rPr>
        <w:t xml:space="preserve"> tendant à renforcer la garantie des droits individuels des citoyens.</w:t>
      </w:r>
    </w:p>
    <w:p w14:paraId="5E2A669F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Q. La seule atteinte à la vie privée suffit-elle à ouvrir droit à réparation ?</w:t>
      </w:r>
      <w:r>
        <w:rPr>
          <w:rFonts w:ascii="Calibri" w:eastAsia="Calibri" w:hAnsi="Calibri" w:cs="Calibri"/>
          <w:color w:val="1A1A1A"/>
        </w:rPr>
        <w:t xml:space="preserve"> — Oui : la seule constatation de l’atteinte ouvre droit à réparation, sans preuve d’un préjudice distinct (jurisprudence constante de la 1re chambre civile).</w:t>
      </w:r>
    </w:p>
    <w:p w14:paraId="1BAFBF6D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 xml:space="preserve">Q. Qu’a jugé la Cour dans </w:t>
      </w:r>
      <w:r w:rsidRPr="002E1C89">
        <w:rPr>
          <w:rFonts w:ascii="Calibri" w:eastAsia="Calibri" w:hAnsi="Calibri" w:cs="Calibri"/>
          <w:b/>
          <w:bCs/>
          <w:color w:val="E91D62"/>
        </w:rPr>
        <w:t xml:space="preserve">Odièvre </w:t>
      </w:r>
      <w:r>
        <w:rPr>
          <w:rFonts w:ascii="Calibri" w:eastAsia="Calibri" w:hAnsi="Calibri" w:cs="Calibri"/>
          <w:b/>
          <w:bCs/>
          <w:color w:val="1A1A1A"/>
        </w:rPr>
        <w:t>?</w:t>
      </w:r>
      <w:r>
        <w:rPr>
          <w:rFonts w:ascii="Calibri" w:eastAsia="Calibri" w:hAnsi="Calibri" w:cs="Calibri"/>
          <w:color w:val="1A1A1A"/>
        </w:rPr>
        <w:t xml:space="preserve"> — L’</w:t>
      </w:r>
      <w:r>
        <w:rPr>
          <w:rFonts w:ascii="Calibri" w:eastAsia="Calibri" w:hAnsi="Calibri" w:cs="Calibri"/>
          <w:color w:val="1E88E5"/>
        </w:rPr>
        <w:t>art. 8</w:t>
      </w:r>
      <w:r>
        <w:rPr>
          <w:rFonts w:ascii="Calibri" w:eastAsia="Calibri" w:hAnsi="Calibri" w:cs="Calibri"/>
          <w:color w:val="1A1A1A"/>
        </w:rPr>
        <w:t xml:space="preserve"> est applicable, mais l’accouchement sous X, tempéré par la </w:t>
      </w:r>
      <w:r w:rsidRPr="002E1C89">
        <w:rPr>
          <w:rFonts w:ascii="Calibri" w:eastAsia="Calibri" w:hAnsi="Calibri" w:cs="Calibri"/>
          <w:color w:val="0070C0"/>
        </w:rPr>
        <w:t>loi du 22 janvier 2002 (CNAOP)</w:t>
      </w:r>
      <w:r>
        <w:rPr>
          <w:rFonts w:ascii="Calibri" w:eastAsia="Calibri" w:hAnsi="Calibri" w:cs="Calibri"/>
          <w:color w:val="1A1A1A"/>
        </w:rPr>
        <w:t>, ne viole pas la Convention : marge d’appréciation et équilibre entre deux intérêts privés.</w:t>
      </w:r>
    </w:p>
    <w:p w14:paraId="404F6E06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Q. Entre quelles heures une perquisition peut-elle avoir lieu en droit commun ?</w:t>
      </w:r>
      <w:r>
        <w:rPr>
          <w:rFonts w:ascii="Calibri" w:eastAsia="Calibri" w:hAnsi="Calibri" w:cs="Calibri"/>
          <w:color w:val="1A1A1A"/>
        </w:rPr>
        <w:t xml:space="preserve"> — Entre </w:t>
      </w:r>
      <w:r>
        <w:rPr>
          <w:rFonts w:ascii="Calibri" w:eastAsia="Calibri" w:hAnsi="Calibri" w:cs="Calibri"/>
          <w:b/>
          <w:bCs/>
          <w:color w:val="1A1A1A"/>
        </w:rPr>
        <w:t>6 heures et 21 heures</w:t>
      </w:r>
      <w:r>
        <w:rPr>
          <w:rFonts w:ascii="Calibri" w:eastAsia="Calibri" w:hAnsi="Calibri" w:cs="Calibri"/>
          <w:color w:val="1A1A1A"/>
        </w:rPr>
        <w:t xml:space="preserve"> (</w:t>
      </w:r>
      <w:r>
        <w:rPr>
          <w:rFonts w:ascii="Calibri" w:eastAsia="Calibri" w:hAnsi="Calibri" w:cs="Calibri"/>
          <w:color w:val="1E88E5"/>
        </w:rPr>
        <w:t>art. 59 CPP</w:t>
      </w:r>
      <w:r>
        <w:rPr>
          <w:rFonts w:ascii="Calibri" w:eastAsia="Calibri" w:hAnsi="Calibri" w:cs="Calibri"/>
          <w:color w:val="1A1A1A"/>
        </w:rPr>
        <w:t>), sauf réclamation de l’occupant ou exceptions légales.</w:t>
      </w:r>
    </w:p>
    <w:p w14:paraId="423CA336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lastRenderedPageBreak/>
        <w:t>Q. L’article 8 protège-t-il contre la pollution ?</w:t>
      </w:r>
      <w:r>
        <w:rPr>
          <w:rFonts w:ascii="Calibri" w:eastAsia="Calibri" w:hAnsi="Calibri" w:cs="Calibri"/>
          <w:color w:val="1A1A1A"/>
        </w:rPr>
        <w:t xml:space="preserve"> — Oui, par ricochet, si l’atteinte est directe et atteint un seuil de gravité (</w:t>
      </w:r>
      <w:r>
        <w:rPr>
          <w:rFonts w:ascii="Calibri" w:eastAsia="Calibri" w:hAnsi="Calibri" w:cs="Calibri"/>
          <w:color w:val="E91E63"/>
        </w:rPr>
        <w:t xml:space="preserve">López </w:t>
      </w:r>
      <w:r w:rsidRPr="002E1C89">
        <w:rPr>
          <w:rFonts w:ascii="Calibri" w:eastAsia="Calibri" w:hAnsi="Calibri" w:cs="Calibri"/>
          <w:color w:val="E91D62"/>
        </w:rPr>
        <w:t xml:space="preserve">Ostra, 1994 </w:t>
      </w:r>
      <w:r>
        <w:rPr>
          <w:rFonts w:ascii="Calibri" w:eastAsia="Calibri" w:hAnsi="Calibri" w:cs="Calibri"/>
          <w:color w:val="1A1A1A"/>
        </w:rPr>
        <w:t xml:space="preserve">; </w:t>
      </w:r>
      <w:r w:rsidRPr="002E1C89">
        <w:rPr>
          <w:rFonts w:ascii="Calibri" w:eastAsia="Calibri" w:hAnsi="Calibri" w:cs="Calibri"/>
          <w:color w:val="E91D62"/>
        </w:rPr>
        <w:t>Dzemyuk, 2014</w:t>
      </w:r>
      <w:r>
        <w:rPr>
          <w:rFonts w:ascii="Calibri" w:eastAsia="Calibri" w:hAnsi="Calibri" w:cs="Calibri"/>
          <w:color w:val="1A1A1A"/>
        </w:rPr>
        <w:t>) ; la Convention ne consacre pas de droit autonome à l’environnement (</w:t>
      </w:r>
      <w:r w:rsidRPr="002E1C89">
        <w:rPr>
          <w:rFonts w:ascii="Calibri" w:eastAsia="Calibri" w:hAnsi="Calibri" w:cs="Calibri"/>
          <w:color w:val="E91D62"/>
        </w:rPr>
        <w:t>Kyrtatos, 2003</w:t>
      </w:r>
      <w:r>
        <w:rPr>
          <w:rFonts w:ascii="Calibri" w:eastAsia="Calibri" w:hAnsi="Calibri" w:cs="Calibri"/>
          <w:color w:val="1A1A1A"/>
        </w:rPr>
        <w:t>).</w:t>
      </w:r>
    </w:p>
    <w:p w14:paraId="2B4E2FF3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Q. Une preuve obtenue en filmant un salarié à son insu est-elle irrecevable ?</w:t>
      </w:r>
      <w:r>
        <w:rPr>
          <w:rFonts w:ascii="Calibri" w:eastAsia="Calibri" w:hAnsi="Calibri" w:cs="Calibri"/>
          <w:color w:val="1A1A1A"/>
        </w:rPr>
        <w:t xml:space="preserve"> — Plus nécessairement : contrôle de proportionnalité et caractère indispensable au droit à la preuve (</w:t>
      </w:r>
      <w:r>
        <w:rPr>
          <w:rFonts w:ascii="Calibri" w:eastAsia="Calibri" w:hAnsi="Calibri" w:cs="Calibri"/>
          <w:color w:val="E91E63"/>
        </w:rPr>
        <w:t>Cass. ass. plén., 22 décembre 2023</w:t>
      </w:r>
      <w:r>
        <w:rPr>
          <w:rFonts w:ascii="Calibri" w:eastAsia="Calibri" w:hAnsi="Calibri" w:cs="Calibri"/>
          <w:color w:val="1A1A1A"/>
        </w:rPr>
        <w:t>).</w:t>
      </w:r>
    </w:p>
    <w:p w14:paraId="7192553E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Q. Quel organe contrôle les techniques de renseignement en France ?</w:t>
      </w:r>
      <w:r>
        <w:rPr>
          <w:rFonts w:ascii="Calibri" w:eastAsia="Calibri" w:hAnsi="Calibri" w:cs="Calibri"/>
          <w:color w:val="1A1A1A"/>
        </w:rPr>
        <w:t xml:space="preserve"> — La </w:t>
      </w:r>
      <w:r>
        <w:rPr>
          <w:rFonts w:ascii="Calibri" w:eastAsia="Calibri" w:hAnsi="Calibri" w:cs="Calibri"/>
          <w:b/>
          <w:bCs/>
          <w:color w:val="1A1A1A"/>
        </w:rPr>
        <w:t>CNCTR</w:t>
      </w:r>
      <w:r>
        <w:rPr>
          <w:rFonts w:ascii="Calibri" w:eastAsia="Calibri" w:hAnsi="Calibri" w:cs="Calibri"/>
          <w:color w:val="1A1A1A"/>
        </w:rPr>
        <w:t xml:space="preserve"> (avis préalable) et, au contentieux, une formation spécialisée du Conseil d’État (</w:t>
      </w:r>
      <w:r>
        <w:rPr>
          <w:rFonts w:ascii="Calibri" w:eastAsia="Calibri" w:hAnsi="Calibri" w:cs="Calibri"/>
          <w:color w:val="1E88E5"/>
        </w:rPr>
        <w:t>loi du 24 juillet 2015</w:t>
      </w:r>
      <w:r>
        <w:rPr>
          <w:rFonts w:ascii="Calibri" w:eastAsia="Calibri" w:hAnsi="Calibri" w:cs="Calibri"/>
          <w:color w:val="1A1A1A"/>
        </w:rPr>
        <w:t>).</w:t>
      </w:r>
    </w:p>
    <w:p w14:paraId="15DD0ECE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Q. Le droit à la voix est-il un droit autonome ?</w:t>
      </w:r>
      <w:r>
        <w:rPr>
          <w:rFonts w:ascii="Calibri" w:eastAsia="Calibri" w:hAnsi="Calibri" w:cs="Calibri"/>
          <w:color w:val="1A1A1A"/>
        </w:rPr>
        <w:t xml:space="preserve"> — Non : la Cour de cassation l’inclut dans le droit au respect de la vie privée de l’</w:t>
      </w:r>
      <w:r>
        <w:rPr>
          <w:rFonts w:ascii="Calibri" w:eastAsia="Calibri" w:hAnsi="Calibri" w:cs="Calibri"/>
          <w:color w:val="1E88E5"/>
        </w:rPr>
        <w:t>art. 9 C. civ.</w:t>
      </w:r>
      <w:r>
        <w:rPr>
          <w:rFonts w:ascii="Calibri" w:eastAsia="Calibri" w:hAnsi="Calibri" w:cs="Calibri"/>
          <w:color w:val="1A1A1A"/>
        </w:rPr>
        <w:t>, au même titre que l’image (</w:t>
      </w:r>
      <w:r>
        <w:rPr>
          <w:rFonts w:ascii="Calibri" w:eastAsia="Calibri" w:hAnsi="Calibri" w:cs="Calibri"/>
          <w:color w:val="E91E63"/>
        </w:rPr>
        <w:t>Cass. 1re civ., 24 juin 2026</w:t>
      </w:r>
      <w:r>
        <w:rPr>
          <w:rFonts w:ascii="Calibri" w:eastAsia="Calibri" w:hAnsi="Calibri" w:cs="Calibri"/>
          <w:color w:val="1A1A1A"/>
        </w:rPr>
        <w:t>).</w:t>
      </w:r>
    </w:p>
    <w:p w14:paraId="5C8DC23C" w14:textId="77777777" w:rsidR="00C05C80" w:rsidRDefault="00000000">
      <w:r>
        <w:br w:type="page"/>
      </w:r>
    </w:p>
    <w:p w14:paraId="456169FD" w14:textId="77777777" w:rsidR="00C05C80" w:rsidRDefault="00000000">
      <w:pPr>
        <w:pStyle w:val="Titre1"/>
        <w:pBdr>
          <w:bottom w:val="single" w:sz="12" w:space="6" w:color="8C1C2B"/>
        </w:pBdr>
        <w:spacing w:before="240" w:after="200"/>
      </w:pPr>
      <w:r>
        <w:rPr>
          <w:rFonts w:ascii="Calibri" w:eastAsia="Calibri" w:hAnsi="Calibri" w:cs="Calibri"/>
          <w:b/>
          <w:bCs/>
          <w:color w:val="8C1C2B"/>
          <w:sz w:val="30"/>
          <w:szCs w:val="30"/>
        </w:rPr>
        <w:lastRenderedPageBreak/>
        <w:t>FICHE N° 34 — LE DROIT À LA VIE FAMILIALE</w:t>
      </w:r>
    </w:p>
    <w:p w14:paraId="452BE1DB" w14:textId="77777777" w:rsidR="00C05C80" w:rsidRDefault="00000000">
      <w:pPr>
        <w:pStyle w:val="Titre2"/>
        <w:spacing w:before="280" w:after="12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◆ FICHE-MÉMOIRE — à réviser en trois minutes</w:t>
      </w:r>
    </w:p>
    <w:p w14:paraId="3F846B52" w14:textId="77777777" w:rsidR="00C05C80" w:rsidRDefault="00000000">
      <w:pPr>
        <w:pStyle w:val="Titre3"/>
        <w:spacing w:before="200" w:after="90"/>
      </w:pPr>
      <w:r>
        <w:rPr>
          <w:rFonts w:ascii="Calibri" w:eastAsia="Calibri" w:hAnsi="Calibri" w:cs="Calibri"/>
          <w:b/>
          <w:bCs/>
          <w:i/>
          <w:iCs/>
          <w:color w:val="5A5A5A"/>
          <w:sz w:val="21"/>
          <w:szCs w:val="21"/>
        </w:rPr>
        <w:t>Accroche</w:t>
      </w:r>
    </w:p>
    <w:p w14:paraId="5615FDAF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color w:val="1A1A1A"/>
        </w:rPr>
        <w:t xml:space="preserve">« </w:t>
      </w:r>
      <w:r>
        <w:rPr>
          <w:rFonts w:ascii="Calibri" w:eastAsia="Calibri" w:hAnsi="Calibri" w:cs="Calibri"/>
          <w:color w:val="2E7D32"/>
        </w:rPr>
        <w:t>À chacun sa famille, à chacun son droit</w:t>
      </w:r>
      <w:r>
        <w:rPr>
          <w:rFonts w:ascii="Calibri" w:eastAsia="Calibri" w:hAnsi="Calibri" w:cs="Calibri"/>
          <w:color w:val="1A1A1A"/>
        </w:rPr>
        <w:t xml:space="preserve">. » La formule du doyen </w:t>
      </w:r>
      <w:r>
        <w:rPr>
          <w:rFonts w:ascii="Calibri" w:eastAsia="Calibri" w:hAnsi="Calibri" w:cs="Calibri"/>
          <w:color w:val="2E7D32"/>
        </w:rPr>
        <w:t>Jean Carbonnier</w:t>
      </w:r>
      <w:r>
        <w:rPr>
          <w:rFonts w:ascii="Calibri" w:eastAsia="Calibri" w:hAnsi="Calibri" w:cs="Calibri"/>
          <w:color w:val="1A1A1A"/>
        </w:rPr>
        <w:t>, artisan des grandes réformes du droit de la famille des années 1960-1970, résume le mouvement que l’</w:t>
      </w:r>
      <w:r>
        <w:rPr>
          <w:rFonts w:ascii="Calibri" w:eastAsia="Calibri" w:hAnsi="Calibri" w:cs="Calibri"/>
          <w:color w:val="1E88E5"/>
        </w:rPr>
        <w:t>art. 8 CEDH</w:t>
      </w:r>
      <w:r>
        <w:rPr>
          <w:rFonts w:ascii="Calibri" w:eastAsia="Calibri" w:hAnsi="Calibri" w:cs="Calibri"/>
          <w:color w:val="1A1A1A"/>
        </w:rPr>
        <w:t xml:space="preserve"> a accéléré : la famille n’est plus une institution définie d’en haut, mais une </w:t>
      </w:r>
      <w:r>
        <w:rPr>
          <w:rFonts w:ascii="Calibri" w:eastAsia="Calibri" w:hAnsi="Calibri" w:cs="Calibri"/>
          <w:b/>
          <w:bCs/>
          <w:color w:val="1A1A1A"/>
        </w:rPr>
        <w:t>réalité de fait</w:t>
      </w:r>
      <w:r>
        <w:rPr>
          <w:rFonts w:ascii="Calibri" w:eastAsia="Calibri" w:hAnsi="Calibri" w:cs="Calibri"/>
          <w:color w:val="1A1A1A"/>
        </w:rPr>
        <w:t xml:space="preserve"> que le droit constate. Le 3 juillet 2026, l’assemblée plénière de la Cour de cassation en tire une conséquence spectaculaire : la GPA reste interdite, mais la filiation de l’enfant né à l’étranger est reconnue </w:t>
      </w:r>
      <w:r>
        <w:rPr>
          <w:rFonts w:ascii="Calibri" w:eastAsia="Calibri" w:hAnsi="Calibri" w:cs="Calibri"/>
          <w:b/>
          <w:bCs/>
          <w:color w:val="1A1A1A"/>
        </w:rPr>
        <w:t>telle quelle</w:t>
      </w:r>
      <w:r>
        <w:rPr>
          <w:rFonts w:ascii="Calibri" w:eastAsia="Calibri" w:hAnsi="Calibri" w:cs="Calibri"/>
          <w:color w:val="1A1A1A"/>
        </w:rPr>
        <w:t>.</w:t>
      </w:r>
    </w:p>
    <w:p w14:paraId="24B1F4B3" w14:textId="77777777" w:rsidR="00C05C80" w:rsidRPr="00D91263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  <w:rPr>
          <w:highlight w:val="yellow"/>
        </w:rPr>
      </w:pPr>
      <w:r>
        <w:rPr>
          <w:rFonts w:ascii="Calibri" w:eastAsia="Calibri" w:hAnsi="Calibri" w:cs="Calibri"/>
          <w:color w:val="1A1A1A"/>
        </w:rPr>
        <w:t xml:space="preserve">Accroche alternative : </w:t>
      </w:r>
      <w:r>
        <w:rPr>
          <w:rFonts w:ascii="Calibri" w:eastAsia="Calibri" w:hAnsi="Calibri" w:cs="Calibri"/>
          <w:color w:val="E91E63"/>
        </w:rPr>
        <w:t>CEDH, 23 janvier 2025, H.W. c. France</w:t>
      </w:r>
      <w:r>
        <w:rPr>
          <w:rFonts w:ascii="Calibri" w:eastAsia="Calibri" w:hAnsi="Calibri" w:cs="Calibri"/>
          <w:color w:val="1A1A1A"/>
        </w:rPr>
        <w:t xml:space="preserve"> — un divorce prononcé aux torts d’une épouse qui refusait les relations sexuelles viole l’</w:t>
      </w:r>
      <w:r>
        <w:rPr>
          <w:rFonts w:ascii="Calibri" w:eastAsia="Calibri" w:hAnsi="Calibri" w:cs="Calibri"/>
          <w:color w:val="1E88E5"/>
        </w:rPr>
        <w:t>art. 8</w:t>
      </w:r>
      <w:r>
        <w:rPr>
          <w:rFonts w:ascii="Calibri" w:eastAsia="Calibri" w:hAnsi="Calibri" w:cs="Calibri"/>
          <w:color w:val="1A1A1A"/>
        </w:rPr>
        <w:t xml:space="preserve">. Le mariage ne vaut plus consentement anticipé : </w:t>
      </w:r>
      <w:r w:rsidRPr="00D91263">
        <w:rPr>
          <w:rFonts w:ascii="Calibri" w:eastAsia="Calibri" w:hAnsi="Calibri" w:cs="Calibri"/>
          <w:b/>
          <w:bCs/>
          <w:color w:val="1A1A1A"/>
          <w:highlight w:val="yellow"/>
        </w:rPr>
        <w:t>la famille est désormais pensée à partir des droits de chacun de ses membres</w:t>
      </w:r>
      <w:r w:rsidRPr="00D91263">
        <w:rPr>
          <w:rFonts w:ascii="Calibri" w:eastAsia="Calibri" w:hAnsi="Calibri" w:cs="Calibri"/>
          <w:color w:val="1A1A1A"/>
          <w:highlight w:val="yellow"/>
        </w:rPr>
        <w:t>.</w:t>
      </w:r>
    </w:p>
    <w:p w14:paraId="5A052D80" w14:textId="77777777" w:rsidR="00C05C80" w:rsidRDefault="00000000">
      <w:pPr>
        <w:pStyle w:val="Titre3"/>
        <w:spacing w:before="200" w:after="90"/>
      </w:pPr>
      <w:r>
        <w:rPr>
          <w:rFonts w:ascii="Calibri" w:eastAsia="Calibri" w:hAnsi="Calibri" w:cs="Calibri"/>
          <w:b/>
          <w:bCs/>
          <w:i/>
          <w:iCs/>
          <w:color w:val="5A5A5A"/>
          <w:sz w:val="21"/>
          <w:szCs w:val="21"/>
        </w:rPr>
        <w:t>Définition en trois lignes</w:t>
      </w:r>
    </w:p>
    <w:p w14:paraId="13AF635D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color w:val="1A1A1A"/>
        </w:rPr>
        <w:t xml:space="preserve">La vie familiale est une </w:t>
      </w:r>
      <w:r>
        <w:rPr>
          <w:rFonts w:ascii="Calibri" w:eastAsia="Calibri" w:hAnsi="Calibri" w:cs="Calibri"/>
          <w:b/>
          <w:bCs/>
          <w:color w:val="1A1A1A"/>
        </w:rPr>
        <w:t>notion autonome</w:t>
      </w:r>
      <w:r>
        <w:rPr>
          <w:rFonts w:ascii="Calibri" w:eastAsia="Calibri" w:hAnsi="Calibri" w:cs="Calibri"/>
          <w:color w:val="1A1A1A"/>
        </w:rPr>
        <w:t xml:space="preserve">, appréciée </w:t>
      </w:r>
      <w:r>
        <w:rPr>
          <w:rFonts w:ascii="Calibri" w:eastAsia="Calibri" w:hAnsi="Calibri" w:cs="Calibri"/>
          <w:b/>
          <w:bCs/>
          <w:color w:val="1A1A1A"/>
        </w:rPr>
        <w:t>concrètement</w:t>
      </w:r>
      <w:r>
        <w:rPr>
          <w:rFonts w:ascii="Calibri" w:eastAsia="Calibri" w:hAnsi="Calibri" w:cs="Calibri"/>
          <w:color w:val="1A1A1A"/>
        </w:rPr>
        <w:t xml:space="preserve"> par la Cour européenne : elle suppose des </w:t>
      </w:r>
      <w:r>
        <w:rPr>
          <w:rFonts w:ascii="Calibri" w:eastAsia="Calibri" w:hAnsi="Calibri" w:cs="Calibri"/>
          <w:b/>
          <w:bCs/>
          <w:color w:val="1A1A1A"/>
        </w:rPr>
        <w:t>liens personnels étroits et effectifs</w:t>
      </w:r>
      <w:r>
        <w:rPr>
          <w:rFonts w:ascii="Calibri" w:eastAsia="Calibri" w:hAnsi="Calibri" w:cs="Calibri"/>
          <w:color w:val="1A1A1A"/>
        </w:rPr>
        <w:t>, issus du mariage, de la filiation ou d’une relation de fait (</w:t>
      </w:r>
      <w:r w:rsidRPr="00D91263">
        <w:rPr>
          <w:rFonts w:ascii="Calibri" w:eastAsia="Calibri" w:hAnsi="Calibri" w:cs="Calibri"/>
          <w:color w:val="E91D62"/>
        </w:rPr>
        <w:t>Marckx, 1979</w:t>
      </w:r>
      <w:r>
        <w:rPr>
          <w:rFonts w:ascii="Calibri" w:eastAsia="Calibri" w:hAnsi="Calibri" w:cs="Calibri"/>
          <w:color w:val="1A1A1A"/>
        </w:rPr>
        <w:t xml:space="preserve">). Elle protège la </w:t>
      </w:r>
      <w:r>
        <w:rPr>
          <w:rFonts w:ascii="Calibri" w:eastAsia="Calibri" w:hAnsi="Calibri" w:cs="Calibri"/>
          <w:b/>
          <w:bCs/>
          <w:color w:val="1A1A1A"/>
        </w:rPr>
        <w:t>famille existante</w:t>
      </w:r>
      <w:r>
        <w:rPr>
          <w:rFonts w:ascii="Calibri" w:eastAsia="Calibri" w:hAnsi="Calibri" w:cs="Calibri"/>
          <w:color w:val="1A1A1A"/>
        </w:rPr>
        <w:t xml:space="preserve"> — non le désir d’en fonder une : </w:t>
      </w:r>
      <w:r>
        <w:rPr>
          <w:rFonts w:ascii="Calibri" w:eastAsia="Calibri" w:hAnsi="Calibri" w:cs="Calibri"/>
          <w:b/>
          <w:bCs/>
          <w:color w:val="1A1A1A"/>
        </w:rPr>
        <w:t>ni droit à l’enfant, ni droit à l’adoption</w:t>
      </w:r>
      <w:r>
        <w:rPr>
          <w:rFonts w:ascii="Calibri" w:eastAsia="Calibri" w:hAnsi="Calibri" w:cs="Calibri"/>
          <w:color w:val="1A1A1A"/>
        </w:rPr>
        <w:t xml:space="preserve"> (</w:t>
      </w:r>
      <w:r>
        <w:rPr>
          <w:rFonts w:ascii="Calibri" w:eastAsia="Calibri" w:hAnsi="Calibri" w:cs="Calibri"/>
          <w:color w:val="E91E63"/>
        </w:rPr>
        <w:t xml:space="preserve">Paradiso </w:t>
      </w:r>
      <w:r w:rsidRPr="00D91263">
        <w:rPr>
          <w:rFonts w:ascii="Calibri" w:eastAsia="Calibri" w:hAnsi="Calibri" w:cs="Calibri"/>
          <w:color w:val="E91D62"/>
        </w:rPr>
        <w:t>et Campanelli, 2017</w:t>
      </w:r>
      <w:r>
        <w:rPr>
          <w:rFonts w:ascii="Calibri" w:eastAsia="Calibri" w:hAnsi="Calibri" w:cs="Calibri"/>
          <w:color w:val="1A1A1A"/>
        </w:rPr>
        <w:t>).</w:t>
      </w:r>
    </w:p>
    <w:p w14:paraId="4A83B4C9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color w:val="1A1A1A"/>
        </w:rPr>
        <w:t xml:space="preserve">En droit interne, le </w:t>
      </w:r>
      <w:r>
        <w:rPr>
          <w:rFonts w:ascii="Calibri" w:eastAsia="Calibri" w:hAnsi="Calibri" w:cs="Calibri"/>
          <w:b/>
          <w:bCs/>
          <w:color w:val="1A1A1A"/>
        </w:rPr>
        <w:t>droit de mener une vie familiale normale</w:t>
      </w:r>
      <w:r>
        <w:rPr>
          <w:rFonts w:ascii="Calibri" w:eastAsia="Calibri" w:hAnsi="Calibri" w:cs="Calibri"/>
          <w:color w:val="1A1A1A"/>
        </w:rPr>
        <w:t xml:space="preserve"> a valeur constitutionnelle (</w:t>
      </w:r>
      <w:r>
        <w:rPr>
          <w:rFonts w:ascii="Calibri" w:eastAsia="Calibri" w:hAnsi="Calibri" w:cs="Calibri"/>
          <w:color w:val="1E88E5"/>
        </w:rPr>
        <w:t>alinéa 10 du Préambule de 1946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93-325 DC</w:t>
      </w:r>
      <w:r>
        <w:rPr>
          <w:rFonts w:ascii="Calibri" w:eastAsia="Calibri" w:hAnsi="Calibri" w:cs="Calibri"/>
          <w:color w:val="1A1A1A"/>
        </w:rPr>
        <w:t>) ; l’</w:t>
      </w:r>
      <w:r>
        <w:rPr>
          <w:rFonts w:ascii="Calibri" w:eastAsia="Calibri" w:hAnsi="Calibri" w:cs="Calibri"/>
          <w:b/>
          <w:bCs/>
          <w:color w:val="1A1A1A"/>
        </w:rPr>
        <w:t>intérêt supérieur de l’enfant</w:t>
      </w:r>
      <w:r>
        <w:rPr>
          <w:rFonts w:ascii="Calibri" w:eastAsia="Calibri" w:hAnsi="Calibri" w:cs="Calibri"/>
          <w:color w:val="1A1A1A"/>
        </w:rPr>
        <w:t xml:space="preserve"> est une exigence constitutionnelle (</w:t>
      </w:r>
      <w:r>
        <w:rPr>
          <w:rFonts w:ascii="Calibri" w:eastAsia="Calibri" w:hAnsi="Calibri" w:cs="Calibri"/>
          <w:color w:val="1E88E5"/>
        </w:rPr>
        <w:t>alinéas 10 et 11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2018-768 QPC</w:t>
      </w:r>
      <w:r>
        <w:rPr>
          <w:rFonts w:ascii="Calibri" w:eastAsia="Calibri" w:hAnsi="Calibri" w:cs="Calibri"/>
          <w:color w:val="1A1A1A"/>
        </w:rPr>
        <w:t>).</w:t>
      </w:r>
    </w:p>
    <w:p w14:paraId="39BB603B" w14:textId="77777777" w:rsidR="00C05C80" w:rsidRDefault="00000000">
      <w:pPr>
        <w:pStyle w:val="Titre3"/>
        <w:spacing w:before="200" w:after="90"/>
      </w:pPr>
      <w:r>
        <w:rPr>
          <w:rFonts w:ascii="Calibri" w:eastAsia="Calibri" w:hAnsi="Calibri" w:cs="Calibri"/>
          <w:b/>
          <w:bCs/>
          <w:i/>
          <w:iCs/>
          <w:color w:val="5A5A5A"/>
          <w:sz w:val="21"/>
          <w:szCs w:val="21"/>
        </w:rPr>
        <w:t>Les cinq références incontournables</w:t>
      </w:r>
    </w:p>
    <w:p w14:paraId="64678FC6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color w:val="1A1A1A"/>
        </w:rPr>
        <w:t xml:space="preserve">★ </w:t>
      </w:r>
      <w:r>
        <w:rPr>
          <w:rFonts w:ascii="Calibri" w:eastAsia="Calibri" w:hAnsi="Calibri" w:cs="Calibri"/>
          <w:color w:val="1E88E5"/>
        </w:rPr>
        <w:t>Art. 8 et 12 CEDH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1E88E5"/>
        </w:rPr>
        <w:t>art. 5 du Protocole n° 7</w:t>
      </w:r>
      <w:r>
        <w:rPr>
          <w:rFonts w:ascii="Calibri" w:eastAsia="Calibri" w:hAnsi="Calibri" w:cs="Calibri"/>
          <w:color w:val="1A1A1A"/>
        </w:rPr>
        <w:t xml:space="preserve"> (égalité des époux) ; </w:t>
      </w:r>
      <w:r>
        <w:rPr>
          <w:rFonts w:ascii="Calibri" w:eastAsia="Calibri" w:hAnsi="Calibri" w:cs="Calibri"/>
          <w:color w:val="1E88E5"/>
        </w:rPr>
        <w:t>art. 7 et 9 CDFUE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1E88E5"/>
        </w:rPr>
        <w:t>art. 23 PIDCP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1E88E5"/>
        </w:rPr>
        <w:t>art. 3-1 CIDE</w:t>
      </w:r>
      <w:r>
        <w:rPr>
          <w:rFonts w:ascii="Calibri" w:eastAsia="Calibri" w:hAnsi="Calibri" w:cs="Calibri"/>
          <w:color w:val="1A1A1A"/>
        </w:rPr>
        <w:t xml:space="preserve"> (intérêt supérieur de l’enfant, « considération primordiale »).</w:t>
      </w:r>
    </w:p>
    <w:p w14:paraId="74037EAF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color w:val="1A1A1A"/>
        </w:rPr>
        <w:t xml:space="preserve">★ </w:t>
      </w:r>
      <w:r>
        <w:rPr>
          <w:rFonts w:ascii="Calibri" w:eastAsia="Calibri" w:hAnsi="Calibri" w:cs="Calibri"/>
          <w:color w:val="E91E63"/>
        </w:rPr>
        <w:t>CEDH, 13 juin 1979, Marckx c. Belgique, n° 6833/74</w:t>
      </w:r>
      <w:r>
        <w:rPr>
          <w:rFonts w:ascii="Calibri" w:eastAsia="Calibri" w:hAnsi="Calibri" w:cs="Calibri"/>
          <w:color w:val="1A1A1A"/>
        </w:rPr>
        <w:t xml:space="preserve"> : autonomie de la notion ; famille « naturelle » protégée comme la famille « légitime » ; la filiation maternelle découle de l’accouchement.</w:t>
      </w:r>
    </w:p>
    <w:p w14:paraId="45200506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color w:val="1A1A1A"/>
        </w:rPr>
        <w:t xml:space="preserve">★ </w:t>
      </w:r>
      <w:r>
        <w:rPr>
          <w:rFonts w:ascii="Calibri" w:eastAsia="Calibri" w:hAnsi="Calibri" w:cs="Calibri"/>
          <w:color w:val="E91E63"/>
        </w:rPr>
        <w:t>Cons. const., déc. n° 93-325 DC, 13 août 1993, Maîtrise de l’immigration</w:t>
      </w:r>
      <w:r>
        <w:rPr>
          <w:rFonts w:ascii="Calibri" w:eastAsia="Calibri" w:hAnsi="Calibri" w:cs="Calibri"/>
          <w:color w:val="1A1A1A"/>
        </w:rPr>
        <w:t xml:space="preserve"> : droit de mener une vie familiale normale (alinéa 10) ; liberté du mariage (d’abord rattachée à la liberté individuelle, puis aux </w:t>
      </w:r>
      <w:r>
        <w:rPr>
          <w:rFonts w:ascii="Calibri" w:eastAsia="Calibri" w:hAnsi="Calibri" w:cs="Calibri"/>
          <w:color w:val="1E88E5"/>
        </w:rPr>
        <w:t>art. 2 et 4 DDHC</w:t>
      </w:r>
      <w:r>
        <w:rPr>
          <w:rFonts w:ascii="Calibri" w:eastAsia="Calibri" w:hAnsi="Calibri" w:cs="Calibri"/>
          <w:color w:val="1A1A1A"/>
        </w:rPr>
        <w:t xml:space="preserve"> par </w:t>
      </w:r>
      <w:r>
        <w:rPr>
          <w:rFonts w:ascii="Calibri" w:eastAsia="Calibri" w:hAnsi="Calibri" w:cs="Calibri"/>
          <w:color w:val="E91E63"/>
        </w:rPr>
        <w:t>2003-484 DC</w:t>
      </w:r>
      <w:r>
        <w:rPr>
          <w:rFonts w:ascii="Calibri" w:eastAsia="Calibri" w:hAnsi="Calibri" w:cs="Calibri"/>
          <w:color w:val="1A1A1A"/>
        </w:rPr>
        <w:t>).</w:t>
      </w:r>
    </w:p>
    <w:p w14:paraId="786D7DFC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color w:val="1A1A1A"/>
        </w:rPr>
        <w:t xml:space="preserve">★ </w:t>
      </w:r>
      <w:r>
        <w:rPr>
          <w:rFonts w:ascii="Calibri" w:eastAsia="Calibri" w:hAnsi="Calibri" w:cs="Calibri"/>
          <w:color w:val="E91E63"/>
        </w:rPr>
        <w:t>CEDH, 26 juin 2014, Mennesson c. France, n° 65192/11</w:t>
      </w:r>
      <w:r>
        <w:rPr>
          <w:rFonts w:ascii="Calibri" w:eastAsia="Calibri" w:hAnsi="Calibri" w:cs="Calibri"/>
          <w:color w:val="1A1A1A"/>
        </w:rPr>
        <w:t xml:space="preserve"> (et </w:t>
      </w:r>
      <w:r>
        <w:rPr>
          <w:rFonts w:ascii="Calibri" w:eastAsia="Calibri" w:hAnsi="Calibri" w:cs="Calibri"/>
          <w:color w:val="E91E63"/>
        </w:rPr>
        <w:t>Labassee</w:t>
      </w:r>
      <w:r>
        <w:rPr>
          <w:rFonts w:ascii="Calibri" w:eastAsia="Calibri" w:hAnsi="Calibri" w:cs="Calibri"/>
          <w:color w:val="1A1A1A"/>
        </w:rPr>
        <w:t xml:space="preserve">) → </w:t>
      </w:r>
      <w:r>
        <w:rPr>
          <w:rFonts w:ascii="Calibri" w:eastAsia="Calibri" w:hAnsi="Calibri" w:cs="Calibri"/>
          <w:color w:val="E91E63"/>
        </w:rPr>
        <w:t>CEDH [GC], avis consultatif du 10 avril 2019</w:t>
      </w:r>
      <w:r>
        <w:rPr>
          <w:rFonts w:ascii="Calibri" w:eastAsia="Calibri" w:hAnsi="Calibri" w:cs="Calibri"/>
          <w:color w:val="1A1A1A"/>
        </w:rPr>
        <w:t xml:space="preserve"> → </w:t>
      </w:r>
      <w:r>
        <w:rPr>
          <w:rFonts w:ascii="Calibri" w:eastAsia="Calibri" w:hAnsi="Calibri" w:cs="Calibri"/>
          <w:color w:val="E91E63"/>
        </w:rPr>
        <w:t>Cass. ass. plén., 3 juillet 2026, n° 24-50.028 et 24-50.029</w:t>
      </w:r>
      <w:r>
        <w:rPr>
          <w:rFonts w:ascii="Calibri" w:eastAsia="Calibri" w:hAnsi="Calibri" w:cs="Calibri"/>
          <w:color w:val="1A1A1A"/>
        </w:rPr>
        <w:t xml:space="preserve"> : la filiation de l’enfant né d’une GPA à l’étranger doit pouvoir être reconnue.</w:t>
      </w:r>
    </w:p>
    <w:p w14:paraId="1B871F57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color w:val="1A1A1A"/>
        </w:rPr>
        <w:t xml:space="preserve">★ </w:t>
      </w:r>
      <w:r>
        <w:rPr>
          <w:rFonts w:ascii="Calibri" w:eastAsia="Calibri" w:hAnsi="Calibri" w:cs="Calibri"/>
          <w:color w:val="E91E63"/>
        </w:rPr>
        <w:t>CEDH [GC], 10 septembre 2019, Strand Lobben c. Norvège, n° 37283/13</w:t>
      </w:r>
      <w:r>
        <w:rPr>
          <w:rFonts w:ascii="Calibri" w:eastAsia="Calibri" w:hAnsi="Calibri" w:cs="Calibri"/>
          <w:color w:val="1A1A1A"/>
        </w:rPr>
        <w:t xml:space="preserve"> : le placement est une ingérence qui doit rester </w:t>
      </w:r>
      <w:r>
        <w:rPr>
          <w:rFonts w:ascii="Calibri" w:eastAsia="Calibri" w:hAnsi="Calibri" w:cs="Calibri"/>
          <w:b/>
          <w:bCs/>
          <w:color w:val="1A1A1A"/>
        </w:rPr>
        <w:t>temporaire</w:t>
      </w:r>
      <w:r>
        <w:rPr>
          <w:rFonts w:ascii="Calibri" w:eastAsia="Calibri" w:hAnsi="Calibri" w:cs="Calibri"/>
          <w:color w:val="1A1A1A"/>
        </w:rPr>
        <w:t xml:space="preserve"> et viser la </w:t>
      </w:r>
      <w:r>
        <w:rPr>
          <w:rFonts w:ascii="Calibri" w:eastAsia="Calibri" w:hAnsi="Calibri" w:cs="Calibri"/>
          <w:b/>
          <w:bCs/>
          <w:color w:val="1A1A1A"/>
        </w:rPr>
        <w:t>réunification</w:t>
      </w:r>
      <w:r>
        <w:rPr>
          <w:rFonts w:ascii="Calibri" w:eastAsia="Calibri" w:hAnsi="Calibri" w:cs="Calibri"/>
          <w:color w:val="1A1A1A"/>
        </w:rPr>
        <w:t>.</w:t>
      </w:r>
    </w:p>
    <w:p w14:paraId="29CA0A93" w14:textId="77777777" w:rsidR="00C05C80" w:rsidRDefault="00000000">
      <w:pPr>
        <w:pStyle w:val="Titre3"/>
        <w:spacing w:before="200" w:after="90"/>
      </w:pPr>
      <w:r>
        <w:rPr>
          <w:rFonts w:ascii="Calibri" w:eastAsia="Calibri" w:hAnsi="Calibri" w:cs="Calibri"/>
          <w:b/>
          <w:bCs/>
          <w:i/>
          <w:iCs/>
          <w:color w:val="5A5A5A"/>
          <w:sz w:val="21"/>
          <w:szCs w:val="21"/>
        </w:rPr>
        <w:t>Deux matrices de plan</w:t>
      </w:r>
    </w:p>
    <w:p w14:paraId="47046532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Sujet « Existe-t-il un droit à la parenté ? »</w:t>
      </w:r>
      <w:r>
        <w:rPr>
          <w:rFonts w:ascii="Calibri" w:eastAsia="Calibri" w:hAnsi="Calibri" w:cs="Calibri"/>
          <w:color w:val="1A1A1A"/>
        </w:rPr>
        <w:t xml:space="preserve"> (sujet « Pour s’entraîner » du fascicule) — </w:t>
      </w:r>
      <w:r>
        <w:rPr>
          <w:rFonts w:ascii="Calibri" w:eastAsia="Calibri" w:hAnsi="Calibri" w:cs="Calibri"/>
          <w:b/>
          <w:bCs/>
          <w:color w:val="1A1A1A"/>
        </w:rPr>
        <w:t>I. L’absence d’un droit à l’enfant</w:t>
      </w:r>
      <w:r>
        <w:rPr>
          <w:rFonts w:ascii="Calibri" w:eastAsia="Calibri" w:hAnsi="Calibri" w:cs="Calibri"/>
          <w:color w:val="1A1A1A"/>
        </w:rPr>
        <w:t xml:space="preserve"> (A. Une vie familiale protégée seulement lorsqu’elle existe : </w:t>
      </w:r>
      <w:r>
        <w:rPr>
          <w:rFonts w:ascii="Calibri" w:eastAsia="Calibri" w:hAnsi="Calibri" w:cs="Calibri"/>
          <w:color w:val="E91E63"/>
        </w:rPr>
        <w:t>Fretté</w:t>
      </w:r>
      <w:r>
        <w:rPr>
          <w:rFonts w:ascii="Calibri" w:eastAsia="Calibri" w:hAnsi="Calibri" w:cs="Calibri"/>
          <w:color w:val="1A1A1A"/>
        </w:rPr>
        <w:t xml:space="preserve">, </w:t>
      </w:r>
      <w:r>
        <w:rPr>
          <w:rFonts w:ascii="Calibri" w:eastAsia="Calibri" w:hAnsi="Calibri" w:cs="Calibri"/>
          <w:color w:val="E91E63"/>
        </w:rPr>
        <w:t>E.B.</w:t>
      </w:r>
      <w:r>
        <w:rPr>
          <w:rFonts w:ascii="Calibri" w:eastAsia="Calibri" w:hAnsi="Calibri" w:cs="Calibri"/>
          <w:color w:val="1A1A1A"/>
        </w:rPr>
        <w:t xml:space="preserve">, </w:t>
      </w:r>
      <w:r>
        <w:rPr>
          <w:rFonts w:ascii="Calibri" w:eastAsia="Calibri" w:hAnsi="Calibri" w:cs="Calibri"/>
          <w:color w:val="E91E63"/>
        </w:rPr>
        <w:t>Paradiso et Campanelli</w:t>
      </w:r>
      <w:r>
        <w:rPr>
          <w:rFonts w:ascii="Calibri" w:eastAsia="Calibri" w:hAnsi="Calibri" w:cs="Calibri"/>
          <w:color w:val="1A1A1A"/>
        </w:rPr>
        <w:t xml:space="preserve"> ; B. Des techniques de procréation encadrées : </w:t>
      </w:r>
      <w:r>
        <w:rPr>
          <w:rFonts w:ascii="Calibri" w:eastAsia="Calibri" w:hAnsi="Calibri" w:cs="Calibri"/>
          <w:color w:val="1E88E5"/>
        </w:rPr>
        <w:t>art. 16-7 C. civ.</w:t>
      </w:r>
      <w:r>
        <w:rPr>
          <w:rFonts w:ascii="Calibri" w:eastAsia="Calibri" w:hAnsi="Calibri" w:cs="Calibri"/>
          <w:color w:val="1A1A1A"/>
        </w:rPr>
        <w:t xml:space="preserve">, </w:t>
      </w:r>
      <w:r>
        <w:rPr>
          <w:rFonts w:ascii="Calibri" w:eastAsia="Calibri" w:hAnsi="Calibri" w:cs="Calibri"/>
          <w:color w:val="E91E63"/>
        </w:rPr>
        <w:t>S.H. c. Autriche</w:t>
      </w:r>
      <w:r>
        <w:rPr>
          <w:rFonts w:ascii="Calibri" w:eastAsia="Calibri" w:hAnsi="Calibri" w:cs="Calibri"/>
          <w:color w:val="1A1A1A"/>
        </w:rPr>
        <w:t xml:space="preserve">, </w:t>
      </w:r>
      <w:r>
        <w:rPr>
          <w:rFonts w:ascii="Calibri" w:eastAsia="Calibri" w:hAnsi="Calibri" w:cs="Calibri"/>
          <w:color w:val="E91E63"/>
        </w:rPr>
        <w:t>Baret et Caballero c. France</w:t>
      </w:r>
      <w:r>
        <w:rPr>
          <w:rFonts w:ascii="Calibri" w:eastAsia="Calibri" w:hAnsi="Calibri" w:cs="Calibri"/>
          <w:color w:val="1A1A1A"/>
        </w:rPr>
        <w:t>, ROPA interdite (</w:t>
      </w:r>
      <w:r>
        <w:rPr>
          <w:rFonts w:ascii="Calibri" w:eastAsia="Calibri" w:hAnsi="Calibri" w:cs="Calibri"/>
          <w:color w:val="E91E63"/>
        </w:rPr>
        <w:t>CE, 19 juin 2024, n° 472649</w:t>
      </w:r>
      <w:r>
        <w:rPr>
          <w:rFonts w:ascii="Calibri" w:eastAsia="Calibri" w:hAnsi="Calibri" w:cs="Calibri"/>
          <w:color w:val="1A1A1A"/>
        </w:rPr>
        <w:t xml:space="preserve">)) / </w:t>
      </w:r>
      <w:r>
        <w:rPr>
          <w:rFonts w:ascii="Calibri" w:eastAsia="Calibri" w:hAnsi="Calibri" w:cs="Calibri"/>
          <w:b/>
          <w:bCs/>
          <w:color w:val="1A1A1A"/>
        </w:rPr>
        <w:t>II. Une parenté de plus en plus facilitée</w:t>
      </w:r>
      <w:r>
        <w:rPr>
          <w:rFonts w:ascii="Calibri" w:eastAsia="Calibri" w:hAnsi="Calibri" w:cs="Calibri"/>
          <w:color w:val="1A1A1A"/>
        </w:rPr>
        <w:t xml:space="preserve"> (A. L’ouverture de l’adoption et de la PMA : </w:t>
      </w:r>
      <w:r>
        <w:rPr>
          <w:rFonts w:ascii="Calibri" w:eastAsia="Calibri" w:hAnsi="Calibri" w:cs="Calibri"/>
          <w:color w:val="1E88E5"/>
        </w:rPr>
        <w:t>loi du 17 mai 2013</w:t>
      </w:r>
      <w:r>
        <w:rPr>
          <w:rFonts w:ascii="Calibri" w:eastAsia="Calibri" w:hAnsi="Calibri" w:cs="Calibri"/>
          <w:color w:val="1A1A1A"/>
        </w:rPr>
        <w:t xml:space="preserve">, </w:t>
      </w:r>
      <w:r>
        <w:rPr>
          <w:rFonts w:ascii="Calibri" w:eastAsia="Calibri" w:hAnsi="Calibri" w:cs="Calibri"/>
          <w:color w:val="1E88E5"/>
        </w:rPr>
        <w:t>loi du 2 août 2021</w:t>
      </w:r>
      <w:r>
        <w:rPr>
          <w:rFonts w:ascii="Calibri" w:eastAsia="Calibri" w:hAnsi="Calibri" w:cs="Calibri"/>
          <w:color w:val="1A1A1A"/>
        </w:rPr>
        <w:t xml:space="preserve">, </w:t>
      </w:r>
      <w:r>
        <w:rPr>
          <w:rFonts w:ascii="Calibri" w:eastAsia="Calibri" w:hAnsi="Calibri" w:cs="Calibri"/>
          <w:color w:val="1E88E5"/>
        </w:rPr>
        <w:t>loi du 21 février 2022</w:t>
      </w:r>
      <w:r>
        <w:rPr>
          <w:rFonts w:ascii="Calibri" w:eastAsia="Calibri" w:hAnsi="Calibri" w:cs="Calibri"/>
          <w:color w:val="1A1A1A"/>
        </w:rPr>
        <w:t xml:space="preserve"> ; B. La protection de l’enfant né : </w:t>
      </w:r>
      <w:r>
        <w:rPr>
          <w:rFonts w:ascii="Calibri" w:eastAsia="Calibri" w:hAnsi="Calibri" w:cs="Calibri"/>
          <w:color w:val="E91E63"/>
        </w:rPr>
        <w:t>Mennesson</w:t>
      </w:r>
      <w:r>
        <w:rPr>
          <w:rFonts w:ascii="Calibri" w:eastAsia="Calibri" w:hAnsi="Calibri" w:cs="Calibri"/>
          <w:color w:val="1A1A1A"/>
        </w:rPr>
        <w:t xml:space="preserve">, avis de 2019, </w:t>
      </w:r>
      <w:r>
        <w:rPr>
          <w:rFonts w:ascii="Calibri" w:eastAsia="Calibri" w:hAnsi="Calibri" w:cs="Calibri"/>
          <w:color w:val="E91E63"/>
        </w:rPr>
        <w:t>Cass. ass. plén., 3 juillet 2026</w:t>
      </w:r>
      <w:r>
        <w:rPr>
          <w:rFonts w:ascii="Calibri" w:eastAsia="Calibri" w:hAnsi="Calibri" w:cs="Calibri"/>
          <w:color w:val="1A1A1A"/>
        </w:rPr>
        <w:t>).</w:t>
      </w:r>
    </w:p>
    <w:p w14:paraId="0EAB070F" w14:textId="77777777" w:rsidR="00C05C80" w:rsidRPr="00D91263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Sujet « L’intérêt supérieur de l’enfant »</w:t>
      </w:r>
      <w:r>
        <w:rPr>
          <w:rFonts w:ascii="Calibri" w:eastAsia="Calibri" w:hAnsi="Calibri" w:cs="Calibri"/>
          <w:color w:val="1A1A1A"/>
        </w:rPr>
        <w:t xml:space="preserve"> — </w:t>
      </w:r>
      <w:r>
        <w:rPr>
          <w:rFonts w:ascii="Calibri" w:eastAsia="Calibri" w:hAnsi="Calibri" w:cs="Calibri"/>
          <w:b/>
          <w:bCs/>
          <w:color w:val="1A1A1A"/>
        </w:rPr>
        <w:t>I. Une norme juridique à plusieurs étages</w:t>
      </w:r>
      <w:r>
        <w:rPr>
          <w:rFonts w:ascii="Calibri" w:eastAsia="Calibri" w:hAnsi="Calibri" w:cs="Calibri"/>
          <w:color w:val="1A1A1A"/>
        </w:rPr>
        <w:t xml:space="preserve"> (A. Source internationale d’effet direct : </w:t>
      </w:r>
      <w:r>
        <w:rPr>
          <w:rFonts w:ascii="Calibri" w:eastAsia="Calibri" w:hAnsi="Calibri" w:cs="Calibri"/>
          <w:color w:val="1E88E5"/>
        </w:rPr>
        <w:t>art. 3-1 CIDE</w:t>
      </w:r>
      <w:r>
        <w:rPr>
          <w:rFonts w:ascii="Calibri" w:eastAsia="Calibri" w:hAnsi="Calibri" w:cs="Calibri"/>
          <w:color w:val="1A1A1A"/>
        </w:rPr>
        <w:t xml:space="preserve">, </w:t>
      </w:r>
      <w:r>
        <w:rPr>
          <w:rFonts w:ascii="Calibri" w:eastAsia="Calibri" w:hAnsi="Calibri" w:cs="Calibri"/>
          <w:color w:val="E91E63"/>
        </w:rPr>
        <w:t>CE, Cinar, 1997</w:t>
      </w:r>
      <w:r>
        <w:rPr>
          <w:rFonts w:ascii="Calibri" w:eastAsia="Calibri" w:hAnsi="Calibri" w:cs="Calibri"/>
          <w:color w:val="1A1A1A"/>
        </w:rPr>
        <w:t xml:space="preserve">, </w:t>
      </w:r>
      <w:r>
        <w:rPr>
          <w:rFonts w:ascii="Calibri" w:eastAsia="Calibri" w:hAnsi="Calibri" w:cs="Calibri"/>
          <w:color w:val="E91E63"/>
        </w:rPr>
        <w:t>Cass. 1re civ., 18 mai 2005</w:t>
      </w:r>
      <w:r>
        <w:rPr>
          <w:rFonts w:ascii="Calibri" w:eastAsia="Calibri" w:hAnsi="Calibri" w:cs="Calibri"/>
          <w:color w:val="1A1A1A"/>
        </w:rPr>
        <w:t xml:space="preserve"> ; B. Exigence constitutionnelle : </w:t>
      </w:r>
      <w:r>
        <w:rPr>
          <w:rFonts w:ascii="Calibri" w:eastAsia="Calibri" w:hAnsi="Calibri" w:cs="Calibri"/>
          <w:color w:val="E91E63"/>
        </w:rPr>
        <w:t>2018-768 QPC</w:t>
      </w:r>
      <w:r>
        <w:rPr>
          <w:rFonts w:ascii="Calibri" w:eastAsia="Calibri" w:hAnsi="Calibri" w:cs="Calibri"/>
          <w:color w:val="1A1A1A"/>
        </w:rPr>
        <w:t xml:space="preserve">, </w:t>
      </w:r>
      <w:r>
        <w:rPr>
          <w:rFonts w:ascii="Calibri" w:eastAsia="Calibri" w:hAnsi="Calibri" w:cs="Calibri"/>
          <w:color w:val="E91E63"/>
        </w:rPr>
        <w:t>2026-911 DC</w:t>
      </w:r>
      <w:r>
        <w:rPr>
          <w:rFonts w:ascii="Calibri" w:eastAsia="Calibri" w:hAnsi="Calibri" w:cs="Calibri"/>
          <w:color w:val="1A1A1A"/>
        </w:rPr>
        <w:t xml:space="preserve">) / </w:t>
      </w:r>
      <w:r>
        <w:rPr>
          <w:rFonts w:ascii="Calibri" w:eastAsia="Calibri" w:hAnsi="Calibri" w:cs="Calibri"/>
          <w:b/>
          <w:bCs/>
          <w:color w:val="1A1A1A"/>
        </w:rPr>
        <w:t>II. Une norme de méthode plus que de résultat</w:t>
      </w:r>
      <w:r>
        <w:rPr>
          <w:rFonts w:ascii="Calibri" w:eastAsia="Calibri" w:hAnsi="Calibri" w:cs="Calibri"/>
          <w:color w:val="1A1A1A"/>
        </w:rPr>
        <w:t xml:space="preserve"> (A. Examen concret : </w:t>
      </w:r>
      <w:r>
        <w:rPr>
          <w:rFonts w:ascii="Calibri" w:eastAsia="Calibri" w:hAnsi="Calibri" w:cs="Calibri"/>
          <w:color w:val="E91E63"/>
        </w:rPr>
        <w:t>Jeunesse c. Pays-Bas</w:t>
      </w:r>
      <w:r>
        <w:rPr>
          <w:rFonts w:ascii="Calibri" w:eastAsia="Calibri" w:hAnsi="Calibri" w:cs="Calibri"/>
          <w:color w:val="1A1A1A"/>
        </w:rPr>
        <w:t xml:space="preserve">, GPA ; B. Participation de l’enfant : audition obligatoire de l’enfant capable de discernement, </w:t>
      </w:r>
      <w:r>
        <w:rPr>
          <w:rFonts w:ascii="Calibri" w:eastAsia="Calibri" w:hAnsi="Calibri" w:cs="Calibri"/>
          <w:color w:val="E91E63"/>
        </w:rPr>
        <w:t>Cass. 1re civ., 12 juin 2025, n° 22-23.646</w:t>
      </w:r>
      <w:r>
        <w:rPr>
          <w:rFonts w:ascii="Calibri" w:eastAsia="Calibri" w:hAnsi="Calibri" w:cs="Calibri"/>
          <w:color w:val="1A1A1A"/>
        </w:rPr>
        <w:t>).</w:t>
      </w:r>
    </w:p>
    <w:p w14:paraId="08143604" w14:textId="77777777" w:rsidR="00D91263" w:rsidRDefault="00D91263" w:rsidP="00D91263">
      <w:pPr>
        <w:pStyle w:val="Paragraphedeliste"/>
        <w:spacing w:after="70" w:line="264" w:lineRule="auto"/>
        <w:ind w:left="340"/>
        <w:jc w:val="both"/>
      </w:pPr>
    </w:p>
    <w:p w14:paraId="523A8066" w14:textId="77777777" w:rsidR="00C05C80" w:rsidRDefault="00000000">
      <w:pPr>
        <w:pStyle w:val="Titre3"/>
        <w:spacing w:before="200" w:after="90"/>
      </w:pPr>
      <w:r>
        <w:rPr>
          <w:rFonts w:ascii="Calibri" w:eastAsia="Calibri" w:hAnsi="Calibri" w:cs="Calibri"/>
          <w:b/>
          <w:bCs/>
          <w:i/>
          <w:iCs/>
          <w:color w:val="5A5A5A"/>
          <w:sz w:val="21"/>
          <w:szCs w:val="21"/>
        </w:rPr>
        <w:lastRenderedPageBreak/>
        <w:t>Trois pièges</w:t>
      </w:r>
    </w:p>
    <w:p w14:paraId="295C9A81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L’article 8 ne protège pas le désir de famille</w:t>
      </w:r>
      <w:r>
        <w:rPr>
          <w:rFonts w:ascii="Calibri" w:eastAsia="Calibri" w:hAnsi="Calibri" w:cs="Calibri"/>
          <w:color w:val="1A1A1A"/>
        </w:rPr>
        <w:t xml:space="preserve"> : pas de droit à l’adoption ni à l’enfant (</w:t>
      </w:r>
      <w:r>
        <w:rPr>
          <w:rFonts w:ascii="Calibri" w:eastAsia="Calibri" w:hAnsi="Calibri" w:cs="Calibri"/>
          <w:color w:val="E91E63"/>
        </w:rPr>
        <w:t>Fretté</w:t>
      </w:r>
      <w:r>
        <w:rPr>
          <w:rFonts w:ascii="Calibri" w:eastAsia="Calibri" w:hAnsi="Calibri" w:cs="Calibri"/>
          <w:color w:val="1A1A1A"/>
        </w:rPr>
        <w:t xml:space="preserve">, </w:t>
      </w:r>
      <w:r>
        <w:rPr>
          <w:rFonts w:ascii="Calibri" w:eastAsia="Calibri" w:hAnsi="Calibri" w:cs="Calibri"/>
          <w:color w:val="E91E63"/>
        </w:rPr>
        <w:t>Paradiso et Campanelli</w:t>
      </w:r>
      <w:r>
        <w:rPr>
          <w:rFonts w:ascii="Calibri" w:eastAsia="Calibri" w:hAnsi="Calibri" w:cs="Calibri"/>
          <w:color w:val="1A1A1A"/>
        </w:rPr>
        <w:t>) — mais si l’État ouvre l’adoption, il ne peut discriminer (</w:t>
      </w:r>
      <w:r>
        <w:rPr>
          <w:rFonts w:ascii="Calibri" w:eastAsia="Calibri" w:hAnsi="Calibri" w:cs="Calibri"/>
          <w:color w:val="E91E63"/>
        </w:rPr>
        <w:t>E.B. c. France</w:t>
      </w:r>
      <w:r>
        <w:rPr>
          <w:rFonts w:ascii="Calibri" w:eastAsia="Calibri" w:hAnsi="Calibri" w:cs="Calibri"/>
          <w:color w:val="1A1A1A"/>
        </w:rPr>
        <w:t xml:space="preserve">, 2008, revirement de </w:t>
      </w:r>
      <w:r>
        <w:rPr>
          <w:rFonts w:ascii="Calibri" w:eastAsia="Calibri" w:hAnsi="Calibri" w:cs="Calibri"/>
          <w:color w:val="E91E63"/>
        </w:rPr>
        <w:t>Fretté</w:t>
      </w:r>
      <w:r>
        <w:rPr>
          <w:rFonts w:ascii="Calibri" w:eastAsia="Calibri" w:hAnsi="Calibri" w:cs="Calibri"/>
          <w:color w:val="1A1A1A"/>
        </w:rPr>
        <w:t>).</w:t>
      </w:r>
    </w:p>
    <w:p w14:paraId="60A00B59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L’article 12 n’impose pas le mariage des couples de même sexe</w:t>
      </w:r>
      <w:r>
        <w:rPr>
          <w:rFonts w:ascii="Calibri" w:eastAsia="Calibri" w:hAnsi="Calibri" w:cs="Calibri"/>
          <w:color w:val="1A1A1A"/>
        </w:rPr>
        <w:t xml:space="preserve"> (</w:t>
      </w:r>
      <w:r>
        <w:rPr>
          <w:rFonts w:ascii="Calibri" w:eastAsia="Calibri" w:hAnsi="Calibri" w:cs="Calibri"/>
          <w:color w:val="E91E63"/>
        </w:rPr>
        <w:t>Schalk et Kopf</w:t>
      </w:r>
      <w:r>
        <w:rPr>
          <w:rFonts w:ascii="Calibri" w:eastAsia="Calibri" w:hAnsi="Calibri" w:cs="Calibri"/>
          <w:color w:val="1A1A1A"/>
        </w:rPr>
        <w:t xml:space="preserve">, 2010 ; </w:t>
      </w:r>
      <w:r>
        <w:rPr>
          <w:rFonts w:ascii="Calibri" w:eastAsia="Calibri" w:hAnsi="Calibri" w:cs="Calibri"/>
          <w:color w:val="E91E63"/>
        </w:rPr>
        <w:t>Gas et Dubois c. France</w:t>
      </w:r>
      <w:r>
        <w:rPr>
          <w:rFonts w:ascii="Calibri" w:eastAsia="Calibri" w:hAnsi="Calibri" w:cs="Calibri"/>
          <w:color w:val="1A1A1A"/>
        </w:rPr>
        <w:t>, 2012), mais l’</w:t>
      </w:r>
      <w:r>
        <w:rPr>
          <w:rFonts w:ascii="Calibri" w:eastAsia="Calibri" w:hAnsi="Calibri" w:cs="Calibri"/>
          <w:color w:val="1E88E5"/>
        </w:rPr>
        <w:t>art. 8</w:t>
      </w:r>
      <w:r>
        <w:rPr>
          <w:rFonts w:ascii="Calibri" w:eastAsia="Calibri" w:hAnsi="Calibri" w:cs="Calibri"/>
          <w:color w:val="1A1A1A"/>
        </w:rPr>
        <w:t xml:space="preserve"> impose un </w:t>
      </w:r>
      <w:r>
        <w:rPr>
          <w:rFonts w:ascii="Calibri" w:eastAsia="Calibri" w:hAnsi="Calibri" w:cs="Calibri"/>
          <w:b/>
          <w:bCs/>
          <w:color w:val="1A1A1A"/>
        </w:rPr>
        <w:t>statut juridique</w:t>
      </w:r>
      <w:r>
        <w:rPr>
          <w:rFonts w:ascii="Calibri" w:eastAsia="Calibri" w:hAnsi="Calibri" w:cs="Calibri"/>
          <w:color w:val="1A1A1A"/>
        </w:rPr>
        <w:t xml:space="preserve"> (</w:t>
      </w:r>
      <w:r>
        <w:rPr>
          <w:rFonts w:ascii="Calibri" w:eastAsia="Calibri" w:hAnsi="Calibri" w:cs="Calibri"/>
          <w:color w:val="E91E63"/>
        </w:rPr>
        <w:t>Oliari</w:t>
      </w:r>
      <w:r>
        <w:rPr>
          <w:rFonts w:ascii="Calibri" w:eastAsia="Calibri" w:hAnsi="Calibri" w:cs="Calibri"/>
          <w:color w:val="1A1A1A"/>
        </w:rPr>
        <w:t xml:space="preserve">, 2015 ; </w:t>
      </w:r>
      <w:r>
        <w:rPr>
          <w:rFonts w:ascii="Calibri" w:eastAsia="Calibri" w:hAnsi="Calibri" w:cs="Calibri"/>
          <w:color w:val="E91E63"/>
        </w:rPr>
        <w:t>Fedotova, GC</w:t>
      </w:r>
      <w:r>
        <w:rPr>
          <w:rFonts w:ascii="Calibri" w:eastAsia="Calibri" w:hAnsi="Calibri" w:cs="Calibri"/>
          <w:color w:val="1A1A1A"/>
        </w:rPr>
        <w:t>, 2023). Le Conseil constitutionnel n’a jamais tranché sur le fond : il renvoie au législateur (</w:t>
      </w:r>
      <w:r>
        <w:rPr>
          <w:rFonts w:ascii="Calibri" w:eastAsia="Calibri" w:hAnsi="Calibri" w:cs="Calibri"/>
          <w:color w:val="E91E63"/>
        </w:rPr>
        <w:t>2010-92 QPC</w:t>
      </w:r>
      <w:r>
        <w:rPr>
          <w:rFonts w:ascii="Calibri" w:eastAsia="Calibri" w:hAnsi="Calibri" w:cs="Calibri"/>
          <w:color w:val="1A1A1A"/>
        </w:rPr>
        <w:t xml:space="preserve"> puis </w:t>
      </w:r>
      <w:r>
        <w:rPr>
          <w:rFonts w:ascii="Calibri" w:eastAsia="Calibri" w:hAnsi="Calibri" w:cs="Calibri"/>
          <w:color w:val="E91E63"/>
        </w:rPr>
        <w:t>2013-669 DC</w:t>
      </w:r>
      <w:r>
        <w:rPr>
          <w:rFonts w:ascii="Calibri" w:eastAsia="Calibri" w:hAnsi="Calibri" w:cs="Calibri"/>
          <w:color w:val="1A1A1A"/>
        </w:rPr>
        <w:t>).</w:t>
      </w:r>
    </w:p>
    <w:p w14:paraId="76E02FEB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GPA : la pratique reste interdite</w:t>
      </w:r>
      <w:r>
        <w:rPr>
          <w:rFonts w:ascii="Calibri" w:eastAsia="Calibri" w:hAnsi="Calibri" w:cs="Calibri"/>
          <w:color w:val="1A1A1A"/>
        </w:rPr>
        <w:t xml:space="preserve"> (</w:t>
      </w:r>
      <w:r>
        <w:rPr>
          <w:rFonts w:ascii="Calibri" w:eastAsia="Calibri" w:hAnsi="Calibri" w:cs="Calibri"/>
          <w:color w:val="1E88E5"/>
        </w:rPr>
        <w:t>art. 16-7 et 16-9 C. civ.</w:t>
      </w:r>
      <w:r>
        <w:rPr>
          <w:rFonts w:ascii="Calibri" w:eastAsia="Calibri" w:hAnsi="Calibri" w:cs="Calibri"/>
          <w:color w:val="1A1A1A"/>
        </w:rPr>
        <w:t xml:space="preserve">, ordre public) ; c’est </w:t>
      </w:r>
      <w:r>
        <w:rPr>
          <w:rFonts w:ascii="Calibri" w:eastAsia="Calibri" w:hAnsi="Calibri" w:cs="Calibri"/>
          <w:b/>
          <w:bCs/>
          <w:color w:val="1A1A1A"/>
        </w:rPr>
        <w:t>l’enfant déjà né</w:t>
      </w:r>
      <w:r>
        <w:rPr>
          <w:rFonts w:ascii="Calibri" w:eastAsia="Calibri" w:hAnsi="Calibri" w:cs="Calibri"/>
          <w:color w:val="1A1A1A"/>
        </w:rPr>
        <w:t xml:space="preserve"> qui est protégé. Ne pas dire que la Cour de cassation a « légalisé la GPA ».</w:t>
      </w:r>
    </w:p>
    <w:p w14:paraId="119B3B5E" w14:textId="77777777" w:rsidR="00C05C80" w:rsidRDefault="00000000">
      <w:r>
        <w:br w:type="page"/>
      </w:r>
    </w:p>
    <w:p w14:paraId="0B413555" w14:textId="77777777" w:rsidR="00C05C80" w:rsidRDefault="00000000">
      <w:pPr>
        <w:pStyle w:val="Titre2"/>
        <w:spacing w:before="280" w:after="12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lastRenderedPageBreak/>
        <w:t>1. Architecture textuelle</w:t>
      </w:r>
    </w:p>
    <w:p w14:paraId="5FA7A97C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International</w:t>
      </w:r>
      <w:r>
        <w:rPr>
          <w:rFonts w:ascii="Calibri" w:eastAsia="Calibri" w:hAnsi="Calibri" w:cs="Calibri"/>
          <w:color w:val="1A1A1A"/>
        </w:rPr>
        <w:t xml:space="preserve"> : </w:t>
      </w:r>
      <w:r>
        <w:rPr>
          <w:rFonts w:ascii="Calibri" w:eastAsia="Calibri" w:hAnsi="Calibri" w:cs="Calibri"/>
          <w:color w:val="1E88E5"/>
        </w:rPr>
        <w:t>art. 12 et 16 DUDH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1E88E5"/>
        </w:rPr>
        <w:t>art. 17 et 23 PIDCP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1E88E5"/>
        </w:rPr>
        <w:t>art. 10 PIDESC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1E88E5"/>
        </w:rPr>
        <w:t>Convention internationale relative aux droits de l’enfant</w:t>
      </w:r>
      <w:r>
        <w:rPr>
          <w:rFonts w:ascii="Calibri" w:eastAsia="Calibri" w:hAnsi="Calibri" w:cs="Calibri"/>
          <w:color w:val="1A1A1A"/>
        </w:rPr>
        <w:t xml:space="preserve"> du 20 novembre 1989 (</w:t>
      </w:r>
      <w:r>
        <w:rPr>
          <w:rFonts w:ascii="Calibri" w:eastAsia="Calibri" w:hAnsi="Calibri" w:cs="Calibri"/>
          <w:color w:val="1E88E5"/>
        </w:rPr>
        <w:t>art. 3-1</w:t>
      </w:r>
      <w:r>
        <w:rPr>
          <w:rFonts w:ascii="Calibri" w:eastAsia="Calibri" w:hAnsi="Calibri" w:cs="Calibri"/>
          <w:color w:val="1A1A1A"/>
        </w:rPr>
        <w:t xml:space="preserve"> : intérêt supérieur ; </w:t>
      </w:r>
      <w:r>
        <w:rPr>
          <w:rFonts w:ascii="Calibri" w:eastAsia="Calibri" w:hAnsi="Calibri" w:cs="Calibri"/>
          <w:color w:val="1E88E5"/>
        </w:rPr>
        <w:t>art. 7</w:t>
      </w:r>
      <w:r>
        <w:rPr>
          <w:rFonts w:ascii="Calibri" w:eastAsia="Calibri" w:hAnsi="Calibri" w:cs="Calibri"/>
          <w:color w:val="1A1A1A"/>
        </w:rPr>
        <w:t xml:space="preserve"> : droit de connaître ses parents ; </w:t>
      </w:r>
      <w:r>
        <w:rPr>
          <w:rFonts w:ascii="Calibri" w:eastAsia="Calibri" w:hAnsi="Calibri" w:cs="Calibri"/>
          <w:color w:val="1E88E5"/>
        </w:rPr>
        <w:t>art. 9</w:t>
      </w:r>
      <w:r>
        <w:rPr>
          <w:rFonts w:ascii="Calibri" w:eastAsia="Calibri" w:hAnsi="Calibri" w:cs="Calibri"/>
          <w:color w:val="1A1A1A"/>
        </w:rPr>
        <w:t xml:space="preserve"> : ne pas être séparé de ses parents ; </w:t>
      </w:r>
      <w:r>
        <w:rPr>
          <w:rFonts w:ascii="Calibri" w:eastAsia="Calibri" w:hAnsi="Calibri" w:cs="Calibri"/>
          <w:color w:val="1E88E5"/>
        </w:rPr>
        <w:t>art. 12</w:t>
      </w:r>
      <w:r>
        <w:rPr>
          <w:rFonts w:ascii="Calibri" w:eastAsia="Calibri" w:hAnsi="Calibri" w:cs="Calibri"/>
          <w:color w:val="1A1A1A"/>
        </w:rPr>
        <w:t xml:space="preserve"> : droit d’être entendu).</w:t>
      </w:r>
    </w:p>
    <w:p w14:paraId="3E1DEF4F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Européen</w:t>
      </w:r>
      <w:r>
        <w:rPr>
          <w:rFonts w:ascii="Calibri" w:eastAsia="Calibri" w:hAnsi="Calibri" w:cs="Calibri"/>
          <w:color w:val="1A1A1A"/>
        </w:rPr>
        <w:t xml:space="preserve"> : </w:t>
      </w:r>
      <w:r>
        <w:rPr>
          <w:rFonts w:ascii="Calibri" w:eastAsia="Calibri" w:hAnsi="Calibri" w:cs="Calibri"/>
          <w:color w:val="1E88E5"/>
        </w:rPr>
        <w:t>art. 8 CEDH</w:t>
      </w:r>
      <w:r>
        <w:rPr>
          <w:rFonts w:ascii="Calibri" w:eastAsia="Calibri" w:hAnsi="Calibri" w:cs="Calibri"/>
          <w:color w:val="1A1A1A"/>
        </w:rPr>
        <w:t xml:space="preserve"> (vie familiale) ; </w:t>
      </w:r>
      <w:r>
        <w:rPr>
          <w:rFonts w:ascii="Calibri" w:eastAsia="Calibri" w:hAnsi="Calibri" w:cs="Calibri"/>
          <w:color w:val="1E88E5"/>
        </w:rPr>
        <w:t>art. 12 CEDH</w:t>
      </w:r>
      <w:r>
        <w:rPr>
          <w:rFonts w:ascii="Calibri" w:eastAsia="Calibri" w:hAnsi="Calibri" w:cs="Calibri"/>
          <w:color w:val="1A1A1A"/>
        </w:rPr>
        <w:t xml:space="preserve"> (droit de se marier et de fonder une famille « selon les lois nationales ») ; </w:t>
      </w:r>
      <w:r>
        <w:rPr>
          <w:rFonts w:ascii="Calibri" w:eastAsia="Calibri" w:hAnsi="Calibri" w:cs="Calibri"/>
          <w:color w:val="1E88E5"/>
        </w:rPr>
        <w:t>art. 5 du Protocole n° 7</w:t>
      </w:r>
      <w:r>
        <w:rPr>
          <w:rFonts w:ascii="Calibri" w:eastAsia="Calibri" w:hAnsi="Calibri" w:cs="Calibri"/>
          <w:color w:val="1A1A1A"/>
        </w:rPr>
        <w:t xml:space="preserve"> (égalité des époux) ; </w:t>
      </w:r>
      <w:r>
        <w:rPr>
          <w:rFonts w:ascii="Calibri" w:eastAsia="Calibri" w:hAnsi="Calibri" w:cs="Calibri"/>
          <w:color w:val="1E88E5"/>
        </w:rPr>
        <w:t>art. 14</w:t>
      </w:r>
      <w:r>
        <w:rPr>
          <w:rFonts w:ascii="Calibri" w:eastAsia="Calibri" w:hAnsi="Calibri" w:cs="Calibri"/>
          <w:color w:val="1A1A1A"/>
        </w:rPr>
        <w:t xml:space="preserve"> (non-discrimination) ; </w:t>
      </w:r>
      <w:r>
        <w:rPr>
          <w:rFonts w:ascii="Calibri" w:eastAsia="Calibri" w:hAnsi="Calibri" w:cs="Calibri"/>
          <w:color w:val="1E88E5"/>
        </w:rPr>
        <w:t>art. 7, 9 et 24 CDFUE</w:t>
      </w:r>
      <w:r>
        <w:rPr>
          <w:rFonts w:ascii="Calibri" w:eastAsia="Calibri" w:hAnsi="Calibri" w:cs="Calibri"/>
          <w:color w:val="1A1A1A"/>
        </w:rPr>
        <w:t xml:space="preserve"> (droits de l’enfant).</w:t>
      </w:r>
    </w:p>
    <w:p w14:paraId="1D728DCE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Constitutionnel</w:t>
      </w:r>
      <w:r>
        <w:rPr>
          <w:rFonts w:ascii="Calibri" w:eastAsia="Calibri" w:hAnsi="Calibri" w:cs="Calibri"/>
          <w:color w:val="1A1A1A"/>
        </w:rPr>
        <w:t xml:space="preserve"> : </w:t>
      </w:r>
      <w:r>
        <w:rPr>
          <w:rFonts w:ascii="Calibri" w:eastAsia="Calibri" w:hAnsi="Calibri" w:cs="Calibri"/>
          <w:color w:val="1E88E5"/>
        </w:rPr>
        <w:t>alinéa 10 du Préambule de 1946</w:t>
      </w:r>
      <w:r>
        <w:rPr>
          <w:rFonts w:ascii="Calibri" w:eastAsia="Calibri" w:hAnsi="Calibri" w:cs="Calibri"/>
          <w:color w:val="1A1A1A"/>
        </w:rPr>
        <w:t xml:space="preserve"> — « La Nation assure à l’individu et à la famille les conditions nécessaires à leur développement » ; </w:t>
      </w:r>
      <w:r>
        <w:rPr>
          <w:rFonts w:ascii="Calibri" w:eastAsia="Calibri" w:hAnsi="Calibri" w:cs="Calibri"/>
          <w:color w:val="1E88E5"/>
        </w:rPr>
        <w:t>alinéa 11</w:t>
      </w:r>
      <w:r>
        <w:rPr>
          <w:rFonts w:ascii="Calibri" w:eastAsia="Calibri" w:hAnsi="Calibri" w:cs="Calibri"/>
          <w:color w:val="1A1A1A"/>
        </w:rPr>
        <w:t xml:space="preserve"> (protection de l’enfant, de la mère). Le droit de mener une vie familiale normale, d’abord </w:t>
      </w:r>
      <w:r>
        <w:rPr>
          <w:rFonts w:ascii="Calibri" w:eastAsia="Calibri" w:hAnsi="Calibri" w:cs="Calibri"/>
          <w:b/>
          <w:bCs/>
          <w:color w:val="1A1A1A"/>
        </w:rPr>
        <w:t>principe général du droit</w:t>
      </w:r>
      <w:r>
        <w:rPr>
          <w:rFonts w:ascii="Calibri" w:eastAsia="Calibri" w:hAnsi="Calibri" w:cs="Calibri"/>
          <w:color w:val="1A1A1A"/>
        </w:rPr>
        <w:t xml:space="preserve"> (</w:t>
      </w:r>
      <w:r>
        <w:rPr>
          <w:rFonts w:ascii="Calibri" w:eastAsia="Calibri" w:hAnsi="Calibri" w:cs="Calibri"/>
          <w:color w:val="E91E63"/>
        </w:rPr>
        <w:t>CE, ass., 8 décembre 1978, GISTI, n° 10097</w:t>
      </w:r>
      <w:r>
        <w:rPr>
          <w:rFonts w:ascii="Calibri" w:eastAsia="Calibri" w:hAnsi="Calibri" w:cs="Calibri"/>
          <w:color w:val="1A1A1A"/>
        </w:rPr>
        <w:t xml:space="preserve">), devient </w:t>
      </w:r>
      <w:r>
        <w:rPr>
          <w:rFonts w:ascii="Calibri" w:eastAsia="Calibri" w:hAnsi="Calibri" w:cs="Calibri"/>
          <w:b/>
          <w:bCs/>
          <w:color w:val="1A1A1A"/>
        </w:rPr>
        <w:t>exigence constitutionnelle</w:t>
      </w:r>
      <w:r>
        <w:rPr>
          <w:rFonts w:ascii="Calibri" w:eastAsia="Calibri" w:hAnsi="Calibri" w:cs="Calibri"/>
          <w:color w:val="1A1A1A"/>
        </w:rPr>
        <w:t xml:space="preserve"> (</w:t>
      </w:r>
      <w:r>
        <w:rPr>
          <w:rFonts w:ascii="Calibri" w:eastAsia="Calibri" w:hAnsi="Calibri" w:cs="Calibri"/>
          <w:color w:val="E91E63"/>
        </w:rPr>
        <w:t>93-325 DC</w:t>
      </w:r>
      <w:r>
        <w:rPr>
          <w:rFonts w:ascii="Calibri" w:eastAsia="Calibri" w:hAnsi="Calibri" w:cs="Calibri"/>
          <w:color w:val="1A1A1A"/>
        </w:rPr>
        <w:t>).</w:t>
      </w:r>
    </w:p>
    <w:p w14:paraId="4EB6E516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Liberté fondamentale</w:t>
      </w:r>
      <w:r>
        <w:rPr>
          <w:rFonts w:ascii="Calibri" w:eastAsia="Calibri" w:hAnsi="Calibri" w:cs="Calibri"/>
          <w:color w:val="1A1A1A"/>
        </w:rPr>
        <w:t xml:space="preserve"> au sens de l’</w:t>
      </w:r>
      <w:r>
        <w:rPr>
          <w:rFonts w:ascii="Calibri" w:eastAsia="Calibri" w:hAnsi="Calibri" w:cs="Calibri"/>
          <w:color w:val="1E88E5"/>
        </w:rPr>
        <w:t>art. L. 521-2 CJA</w:t>
      </w:r>
      <w:r>
        <w:rPr>
          <w:rFonts w:ascii="Calibri" w:eastAsia="Calibri" w:hAnsi="Calibri" w:cs="Calibri"/>
          <w:color w:val="1A1A1A"/>
        </w:rPr>
        <w:t xml:space="preserve"> (</w:t>
      </w:r>
      <w:r>
        <w:rPr>
          <w:rFonts w:ascii="Calibri" w:eastAsia="Calibri" w:hAnsi="Calibri" w:cs="Calibri"/>
          <w:color w:val="E91E63"/>
        </w:rPr>
        <w:t>CE, ord., 30 octobre 2001, Mme Tliba, n° 238211</w:t>
      </w:r>
      <w:r>
        <w:rPr>
          <w:rFonts w:ascii="Calibri" w:eastAsia="Calibri" w:hAnsi="Calibri" w:cs="Calibri"/>
          <w:color w:val="1A1A1A"/>
        </w:rPr>
        <w:t>) — le fascicule écrit « L. 512-2 », coquille.</w:t>
      </w:r>
    </w:p>
    <w:p w14:paraId="597F613F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Office du juge</w:t>
      </w:r>
      <w:r>
        <w:rPr>
          <w:rFonts w:ascii="Calibri" w:eastAsia="Calibri" w:hAnsi="Calibri" w:cs="Calibri"/>
          <w:color w:val="1A1A1A"/>
        </w:rPr>
        <w:t xml:space="preserve"> : contrôle de proportionnalité « concret » par le juge judiciaire, même dans les litiges internes (</w:t>
      </w:r>
      <w:r>
        <w:rPr>
          <w:rFonts w:ascii="Calibri" w:eastAsia="Calibri" w:hAnsi="Calibri" w:cs="Calibri"/>
          <w:color w:val="E91E63"/>
        </w:rPr>
        <w:t>Cass. 1re civ., 4 décembre 2013, n° 12-26.066</w:t>
      </w:r>
      <w:r>
        <w:rPr>
          <w:rFonts w:ascii="Calibri" w:eastAsia="Calibri" w:hAnsi="Calibri" w:cs="Calibri"/>
          <w:color w:val="1A1A1A"/>
        </w:rPr>
        <w:t>, mariage entre alliés) ; contrôle de conventionnalité in concreto par le juge administratif (</w:t>
      </w:r>
      <w:r>
        <w:rPr>
          <w:rFonts w:ascii="Calibri" w:eastAsia="Calibri" w:hAnsi="Calibri" w:cs="Calibri"/>
          <w:color w:val="E91E63"/>
        </w:rPr>
        <w:t>CE, ass., 31 mai 2016, Gonzalez-Gomez, n° 396848</w:t>
      </w:r>
      <w:r>
        <w:rPr>
          <w:rFonts w:ascii="Calibri" w:eastAsia="Calibri" w:hAnsi="Calibri" w:cs="Calibri"/>
          <w:color w:val="1A1A1A"/>
        </w:rPr>
        <w:t xml:space="preserve"> : exportation de gamètes autorisée malgré l’interdiction légale) ; ordre public international (</w:t>
      </w:r>
      <w:r>
        <w:rPr>
          <w:rFonts w:ascii="Calibri" w:eastAsia="Calibri" w:hAnsi="Calibri" w:cs="Calibri"/>
          <w:color w:val="E91E63"/>
        </w:rPr>
        <w:t>Cass. 1re civ., 30 avril 2025, n° 22-24.549</w:t>
      </w:r>
      <w:r>
        <w:rPr>
          <w:rFonts w:ascii="Calibri" w:eastAsia="Calibri" w:hAnsi="Calibri" w:cs="Calibri"/>
          <w:color w:val="1A1A1A"/>
        </w:rPr>
        <w:t xml:space="preserve"> : loi étrangère privant l’enfant de l’action en recherche de paternité écartée ; </w:t>
      </w:r>
      <w:r>
        <w:rPr>
          <w:rFonts w:ascii="Calibri" w:eastAsia="Calibri" w:hAnsi="Calibri" w:cs="Calibri"/>
          <w:color w:val="E91E63"/>
        </w:rPr>
        <w:t>CE, 24 avril 2025, n° 490561</w:t>
      </w:r>
      <w:r>
        <w:rPr>
          <w:rFonts w:ascii="Calibri" w:eastAsia="Calibri" w:hAnsi="Calibri" w:cs="Calibri"/>
          <w:color w:val="1A1A1A"/>
        </w:rPr>
        <w:t xml:space="preserve"> : l’</w:t>
      </w:r>
      <w:r>
        <w:rPr>
          <w:rFonts w:ascii="Calibri" w:eastAsia="Calibri" w:hAnsi="Calibri" w:cs="Calibri"/>
          <w:b/>
          <w:bCs/>
          <w:color w:val="1A1A1A"/>
        </w:rPr>
        <w:t>égalité des parents</w:t>
      </w:r>
      <w:r>
        <w:rPr>
          <w:rFonts w:ascii="Calibri" w:eastAsia="Calibri" w:hAnsi="Calibri" w:cs="Calibri"/>
          <w:color w:val="1A1A1A"/>
        </w:rPr>
        <w:t xml:space="preserve"> dans l’exercice de l’autorité parentale relève de l’ordre public international).</w:t>
      </w:r>
    </w:p>
    <w:p w14:paraId="06C28914" w14:textId="77777777" w:rsidR="00C05C80" w:rsidRDefault="00000000">
      <w:pPr>
        <w:pStyle w:val="Titre2"/>
        <w:spacing w:before="280" w:after="12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2. Le mariage : liberté et dissolution</w:t>
      </w:r>
    </w:p>
    <w:p w14:paraId="701179E9" w14:textId="77777777" w:rsidR="00C05C80" w:rsidRDefault="00000000">
      <w:pPr>
        <w:pStyle w:val="Titre3"/>
        <w:spacing w:before="200" w:after="90"/>
      </w:pPr>
      <w:r>
        <w:rPr>
          <w:rFonts w:ascii="Calibri" w:eastAsia="Calibri" w:hAnsi="Calibri" w:cs="Calibri"/>
          <w:b/>
          <w:bCs/>
          <w:i/>
          <w:iCs/>
          <w:color w:val="5A5A5A"/>
          <w:sz w:val="21"/>
          <w:szCs w:val="21"/>
        </w:rPr>
        <w:t>2.1. La liberté du mariage</w:t>
      </w:r>
    </w:p>
    <w:p w14:paraId="697EE1F1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color w:val="1E88E5"/>
        </w:rPr>
        <w:t>Art. 12 CEDH</w:t>
      </w:r>
      <w:r>
        <w:rPr>
          <w:rFonts w:ascii="Calibri" w:eastAsia="Calibri" w:hAnsi="Calibri" w:cs="Calibri"/>
          <w:color w:val="1A1A1A"/>
        </w:rPr>
        <w:t xml:space="preserve"> : droit non absolu, malgré l’absence de clause de restriction ; conditions de fond et de forme admises (</w:t>
      </w:r>
      <w:r>
        <w:rPr>
          <w:rFonts w:ascii="Calibri" w:eastAsia="Calibri" w:hAnsi="Calibri" w:cs="Calibri"/>
          <w:color w:val="E91E63"/>
        </w:rPr>
        <w:t>CEDH, 5 janvier 2010, Frasik c. Pologne</w:t>
      </w:r>
      <w:r>
        <w:rPr>
          <w:rFonts w:ascii="Calibri" w:eastAsia="Calibri" w:hAnsi="Calibri" w:cs="Calibri"/>
          <w:color w:val="1A1A1A"/>
        </w:rPr>
        <w:t xml:space="preserve">, droit au mariage d’un détenu), mais sans atteinte à sa </w:t>
      </w:r>
      <w:r>
        <w:rPr>
          <w:rFonts w:ascii="Calibri" w:eastAsia="Calibri" w:hAnsi="Calibri" w:cs="Calibri"/>
          <w:b/>
          <w:bCs/>
          <w:color w:val="1A1A1A"/>
        </w:rPr>
        <w:t>substance</w:t>
      </w:r>
      <w:r>
        <w:rPr>
          <w:rFonts w:ascii="Calibri" w:eastAsia="Calibri" w:hAnsi="Calibri" w:cs="Calibri"/>
          <w:color w:val="1A1A1A"/>
        </w:rPr>
        <w:t xml:space="preserve"> ; l’interdiction temporaire de remariage viole l’</w:t>
      </w:r>
      <w:r>
        <w:rPr>
          <w:rFonts w:ascii="Calibri" w:eastAsia="Calibri" w:hAnsi="Calibri" w:cs="Calibri"/>
          <w:color w:val="1E88E5"/>
        </w:rPr>
        <w:t>art. 12</w:t>
      </w:r>
      <w:r>
        <w:rPr>
          <w:rFonts w:ascii="Calibri" w:eastAsia="Calibri" w:hAnsi="Calibri" w:cs="Calibri"/>
          <w:color w:val="1A1A1A"/>
        </w:rPr>
        <w:t xml:space="preserve"> (</w:t>
      </w:r>
      <w:r>
        <w:rPr>
          <w:rFonts w:ascii="Calibri" w:eastAsia="Calibri" w:hAnsi="Calibri" w:cs="Calibri"/>
          <w:color w:val="E91E63"/>
        </w:rPr>
        <w:t>CEDH, 18 décembre 1987, F. c. Suisse</w:t>
      </w:r>
      <w:r>
        <w:rPr>
          <w:rFonts w:ascii="Calibri" w:eastAsia="Calibri" w:hAnsi="Calibri" w:cs="Calibri"/>
          <w:color w:val="1A1A1A"/>
        </w:rPr>
        <w:t>).</w:t>
      </w:r>
    </w:p>
    <w:p w14:paraId="43AED5F5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Couples de même sexe</w:t>
      </w:r>
      <w:r>
        <w:rPr>
          <w:rFonts w:ascii="Calibri" w:eastAsia="Calibri" w:hAnsi="Calibri" w:cs="Calibri"/>
          <w:color w:val="1A1A1A"/>
        </w:rPr>
        <w:t xml:space="preserve"> : pas d’obligation conventionnelle d’ouvrir le mariage (</w:t>
      </w:r>
      <w:r>
        <w:rPr>
          <w:rFonts w:ascii="Calibri" w:eastAsia="Calibri" w:hAnsi="Calibri" w:cs="Calibri"/>
          <w:color w:val="E91E63"/>
        </w:rPr>
        <w:t>CEDH, 24 juin 2010, Schalk et Kopf c. Autriche, n° 30141/04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CEDH, 15 mars 2012, Gas et Dubois c. France</w:t>
      </w:r>
      <w:r>
        <w:rPr>
          <w:rFonts w:ascii="Calibri" w:eastAsia="Calibri" w:hAnsi="Calibri" w:cs="Calibri"/>
          <w:color w:val="1A1A1A"/>
        </w:rPr>
        <w:t>) ; obligation d’un statut juridique (</w:t>
      </w:r>
      <w:r>
        <w:rPr>
          <w:rFonts w:ascii="Calibri" w:eastAsia="Calibri" w:hAnsi="Calibri" w:cs="Calibri"/>
          <w:color w:val="E91E63"/>
        </w:rPr>
        <w:t>CEDH, 21 juillet 2015, Oliari et autres c. Italie, n° 18766/11</w:t>
      </w:r>
      <w:r>
        <w:rPr>
          <w:rFonts w:ascii="Calibri" w:eastAsia="Calibri" w:hAnsi="Calibri" w:cs="Calibri"/>
          <w:color w:val="1A1A1A"/>
        </w:rPr>
        <w:t xml:space="preserve"> — </w:t>
      </w:r>
      <w:r>
        <w:rPr>
          <w:rFonts w:ascii="Calibri" w:eastAsia="Calibri" w:hAnsi="Calibri" w:cs="Calibri"/>
          <w:b/>
          <w:bCs/>
          <w:color w:val="1A1A1A"/>
        </w:rPr>
        <w:t>21 juillet</w:t>
      </w:r>
      <w:r>
        <w:rPr>
          <w:rFonts w:ascii="Calibri" w:eastAsia="Calibri" w:hAnsi="Calibri" w:cs="Calibri"/>
          <w:color w:val="1A1A1A"/>
        </w:rPr>
        <w:t xml:space="preserve">, non « 21 juin » ; </w:t>
      </w:r>
      <w:r>
        <w:rPr>
          <w:rFonts w:ascii="Calibri" w:eastAsia="Calibri" w:hAnsi="Calibri" w:cs="Calibri"/>
          <w:color w:val="E91E63"/>
        </w:rPr>
        <w:t>CEDH [GC], 17 janvier 2023, Fedotova c. Russie</w:t>
      </w:r>
      <w:r>
        <w:rPr>
          <w:rFonts w:ascii="Calibri" w:eastAsia="Calibri" w:hAnsi="Calibri" w:cs="Calibri"/>
          <w:color w:val="1A1A1A"/>
        </w:rPr>
        <w:t xml:space="preserve">). </w:t>
      </w:r>
      <w:r>
        <w:rPr>
          <w:rFonts w:ascii="Calibri" w:eastAsia="Calibri" w:hAnsi="Calibri" w:cs="Calibri"/>
          <w:b/>
          <w:bCs/>
          <w:color w:val="1A1A1A"/>
        </w:rPr>
        <w:t>Personnes transgenres</w:t>
      </w:r>
      <w:r>
        <w:rPr>
          <w:rFonts w:ascii="Calibri" w:eastAsia="Calibri" w:hAnsi="Calibri" w:cs="Calibri"/>
          <w:color w:val="1A1A1A"/>
        </w:rPr>
        <w:t xml:space="preserve"> : droit au mariage reconnu (</w:t>
      </w:r>
      <w:r w:rsidRPr="00D91263">
        <w:rPr>
          <w:rFonts w:ascii="Calibri" w:eastAsia="Calibri" w:hAnsi="Calibri" w:cs="Calibri"/>
          <w:color w:val="E91D62"/>
        </w:rPr>
        <w:t>Goodwin, 2002</w:t>
      </w:r>
      <w:r>
        <w:rPr>
          <w:rFonts w:ascii="Calibri" w:eastAsia="Calibri" w:hAnsi="Calibri" w:cs="Calibri"/>
          <w:color w:val="1A1A1A"/>
        </w:rPr>
        <w:t>).</w:t>
      </w:r>
    </w:p>
    <w:p w14:paraId="2552F810" w14:textId="5D9E380A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Droit interne</w:t>
      </w:r>
      <w:r>
        <w:rPr>
          <w:rFonts w:ascii="Calibri" w:eastAsia="Calibri" w:hAnsi="Calibri" w:cs="Calibri"/>
          <w:color w:val="1A1A1A"/>
        </w:rPr>
        <w:t xml:space="preserve"> : </w:t>
      </w:r>
      <w:r w:rsidRPr="00D91263">
        <w:rPr>
          <w:rFonts w:ascii="Calibri" w:eastAsia="Calibri" w:hAnsi="Calibri" w:cs="Calibri"/>
          <w:color w:val="1A1A1A"/>
          <w:highlight w:val="yellow"/>
        </w:rPr>
        <w:t>liberté du mariage composante de la liberté personnelle</w:t>
      </w:r>
      <w:r>
        <w:rPr>
          <w:rFonts w:ascii="Calibri" w:eastAsia="Calibri" w:hAnsi="Calibri" w:cs="Calibri"/>
          <w:color w:val="1A1A1A"/>
        </w:rPr>
        <w:t xml:space="preserve"> (</w:t>
      </w:r>
      <w:r>
        <w:rPr>
          <w:rFonts w:ascii="Calibri" w:eastAsia="Calibri" w:hAnsi="Calibri" w:cs="Calibri"/>
          <w:color w:val="1E88E5"/>
        </w:rPr>
        <w:t>art. 2 et 4 DDHC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2003-484 DC, 20 novembre 2003</w:t>
      </w:r>
      <w:r>
        <w:rPr>
          <w:rFonts w:ascii="Calibri" w:eastAsia="Calibri" w:hAnsi="Calibri" w:cs="Calibri"/>
          <w:color w:val="1A1A1A"/>
        </w:rPr>
        <w:t>) ; limites admises si justifiées par l’intérêt général (</w:t>
      </w:r>
      <w:r>
        <w:rPr>
          <w:rFonts w:ascii="Calibri" w:eastAsia="Calibri" w:hAnsi="Calibri" w:cs="Calibri"/>
          <w:color w:val="E91E63"/>
        </w:rPr>
        <w:t>2012-260 QPC, 29 juin 2012</w:t>
      </w:r>
      <w:r>
        <w:rPr>
          <w:rFonts w:ascii="Calibri" w:eastAsia="Calibri" w:hAnsi="Calibri" w:cs="Calibri"/>
          <w:color w:val="1A1A1A"/>
        </w:rPr>
        <w:t xml:space="preserve">, majeurs en curatelle). </w:t>
      </w:r>
      <w:r>
        <w:rPr>
          <w:rFonts w:ascii="Calibri" w:eastAsia="Calibri" w:hAnsi="Calibri" w:cs="Calibri"/>
          <w:color w:val="E91E63"/>
        </w:rPr>
        <w:t>2010-92 QPC, 28 janvier 2011</w:t>
      </w:r>
      <w:r>
        <w:rPr>
          <w:rFonts w:ascii="Calibri" w:eastAsia="Calibri" w:hAnsi="Calibri" w:cs="Calibri"/>
          <w:color w:val="1A1A1A"/>
        </w:rPr>
        <w:t xml:space="preserve"> : l’interdiction du mariage homosexuel n’est pas contraire à la Constitution ; </w:t>
      </w:r>
      <w:r>
        <w:rPr>
          <w:rFonts w:ascii="Calibri" w:eastAsia="Calibri" w:hAnsi="Calibri" w:cs="Calibri"/>
          <w:color w:val="1E88E5"/>
        </w:rPr>
        <w:t>loi n° 2013-404 du 17 mai 2013</w:t>
      </w:r>
      <w:r>
        <w:rPr>
          <w:rFonts w:ascii="Calibri" w:eastAsia="Calibri" w:hAnsi="Calibri" w:cs="Calibri"/>
          <w:color w:val="1A1A1A"/>
        </w:rPr>
        <w:t xml:space="preserve"> (« Taubira ») ouvre mariage et adoption</w:t>
      </w:r>
      <w:r w:rsidR="00FE093C">
        <w:rPr>
          <w:rFonts w:ascii="Calibri" w:eastAsia="Calibri" w:hAnsi="Calibri" w:cs="Calibri"/>
          <w:color w:val="1A1A1A"/>
        </w:rPr>
        <w:t xml:space="preserve"> aux couples de même sexe</w:t>
      </w:r>
      <w:r>
        <w:rPr>
          <w:rFonts w:ascii="Calibri" w:eastAsia="Calibri" w:hAnsi="Calibri" w:cs="Calibri"/>
          <w:color w:val="1A1A1A"/>
        </w:rPr>
        <w:t xml:space="preserve"> (</w:t>
      </w:r>
      <w:r>
        <w:rPr>
          <w:rFonts w:ascii="Calibri" w:eastAsia="Calibri" w:hAnsi="Calibri" w:cs="Calibri"/>
          <w:color w:val="1E88E5"/>
        </w:rPr>
        <w:t>art. 143 et 6-1 C. civ.</w:t>
      </w:r>
      <w:r>
        <w:rPr>
          <w:rFonts w:ascii="Calibri" w:eastAsia="Calibri" w:hAnsi="Calibri" w:cs="Calibri"/>
          <w:color w:val="1A1A1A"/>
        </w:rPr>
        <w:t xml:space="preserve">) ; </w:t>
      </w:r>
      <w:r>
        <w:rPr>
          <w:rFonts w:ascii="Calibri" w:eastAsia="Calibri" w:hAnsi="Calibri" w:cs="Calibri"/>
          <w:color w:val="E91E63"/>
        </w:rPr>
        <w:t>2013-669 DC, 17 mai 2013</w:t>
      </w:r>
      <w:r>
        <w:rPr>
          <w:rFonts w:ascii="Calibri" w:eastAsia="Calibri" w:hAnsi="Calibri" w:cs="Calibri"/>
          <w:color w:val="1A1A1A"/>
        </w:rPr>
        <w:t xml:space="preserve"> : pas de PFRLR de l’altérité sexuelle du mariage ; </w:t>
      </w:r>
      <w:r>
        <w:rPr>
          <w:rFonts w:ascii="Calibri" w:eastAsia="Calibri" w:hAnsi="Calibri" w:cs="Calibri"/>
          <w:color w:val="E91E63"/>
        </w:rPr>
        <w:t>2013-353 QPC, 18 octobre 2013</w:t>
      </w:r>
      <w:r>
        <w:rPr>
          <w:rFonts w:ascii="Calibri" w:eastAsia="Calibri" w:hAnsi="Calibri" w:cs="Calibri"/>
          <w:color w:val="1A1A1A"/>
        </w:rPr>
        <w:t xml:space="preserve"> : pas de clause de conscience des maires.</w:t>
      </w:r>
    </w:p>
    <w:p w14:paraId="7B035267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Consentement</w:t>
      </w:r>
      <w:r>
        <w:rPr>
          <w:rFonts w:ascii="Calibri" w:eastAsia="Calibri" w:hAnsi="Calibri" w:cs="Calibri"/>
          <w:color w:val="1A1A1A"/>
        </w:rPr>
        <w:t xml:space="preserve"> (</w:t>
      </w:r>
      <w:r>
        <w:rPr>
          <w:rFonts w:ascii="Calibri" w:eastAsia="Calibri" w:hAnsi="Calibri" w:cs="Calibri"/>
          <w:color w:val="1E88E5"/>
        </w:rPr>
        <w:t>art. 146 C. civ.</w:t>
      </w:r>
      <w:r>
        <w:rPr>
          <w:rFonts w:ascii="Calibri" w:eastAsia="Calibri" w:hAnsi="Calibri" w:cs="Calibri"/>
          <w:color w:val="1A1A1A"/>
        </w:rPr>
        <w:t xml:space="preserve">) : mariages simulés (« blancs ») et viciés (« gris ») ; âge nubile fixé à dix-huit ans pour les deux sexes depuis la </w:t>
      </w:r>
      <w:r>
        <w:rPr>
          <w:rFonts w:ascii="Calibri" w:eastAsia="Calibri" w:hAnsi="Calibri" w:cs="Calibri"/>
          <w:color w:val="1E88E5"/>
        </w:rPr>
        <w:t>loi du 4 avril 2006</w:t>
      </w:r>
      <w:r>
        <w:rPr>
          <w:rFonts w:ascii="Calibri" w:eastAsia="Calibri" w:hAnsi="Calibri" w:cs="Calibri"/>
          <w:color w:val="1A1A1A"/>
        </w:rPr>
        <w:t>.</w:t>
      </w:r>
    </w:p>
    <w:p w14:paraId="497D3C64" w14:textId="77777777" w:rsidR="00C05C80" w:rsidRDefault="00000000">
      <w:pPr>
        <w:pStyle w:val="Titre3"/>
        <w:spacing w:before="200" w:after="90"/>
      </w:pPr>
      <w:r>
        <w:rPr>
          <w:rFonts w:ascii="Calibri" w:eastAsia="Calibri" w:hAnsi="Calibri" w:cs="Calibri"/>
          <w:b/>
          <w:bCs/>
          <w:i/>
          <w:iCs/>
          <w:color w:val="5A5A5A"/>
          <w:sz w:val="21"/>
          <w:szCs w:val="21"/>
        </w:rPr>
        <w:t>2.2. La dissolution</w:t>
      </w:r>
    </w:p>
    <w:p w14:paraId="6482B5A6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color w:val="1A1A1A"/>
        </w:rPr>
        <w:t>Pas de droit au divorce tiré de l’</w:t>
      </w:r>
      <w:r>
        <w:rPr>
          <w:rFonts w:ascii="Calibri" w:eastAsia="Calibri" w:hAnsi="Calibri" w:cs="Calibri"/>
          <w:color w:val="1E88E5"/>
        </w:rPr>
        <w:t>art. 12</w:t>
      </w:r>
      <w:r>
        <w:rPr>
          <w:rFonts w:ascii="Calibri" w:eastAsia="Calibri" w:hAnsi="Calibri" w:cs="Calibri"/>
          <w:color w:val="1A1A1A"/>
        </w:rPr>
        <w:t xml:space="preserve"> (</w:t>
      </w:r>
      <w:r>
        <w:rPr>
          <w:rFonts w:ascii="Calibri" w:eastAsia="Calibri" w:hAnsi="Calibri" w:cs="Calibri"/>
          <w:color w:val="E91E63"/>
        </w:rPr>
        <w:t>CEDH, 18 décembre 1986, Johnston c. Irlande</w:t>
      </w:r>
      <w:r>
        <w:rPr>
          <w:rFonts w:ascii="Calibri" w:eastAsia="Calibri" w:hAnsi="Calibri" w:cs="Calibri"/>
          <w:color w:val="1A1A1A"/>
        </w:rPr>
        <w:t>) ; l’accès à la séparation judiciaire doit être effectif (</w:t>
      </w:r>
      <w:r>
        <w:rPr>
          <w:rFonts w:ascii="Calibri" w:eastAsia="Calibri" w:hAnsi="Calibri" w:cs="Calibri"/>
          <w:color w:val="E91E63"/>
        </w:rPr>
        <w:t>CEDH, 9 octobre 1979, Airey c. Irlande</w:t>
      </w:r>
      <w:r>
        <w:rPr>
          <w:rFonts w:ascii="Calibri" w:eastAsia="Calibri" w:hAnsi="Calibri" w:cs="Calibri"/>
          <w:color w:val="1A1A1A"/>
        </w:rPr>
        <w:t xml:space="preserve">, sous l’angle des </w:t>
      </w:r>
      <w:r>
        <w:rPr>
          <w:rFonts w:ascii="Calibri" w:eastAsia="Calibri" w:hAnsi="Calibri" w:cs="Calibri"/>
          <w:color w:val="1E88E5"/>
        </w:rPr>
        <w:t>art. 6 et 8</w:t>
      </w:r>
      <w:r>
        <w:rPr>
          <w:rFonts w:ascii="Calibri" w:eastAsia="Calibri" w:hAnsi="Calibri" w:cs="Calibri"/>
          <w:color w:val="1A1A1A"/>
        </w:rPr>
        <w:t xml:space="preserve">) ; délai de viduité imposé aux seules femmes : violation des </w:t>
      </w:r>
      <w:r>
        <w:rPr>
          <w:rFonts w:ascii="Calibri" w:eastAsia="Calibri" w:hAnsi="Calibri" w:cs="Calibri"/>
          <w:color w:val="1E88E5"/>
        </w:rPr>
        <w:t>art. 12 et 14</w:t>
      </w:r>
      <w:r>
        <w:rPr>
          <w:rFonts w:ascii="Calibri" w:eastAsia="Calibri" w:hAnsi="Calibri" w:cs="Calibri"/>
          <w:color w:val="1A1A1A"/>
        </w:rPr>
        <w:t xml:space="preserve"> (</w:t>
      </w:r>
      <w:r>
        <w:rPr>
          <w:rFonts w:ascii="Calibri" w:eastAsia="Calibri" w:hAnsi="Calibri" w:cs="Calibri"/>
          <w:color w:val="E91E63"/>
        </w:rPr>
        <w:t>CEDH, 27 juin 2023, Nurcan Bayraktar c. Turquie</w:t>
      </w:r>
      <w:r>
        <w:rPr>
          <w:rFonts w:ascii="Calibri" w:eastAsia="Calibri" w:hAnsi="Calibri" w:cs="Calibri"/>
          <w:color w:val="1A1A1A"/>
        </w:rPr>
        <w:t xml:space="preserve">). Liberté de mettre fin au mariage : </w:t>
      </w:r>
      <w:r>
        <w:rPr>
          <w:rFonts w:ascii="Calibri" w:eastAsia="Calibri" w:hAnsi="Calibri" w:cs="Calibri"/>
          <w:color w:val="1E88E5"/>
        </w:rPr>
        <w:t>art. 2 et 4 DDHC</w:t>
      </w:r>
      <w:r>
        <w:rPr>
          <w:rFonts w:ascii="Calibri" w:eastAsia="Calibri" w:hAnsi="Calibri" w:cs="Calibri"/>
          <w:color w:val="1A1A1A"/>
        </w:rPr>
        <w:t xml:space="preserve"> (</w:t>
      </w:r>
      <w:r>
        <w:rPr>
          <w:rFonts w:ascii="Calibri" w:eastAsia="Calibri" w:hAnsi="Calibri" w:cs="Calibri"/>
          <w:color w:val="E91E63"/>
        </w:rPr>
        <w:t>2016-557 QPC, 29 juillet 2016</w:t>
      </w:r>
      <w:r>
        <w:rPr>
          <w:rFonts w:ascii="Calibri" w:eastAsia="Calibri" w:hAnsi="Calibri" w:cs="Calibri"/>
          <w:color w:val="1A1A1A"/>
        </w:rPr>
        <w:t>).</w:t>
      </w:r>
    </w:p>
    <w:p w14:paraId="057F7BAC" w14:textId="77777777" w:rsidR="00C05C80" w:rsidRPr="00FE093C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color w:val="1A1A1A"/>
        </w:rPr>
        <w:t xml:space="preserve">★ </w:t>
      </w:r>
      <w:r>
        <w:rPr>
          <w:rFonts w:ascii="Calibri" w:eastAsia="Calibri" w:hAnsi="Calibri" w:cs="Calibri"/>
          <w:color w:val="E91E63"/>
        </w:rPr>
        <w:t>CEDH, 23 janvier 2025, H.W. c. France, n° 13805/21</w:t>
      </w:r>
      <w:r>
        <w:rPr>
          <w:rFonts w:ascii="Calibri" w:eastAsia="Calibri" w:hAnsi="Calibri" w:cs="Calibri"/>
          <w:color w:val="1A1A1A"/>
        </w:rPr>
        <w:t xml:space="preserve"> : </w:t>
      </w:r>
      <w:r w:rsidRPr="00FE093C">
        <w:rPr>
          <w:rFonts w:ascii="Calibri" w:eastAsia="Calibri" w:hAnsi="Calibri" w:cs="Calibri"/>
          <w:color w:val="1A1A1A"/>
          <w:highlight w:val="yellow"/>
        </w:rPr>
        <w:t>sanctionner comme faute le refus de relations sexuelles porte atteinte à la liberté sexuelle, à l’autonomie corporelle et à la vie privée</w:t>
      </w:r>
      <w:r>
        <w:rPr>
          <w:rFonts w:ascii="Calibri" w:eastAsia="Calibri" w:hAnsi="Calibri" w:cs="Calibri"/>
          <w:color w:val="1A1A1A"/>
        </w:rPr>
        <w:t xml:space="preserve">. </w:t>
      </w:r>
      <w:r>
        <w:rPr>
          <w:rFonts w:ascii="Calibri" w:eastAsia="Calibri" w:hAnsi="Calibri" w:cs="Calibri"/>
          <w:b/>
          <w:bCs/>
          <w:color w:val="1A1A1A"/>
        </w:rPr>
        <w:t>Le consentement au mariage ne vaut jamais consentement anticipé aux relations sexuelles</w:t>
      </w:r>
      <w:r>
        <w:rPr>
          <w:rFonts w:ascii="Calibri" w:eastAsia="Calibri" w:hAnsi="Calibri" w:cs="Calibri"/>
          <w:color w:val="1A1A1A"/>
        </w:rPr>
        <w:t xml:space="preserve"> ; la « communauté de vie » de l’</w:t>
      </w:r>
      <w:r>
        <w:rPr>
          <w:rFonts w:ascii="Calibri" w:eastAsia="Calibri" w:hAnsi="Calibri" w:cs="Calibri"/>
          <w:color w:val="1E88E5"/>
        </w:rPr>
        <w:t>art. 215 C. civ.</w:t>
      </w:r>
      <w:r>
        <w:rPr>
          <w:rFonts w:ascii="Calibri" w:eastAsia="Calibri" w:hAnsi="Calibri" w:cs="Calibri"/>
          <w:color w:val="1A1A1A"/>
        </w:rPr>
        <w:t xml:space="preserve"> n’emporte pas d’obligation sanctionnée.</w:t>
      </w:r>
    </w:p>
    <w:p w14:paraId="45DEDF5F" w14:textId="77DB1565" w:rsidR="00FE093C" w:rsidRDefault="00FE093C" w:rsidP="00FE093C">
      <w:pPr>
        <w:pStyle w:val="Paragraphedeliste"/>
        <w:spacing w:after="70" w:line="264" w:lineRule="auto"/>
        <w:ind w:left="340"/>
        <w:jc w:val="both"/>
        <w:rPr>
          <w:rFonts w:ascii="Calibri" w:eastAsia="Calibri" w:hAnsi="Calibri" w:cs="Calibri"/>
          <w:color w:val="1A1A1A"/>
        </w:rPr>
      </w:pPr>
    </w:p>
    <w:p w14:paraId="245CEC5C" w14:textId="77777777" w:rsidR="00FE093C" w:rsidRDefault="00FE093C" w:rsidP="00FE093C">
      <w:pPr>
        <w:pStyle w:val="Paragraphedeliste"/>
        <w:spacing w:after="70" w:line="264" w:lineRule="auto"/>
        <w:ind w:left="340"/>
        <w:jc w:val="both"/>
      </w:pPr>
    </w:p>
    <w:p w14:paraId="06B82B36" w14:textId="77777777" w:rsidR="00C05C80" w:rsidRDefault="00000000">
      <w:pPr>
        <w:pStyle w:val="Titre2"/>
        <w:spacing w:before="280" w:after="12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lastRenderedPageBreak/>
        <w:t>3. La vie familiale protégée : existence et effectivité</w:t>
      </w:r>
    </w:p>
    <w:p w14:paraId="625E7328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Préexistence</w:t>
      </w:r>
      <w:r>
        <w:rPr>
          <w:rFonts w:ascii="Calibri" w:eastAsia="Calibri" w:hAnsi="Calibri" w:cs="Calibri"/>
          <w:color w:val="1A1A1A"/>
        </w:rPr>
        <w:t xml:space="preserve"> : l’</w:t>
      </w:r>
      <w:r>
        <w:rPr>
          <w:rFonts w:ascii="Calibri" w:eastAsia="Calibri" w:hAnsi="Calibri" w:cs="Calibri"/>
          <w:color w:val="1E88E5"/>
        </w:rPr>
        <w:t>art. 8</w:t>
      </w:r>
      <w:r>
        <w:rPr>
          <w:rFonts w:ascii="Calibri" w:eastAsia="Calibri" w:hAnsi="Calibri" w:cs="Calibri"/>
          <w:color w:val="1A1A1A"/>
        </w:rPr>
        <w:t xml:space="preserve"> suppose une famille existante (</w:t>
      </w:r>
      <w:r>
        <w:rPr>
          <w:rFonts w:ascii="Calibri" w:eastAsia="Calibri" w:hAnsi="Calibri" w:cs="Calibri"/>
          <w:color w:val="E91E63"/>
        </w:rPr>
        <w:t>Marckx</w:t>
      </w:r>
      <w:r>
        <w:rPr>
          <w:rFonts w:ascii="Calibri" w:eastAsia="Calibri" w:hAnsi="Calibri" w:cs="Calibri"/>
          <w:color w:val="1A1A1A"/>
        </w:rPr>
        <w:t>) ; les désirs de fonder une famille ou d’adopter ne sont pas protégés en eux-mêmes (</w:t>
      </w:r>
      <w:r>
        <w:rPr>
          <w:rFonts w:ascii="Calibri" w:eastAsia="Calibri" w:hAnsi="Calibri" w:cs="Calibri"/>
          <w:color w:val="E91E63"/>
        </w:rPr>
        <w:t>CEDH, 26 février 2002, Fretté c. France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CEDH [GC], 22 janvier 2008, E.B. c. France</w:t>
      </w:r>
      <w:r>
        <w:rPr>
          <w:rFonts w:ascii="Calibri" w:eastAsia="Calibri" w:hAnsi="Calibri" w:cs="Calibri"/>
          <w:color w:val="1A1A1A"/>
        </w:rPr>
        <w:t xml:space="preserve"> pour la non-discrimination).</w:t>
      </w:r>
    </w:p>
    <w:p w14:paraId="5C74BCBE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Effectivité</w:t>
      </w:r>
      <w:r>
        <w:rPr>
          <w:rFonts w:ascii="Calibri" w:eastAsia="Calibri" w:hAnsi="Calibri" w:cs="Calibri"/>
          <w:color w:val="1A1A1A"/>
        </w:rPr>
        <w:t xml:space="preserve"> : vie familiale </w:t>
      </w:r>
      <w:r>
        <w:rPr>
          <w:rFonts w:ascii="Calibri" w:eastAsia="Calibri" w:hAnsi="Calibri" w:cs="Calibri"/>
          <w:i/>
          <w:iCs/>
          <w:color w:val="1A1A1A"/>
        </w:rPr>
        <w:t>de facto</w:t>
      </w:r>
      <w:r>
        <w:rPr>
          <w:rFonts w:ascii="Calibri" w:eastAsia="Calibri" w:hAnsi="Calibri" w:cs="Calibri"/>
          <w:color w:val="1A1A1A"/>
        </w:rPr>
        <w:t xml:space="preserve"> sans mariage (</w:t>
      </w:r>
      <w:r>
        <w:rPr>
          <w:rFonts w:ascii="Calibri" w:eastAsia="Calibri" w:hAnsi="Calibri" w:cs="Calibri"/>
          <w:color w:val="E91E63"/>
        </w:rPr>
        <w:t>Johnston</w:t>
      </w:r>
      <w:r>
        <w:rPr>
          <w:rFonts w:ascii="Calibri" w:eastAsia="Calibri" w:hAnsi="Calibri" w:cs="Calibri"/>
          <w:color w:val="1A1A1A"/>
        </w:rPr>
        <w:t>) ; cohabitation, durée, enfants communs (</w:t>
      </w:r>
      <w:r>
        <w:rPr>
          <w:rFonts w:ascii="Calibri" w:eastAsia="Calibri" w:hAnsi="Calibri" w:cs="Calibri"/>
          <w:color w:val="E91E63"/>
        </w:rPr>
        <w:t>X, Y et Z c. Royaume-</w:t>
      </w:r>
      <w:r w:rsidRPr="00D23A8D">
        <w:rPr>
          <w:rFonts w:ascii="Calibri" w:eastAsia="Calibri" w:hAnsi="Calibri" w:cs="Calibri"/>
          <w:color w:val="E91D62"/>
        </w:rPr>
        <w:t>Uni, 1997</w:t>
      </w:r>
      <w:r>
        <w:rPr>
          <w:rFonts w:ascii="Calibri" w:eastAsia="Calibri" w:hAnsi="Calibri" w:cs="Calibri"/>
          <w:color w:val="1A1A1A"/>
        </w:rPr>
        <w:t>) ; reconnaissance d’une adoption étrangère (</w:t>
      </w:r>
      <w:r>
        <w:rPr>
          <w:rFonts w:ascii="Calibri" w:eastAsia="Calibri" w:hAnsi="Calibri" w:cs="Calibri"/>
          <w:color w:val="E91E63"/>
        </w:rPr>
        <w:t>CEDH, 28 juin 2007, Wagner et J.M.W.L. c. Luxembourg</w:t>
      </w:r>
      <w:r>
        <w:rPr>
          <w:rFonts w:ascii="Calibri" w:eastAsia="Calibri" w:hAnsi="Calibri" w:cs="Calibri"/>
          <w:color w:val="1A1A1A"/>
        </w:rPr>
        <w:t xml:space="preserve">) ; </w:t>
      </w:r>
      <w:r w:rsidRPr="00D23A8D">
        <w:rPr>
          <w:rFonts w:ascii="Calibri" w:eastAsia="Calibri" w:hAnsi="Calibri" w:cs="Calibri"/>
          <w:color w:val="1A1A1A"/>
          <w:highlight w:val="yellow"/>
        </w:rPr>
        <w:t>à l’inverse, absence de vie familiale avec un enfant né de GPA retiré après quelques mois, sans lien biologique</w:t>
      </w:r>
      <w:r>
        <w:rPr>
          <w:rFonts w:ascii="Calibri" w:eastAsia="Calibri" w:hAnsi="Calibri" w:cs="Calibri"/>
          <w:color w:val="1A1A1A"/>
        </w:rPr>
        <w:t xml:space="preserve"> (</w:t>
      </w:r>
      <w:r>
        <w:rPr>
          <w:rFonts w:ascii="Calibri" w:eastAsia="Calibri" w:hAnsi="Calibri" w:cs="Calibri"/>
          <w:color w:val="E91E63"/>
        </w:rPr>
        <w:t>CEDH [GC], 24 janvier 2017, Paradiso et Campanelli c. Italie</w:t>
      </w:r>
      <w:r>
        <w:rPr>
          <w:rFonts w:ascii="Calibri" w:eastAsia="Calibri" w:hAnsi="Calibri" w:cs="Calibri"/>
          <w:color w:val="1A1A1A"/>
        </w:rPr>
        <w:t>).</w:t>
      </w:r>
    </w:p>
    <w:p w14:paraId="05799E7E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Préjudice moral de l’enfant à naître</w:t>
      </w:r>
      <w:r>
        <w:rPr>
          <w:rFonts w:ascii="Calibri" w:eastAsia="Calibri" w:hAnsi="Calibri" w:cs="Calibri"/>
          <w:color w:val="1A1A1A"/>
        </w:rPr>
        <w:t xml:space="preserve"> : l’enfant conçu, non né au décès accidentel de son père, est indemnisé du seul fait du lien de parenté (</w:t>
      </w:r>
      <w:r>
        <w:rPr>
          <w:rFonts w:ascii="Calibri" w:eastAsia="Calibri" w:hAnsi="Calibri" w:cs="Calibri"/>
          <w:color w:val="E91E63"/>
        </w:rPr>
        <w:t>Cass. 2e civ., 14 décembre 2017, n° 16-26.687</w:t>
      </w:r>
      <w:r>
        <w:rPr>
          <w:rFonts w:ascii="Calibri" w:eastAsia="Calibri" w:hAnsi="Calibri" w:cs="Calibri"/>
          <w:color w:val="1A1A1A"/>
        </w:rPr>
        <w:t>) ; idem pour le grand-père (</w:t>
      </w:r>
      <w:r>
        <w:rPr>
          <w:rFonts w:ascii="Calibri" w:eastAsia="Calibri" w:hAnsi="Calibri" w:cs="Calibri"/>
          <w:color w:val="E91E63"/>
        </w:rPr>
        <w:t>Cass. 2e civ., 11 février 2021, n° 19-23.525</w:t>
      </w:r>
      <w:r>
        <w:rPr>
          <w:rFonts w:ascii="Calibri" w:eastAsia="Calibri" w:hAnsi="Calibri" w:cs="Calibri"/>
          <w:color w:val="1A1A1A"/>
        </w:rPr>
        <w:t xml:space="preserve">) — conception </w:t>
      </w:r>
      <w:r>
        <w:rPr>
          <w:rFonts w:ascii="Calibri" w:eastAsia="Calibri" w:hAnsi="Calibri" w:cs="Calibri"/>
          <w:b/>
          <w:bCs/>
          <w:color w:val="1A1A1A"/>
        </w:rPr>
        <w:t>objective</w:t>
      </w:r>
      <w:r>
        <w:rPr>
          <w:rFonts w:ascii="Calibri" w:eastAsia="Calibri" w:hAnsi="Calibri" w:cs="Calibri"/>
          <w:color w:val="1A1A1A"/>
        </w:rPr>
        <w:t xml:space="preserve"> du préjudice d’affection.</w:t>
      </w:r>
    </w:p>
    <w:p w14:paraId="25C1F69B" w14:textId="77777777" w:rsidR="00C05C80" w:rsidRDefault="00000000">
      <w:pPr>
        <w:pStyle w:val="Titre2"/>
        <w:spacing w:before="280" w:after="12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4. L’établissement du lien de parenté</w:t>
      </w:r>
    </w:p>
    <w:p w14:paraId="1D1E5FF1" w14:textId="77777777" w:rsidR="00C05C80" w:rsidRDefault="00000000">
      <w:pPr>
        <w:pStyle w:val="Titre3"/>
        <w:spacing w:before="200" w:after="90"/>
      </w:pPr>
      <w:r>
        <w:rPr>
          <w:rFonts w:ascii="Calibri" w:eastAsia="Calibri" w:hAnsi="Calibri" w:cs="Calibri"/>
          <w:b/>
          <w:bCs/>
          <w:i/>
          <w:iCs/>
          <w:color w:val="5A5A5A"/>
          <w:sz w:val="21"/>
          <w:szCs w:val="21"/>
        </w:rPr>
        <w:t>4.1. Filiation et égalité des enfants</w:t>
      </w:r>
    </w:p>
    <w:p w14:paraId="31536CE7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color w:val="1A1A1A"/>
        </w:rPr>
        <w:t>Ingérence lorsque l’État empêche les parents biologiques d’établir la filiation (</w:t>
      </w:r>
      <w:r>
        <w:rPr>
          <w:rFonts w:ascii="Calibri" w:eastAsia="Calibri" w:hAnsi="Calibri" w:cs="Calibri"/>
          <w:color w:val="E91E63"/>
        </w:rPr>
        <w:t>CEDH, 12 octobre 2023, C.P. et M.N. c. France</w:t>
      </w:r>
      <w:r>
        <w:rPr>
          <w:rFonts w:ascii="Calibri" w:eastAsia="Calibri" w:hAnsi="Calibri" w:cs="Calibri"/>
          <w:color w:val="1A1A1A"/>
        </w:rPr>
        <w:t>) ; père biologique empêché de contester une reconnaissance de complaisance (</w:t>
      </w:r>
      <w:r>
        <w:rPr>
          <w:rFonts w:ascii="Calibri" w:eastAsia="Calibri" w:hAnsi="Calibri" w:cs="Calibri"/>
          <w:color w:val="E91E63"/>
        </w:rPr>
        <w:t>CEDH, 7 juin 2024, Vagdalt c. Hongrie</w:t>
      </w:r>
      <w:r>
        <w:rPr>
          <w:rFonts w:ascii="Calibri" w:eastAsia="Calibri" w:hAnsi="Calibri" w:cs="Calibri"/>
          <w:color w:val="1A1A1A"/>
        </w:rPr>
        <w:t>, selon le fascicule).</w:t>
      </w:r>
    </w:p>
    <w:p w14:paraId="6885B747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color w:val="1A1A1A"/>
        </w:rPr>
        <w:t xml:space="preserve">★ </w:t>
      </w:r>
      <w:r>
        <w:rPr>
          <w:rFonts w:ascii="Calibri" w:eastAsia="Calibri" w:hAnsi="Calibri" w:cs="Calibri"/>
          <w:color w:val="E91E63"/>
        </w:rPr>
        <w:t>CEDH, 1er février 2000, Mazurek c. France, n° 34406/97</w:t>
      </w:r>
      <w:r>
        <w:rPr>
          <w:rFonts w:ascii="Calibri" w:eastAsia="Calibri" w:hAnsi="Calibri" w:cs="Calibri"/>
          <w:color w:val="1A1A1A"/>
        </w:rPr>
        <w:t xml:space="preserve"> : la réduction de la part successorale de l’enfant adultérin viole les </w:t>
      </w:r>
      <w:r>
        <w:rPr>
          <w:rFonts w:ascii="Calibri" w:eastAsia="Calibri" w:hAnsi="Calibri" w:cs="Calibri"/>
          <w:color w:val="1E88E5"/>
        </w:rPr>
        <w:t>art. 1er du Protocole n° 1 et 14</w:t>
      </w:r>
      <w:r>
        <w:rPr>
          <w:rFonts w:ascii="Calibri" w:eastAsia="Calibri" w:hAnsi="Calibri" w:cs="Calibri"/>
          <w:color w:val="1A1A1A"/>
        </w:rPr>
        <w:t xml:space="preserve"> → </w:t>
      </w:r>
      <w:r>
        <w:rPr>
          <w:rFonts w:ascii="Calibri" w:eastAsia="Calibri" w:hAnsi="Calibri" w:cs="Calibri"/>
          <w:color w:val="1E88E5"/>
        </w:rPr>
        <w:t>loi n° 2001-1135 du 3 décembre 2001</w:t>
      </w:r>
      <w:r>
        <w:rPr>
          <w:rFonts w:ascii="Calibri" w:eastAsia="Calibri" w:hAnsi="Calibri" w:cs="Calibri"/>
          <w:color w:val="1A1A1A"/>
        </w:rPr>
        <w:t xml:space="preserve"> ; égalité des filiations : </w:t>
      </w:r>
      <w:r>
        <w:rPr>
          <w:rFonts w:ascii="Calibri" w:eastAsia="Calibri" w:hAnsi="Calibri" w:cs="Calibri"/>
          <w:color w:val="1E88E5"/>
        </w:rPr>
        <w:t>art. 310 C. civ.</w:t>
      </w:r>
      <w:r>
        <w:rPr>
          <w:rFonts w:ascii="Calibri" w:eastAsia="Calibri" w:hAnsi="Calibri" w:cs="Calibri"/>
          <w:color w:val="1A1A1A"/>
        </w:rPr>
        <w:t xml:space="preserve"> (et non 310-1, qui traite des modes d’établissement). Discrimination de l’enfant adopté dans l’interprétation d’un testament (</w:t>
      </w:r>
      <w:r>
        <w:rPr>
          <w:rFonts w:ascii="Calibri" w:eastAsia="Calibri" w:hAnsi="Calibri" w:cs="Calibri"/>
          <w:color w:val="E91E63"/>
        </w:rPr>
        <w:t>CEDH, 13 juillet 2004, Pla et Puncernau c. Andorre</w:t>
      </w:r>
      <w:r>
        <w:rPr>
          <w:rFonts w:ascii="Calibri" w:eastAsia="Calibri" w:hAnsi="Calibri" w:cs="Calibri"/>
          <w:color w:val="1A1A1A"/>
        </w:rPr>
        <w:t>).</w:t>
      </w:r>
    </w:p>
    <w:p w14:paraId="6CD50511" w14:textId="77777777" w:rsidR="00C05C80" w:rsidRDefault="00000000">
      <w:pPr>
        <w:pStyle w:val="Titre3"/>
        <w:spacing w:before="200" w:after="90"/>
      </w:pPr>
      <w:r>
        <w:rPr>
          <w:rFonts w:ascii="Calibri" w:eastAsia="Calibri" w:hAnsi="Calibri" w:cs="Calibri"/>
          <w:b/>
          <w:bCs/>
          <w:i/>
          <w:iCs/>
          <w:color w:val="5A5A5A"/>
          <w:sz w:val="21"/>
          <w:szCs w:val="21"/>
        </w:rPr>
        <w:t>4.2. Adoption</w:t>
      </w:r>
    </w:p>
    <w:p w14:paraId="43305B0E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color w:val="1A1A1A"/>
        </w:rPr>
        <w:t>Pas de droit à l’adoption (</w:t>
      </w:r>
      <w:r>
        <w:rPr>
          <w:rFonts w:ascii="Calibri" w:eastAsia="Calibri" w:hAnsi="Calibri" w:cs="Calibri"/>
          <w:color w:val="E91E63"/>
        </w:rPr>
        <w:t>Paradiso et Campanelli</w:t>
      </w:r>
      <w:r>
        <w:rPr>
          <w:rFonts w:ascii="Calibri" w:eastAsia="Calibri" w:hAnsi="Calibri" w:cs="Calibri"/>
          <w:color w:val="1A1A1A"/>
        </w:rPr>
        <w:t>) ; adoption plénière (rupture des liens d’origine) et simple (</w:t>
      </w:r>
      <w:r>
        <w:rPr>
          <w:rFonts w:ascii="Calibri" w:eastAsia="Calibri" w:hAnsi="Calibri" w:cs="Calibri"/>
          <w:color w:val="1E88E5"/>
        </w:rPr>
        <w:t>art. 364 C. civ.</w:t>
      </w:r>
      <w:r>
        <w:rPr>
          <w:rFonts w:ascii="Calibri" w:eastAsia="Calibri" w:hAnsi="Calibri" w:cs="Calibri"/>
          <w:color w:val="1A1A1A"/>
        </w:rPr>
        <w:t>, ajout d’une filiation). Ouverture aux couples de même sexe (</w:t>
      </w:r>
      <w:r>
        <w:rPr>
          <w:rFonts w:ascii="Calibri" w:eastAsia="Calibri" w:hAnsi="Calibri" w:cs="Calibri"/>
          <w:color w:val="1E88E5"/>
        </w:rPr>
        <w:t>loi du 17 mai 2013</w:t>
      </w:r>
      <w:r>
        <w:rPr>
          <w:rFonts w:ascii="Calibri" w:eastAsia="Calibri" w:hAnsi="Calibri" w:cs="Calibri"/>
          <w:color w:val="1A1A1A"/>
        </w:rPr>
        <w:t xml:space="preserve">) ; </w:t>
      </w:r>
      <w:r>
        <w:rPr>
          <w:rFonts w:ascii="Calibri" w:eastAsia="Calibri" w:hAnsi="Calibri" w:cs="Calibri"/>
          <w:color w:val="1E88E5"/>
        </w:rPr>
        <w:t>loi n° 2022-219 du 21 février 2022</w:t>
      </w:r>
      <w:r>
        <w:rPr>
          <w:rFonts w:ascii="Calibri" w:eastAsia="Calibri" w:hAnsi="Calibri" w:cs="Calibri"/>
          <w:color w:val="1A1A1A"/>
        </w:rPr>
        <w:t xml:space="preserve"> : adoption ouverte aux couples pacsés et concubins, âge minimal abaissé à </w:t>
      </w:r>
      <w:r>
        <w:rPr>
          <w:rFonts w:ascii="Calibri" w:eastAsia="Calibri" w:hAnsi="Calibri" w:cs="Calibri"/>
          <w:b/>
          <w:bCs/>
          <w:color w:val="1A1A1A"/>
        </w:rPr>
        <w:t>26 ans</w:t>
      </w:r>
      <w:r>
        <w:rPr>
          <w:rFonts w:ascii="Calibri" w:eastAsia="Calibri" w:hAnsi="Calibri" w:cs="Calibri"/>
          <w:color w:val="1A1A1A"/>
        </w:rPr>
        <w:t>.</w:t>
      </w:r>
    </w:p>
    <w:p w14:paraId="312207EC" w14:textId="77777777" w:rsidR="00C05C80" w:rsidRDefault="00000000">
      <w:pPr>
        <w:pStyle w:val="Titre3"/>
        <w:spacing w:before="200" w:after="90"/>
      </w:pPr>
      <w:r>
        <w:rPr>
          <w:rFonts w:ascii="Calibri" w:eastAsia="Calibri" w:hAnsi="Calibri" w:cs="Calibri"/>
          <w:b/>
          <w:bCs/>
          <w:i/>
          <w:iCs/>
          <w:color w:val="5A5A5A"/>
          <w:sz w:val="21"/>
          <w:szCs w:val="21"/>
        </w:rPr>
        <w:t>4.3. Gestation pour autrui</w:t>
      </w:r>
    </w:p>
    <w:p w14:paraId="17B9E1D4" w14:textId="77777777" w:rsidR="00D23A8D" w:rsidRPr="00D23A8D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Interdiction</w:t>
      </w:r>
      <w:r>
        <w:rPr>
          <w:rFonts w:ascii="Calibri" w:eastAsia="Calibri" w:hAnsi="Calibri" w:cs="Calibri"/>
          <w:color w:val="1A1A1A"/>
        </w:rPr>
        <w:t xml:space="preserve"> : </w:t>
      </w:r>
      <w:r>
        <w:rPr>
          <w:rFonts w:ascii="Calibri" w:eastAsia="Calibri" w:hAnsi="Calibri" w:cs="Calibri"/>
          <w:color w:val="1E88E5"/>
        </w:rPr>
        <w:t>art. 16-7 C. civ.</w:t>
      </w:r>
      <w:r>
        <w:rPr>
          <w:rFonts w:ascii="Calibri" w:eastAsia="Calibri" w:hAnsi="Calibri" w:cs="Calibri"/>
          <w:color w:val="1A1A1A"/>
        </w:rPr>
        <w:t xml:space="preserve"> (nullité des conventions) ; </w:t>
      </w:r>
      <w:r>
        <w:rPr>
          <w:rFonts w:ascii="Calibri" w:eastAsia="Calibri" w:hAnsi="Calibri" w:cs="Calibri"/>
          <w:color w:val="1E88E5"/>
        </w:rPr>
        <w:t>art. 227-12 C. pén.</w:t>
      </w:r>
      <w:r>
        <w:rPr>
          <w:rFonts w:ascii="Calibri" w:eastAsia="Calibri" w:hAnsi="Calibri" w:cs="Calibri"/>
          <w:color w:val="1A1A1A"/>
        </w:rPr>
        <w:t xml:space="preserve"> (entremise). </w:t>
      </w:r>
    </w:p>
    <w:p w14:paraId="4E3FFECA" w14:textId="77777777" w:rsidR="00D23A8D" w:rsidRPr="00D23A8D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Trajectoire contentieuse</w:t>
      </w:r>
      <w:r>
        <w:rPr>
          <w:rFonts w:ascii="Calibri" w:eastAsia="Calibri" w:hAnsi="Calibri" w:cs="Calibri"/>
          <w:color w:val="1A1A1A"/>
        </w:rPr>
        <w:t xml:space="preserve"> : refus de transcription (</w:t>
      </w:r>
      <w:r>
        <w:rPr>
          <w:rFonts w:ascii="Calibri" w:eastAsia="Calibri" w:hAnsi="Calibri" w:cs="Calibri"/>
          <w:color w:val="E91E63"/>
        </w:rPr>
        <w:t>Cass. 1re civ., 6 avril 2011</w:t>
      </w:r>
      <w:r>
        <w:rPr>
          <w:rFonts w:ascii="Calibri" w:eastAsia="Calibri" w:hAnsi="Calibri" w:cs="Calibri"/>
          <w:color w:val="1A1A1A"/>
        </w:rPr>
        <w:t xml:space="preserve">) </w:t>
      </w:r>
    </w:p>
    <w:p w14:paraId="1476A6D8" w14:textId="77777777" w:rsidR="00D23A8D" w:rsidRDefault="00000000" w:rsidP="00D23A8D">
      <w:pPr>
        <w:pStyle w:val="Paragraphedeliste"/>
        <w:spacing w:after="70" w:line="264" w:lineRule="auto"/>
        <w:ind w:left="340"/>
        <w:jc w:val="both"/>
        <w:rPr>
          <w:rFonts w:ascii="Calibri" w:eastAsia="Calibri" w:hAnsi="Calibri" w:cs="Calibri"/>
          <w:color w:val="1A1A1A"/>
        </w:rPr>
      </w:pPr>
      <w:r>
        <w:rPr>
          <w:rFonts w:ascii="Calibri" w:eastAsia="Calibri" w:hAnsi="Calibri" w:cs="Calibri"/>
          <w:color w:val="1A1A1A"/>
        </w:rPr>
        <w:t>→ condamnation de la France (</w:t>
      </w:r>
      <w:r w:rsidRPr="00D23A8D">
        <w:rPr>
          <w:rFonts w:ascii="Calibri" w:eastAsia="Calibri" w:hAnsi="Calibri" w:cs="Calibri"/>
          <w:color w:val="E91D62"/>
        </w:rPr>
        <w:t>Mennesson et Labassee, 26 juin 2014</w:t>
      </w:r>
      <w:r>
        <w:rPr>
          <w:rFonts w:ascii="Calibri" w:eastAsia="Calibri" w:hAnsi="Calibri" w:cs="Calibri"/>
          <w:color w:val="1A1A1A"/>
        </w:rPr>
        <w:t xml:space="preserve"> : violation de la vie privée </w:t>
      </w:r>
      <w:r>
        <w:rPr>
          <w:rFonts w:ascii="Calibri" w:eastAsia="Calibri" w:hAnsi="Calibri" w:cs="Calibri"/>
          <w:b/>
          <w:bCs/>
          <w:color w:val="1A1A1A"/>
        </w:rPr>
        <w:t>de l’enfant</w:t>
      </w:r>
      <w:r>
        <w:rPr>
          <w:rFonts w:ascii="Calibri" w:eastAsia="Calibri" w:hAnsi="Calibri" w:cs="Calibri"/>
          <w:color w:val="1A1A1A"/>
        </w:rPr>
        <w:t xml:space="preserve">) </w:t>
      </w:r>
    </w:p>
    <w:p w14:paraId="2EAA1A24" w14:textId="77777777" w:rsidR="00D23A8D" w:rsidRDefault="00000000" w:rsidP="00D23A8D">
      <w:pPr>
        <w:pStyle w:val="Paragraphedeliste"/>
        <w:spacing w:after="70" w:line="264" w:lineRule="auto"/>
        <w:ind w:left="340"/>
        <w:jc w:val="both"/>
        <w:rPr>
          <w:rFonts w:ascii="Calibri" w:eastAsia="Calibri" w:hAnsi="Calibri" w:cs="Calibri"/>
          <w:color w:val="1A1A1A"/>
        </w:rPr>
      </w:pPr>
      <w:r>
        <w:rPr>
          <w:rFonts w:ascii="Calibri" w:eastAsia="Calibri" w:hAnsi="Calibri" w:cs="Calibri"/>
          <w:color w:val="1A1A1A"/>
        </w:rPr>
        <w:t>→ transcription du père biologique (</w:t>
      </w:r>
      <w:r>
        <w:rPr>
          <w:rFonts w:ascii="Calibri" w:eastAsia="Calibri" w:hAnsi="Calibri" w:cs="Calibri"/>
          <w:color w:val="E91E63"/>
        </w:rPr>
        <w:t>Cass. ass. plén., 3 juillet 2015, n° 14-21.323 et 15-50.002</w:t>
      </w:r>
      <w:r>
        <w:rPr>
          <w:rFonts w:ascii="Calibri" w:eastAsia="Calibri" w:hAnsi="Calibri" w:cs="Calibri"/>
          <w:color w:val="1A1A1A"/>
        </w:rPr>
        <w:t xml:space="preserve">) </w:t>
      </w:r>
    </w:p>
    <w:p w14:paraId="409D68E5" w14:textId="77777777" w:rsidR="00D23A8D" w:rsidRDefault="00000000" w:rsidP="00D23A8D">
      <w:pPr>
        <w:pStyle w:val="Paragraphedeliste"/>
        <w:spacing w:after="70" w:line="264" w:lineRule="auto"/>
        <w:ind w:left="340"/>
        <w:jc w:val="both"/>
        <w:rPr>
          <w:rFonts w:ascii="Calibri" w:eastAsia="Calibri" w:hAnsi="Calibri" w:cs="Calibri"/>
          <w:color w:val="1A1A1A"/>
        </w:rPr>
      </w:pPr>
      <w:r>
        <w:rPr>
          <w:rFonts w:ascii="Calibri" w:eastAsia="Calibri" w:hAnsi="Calibri" w:cs="Calibri"/>
          <w:color w:val="1A1A1A"/>
        </w:rPr>
        <w:t xml:space="preserve">→ </w:t>
      </w:r>
      <w:r>
        <w:rPr>
          <w:rFonts w:ascii="Calibri" w:eastAsia="Calibri" w:hAnsi="Calibri" w:cs="Calibri"/>
          <w:color w:val="E91E63"/>
        </w:rPr>
        <w:t>avis consultatif de la Grande Chambre du 10 avril 2019</w:t>
      </w:r>
      <w:r>
        <w:rPr>
          <w:rFonts w:ascii="Calibri" w:eastAsia="Calibri" w:hAnsi="Calibri" w:cs="Calibri"/>
          <w:color w:val="1A1A1A"/>
        </w:rPr>
        <w:t xml:space="preserve"> (premier avis du Protocole n° 16 : reconnaissance du lien avec la mère d’intention, par tout moyen effectif et rapide, adoption comprise) </w:t>
      </w:r>
    </w:p>
    <w:p w14:paraId="036A5D2C" w14:textId="77777777" w:rsidR="00D23A8D" w:rsidRDefault="00000000" w:rsidP="00D23A8D">
      <w:pPr>
        <w:pStyle w:val="Paragraphedeliste"/>
        <w:spacing w:after="70" w:line="264" w:lineRule="auto"/>
        <w:ind w:left="340"/>
        <w:jc w:val="both"/>
        <w:rPr>
          <w:rFonts w:ascii="Calibri" w:eastAsia="Calibri" w:hAnsi="Calibri" w:cs="Calibri"/>
          <w:color w:val="1A1A1A"/>
        </w:rPr>
      </w:pPr>
      <w:r>
        <w:rPr>
          <w:rFonts w:ascii="Calibri" w:eastAsia="Calibri" w:hAnsi="Calibri" w:cs="Calibri"/>
          <w:color w:val="1A1A1A"/>
        </w:rPr>
        <w:t>→ transcription intégrale dans l’affaire Mennesson (</w:t>
      </w:r>
      <w:r>
        <w:rPr>
          <w:rFonts w:ascii="Calibri" w:eastAsia="Calibri" w:hAnsi="Calibri" w:cs="Calibri"/>
          <w:color w:val="E91E63"/>
        </w:rPr>
        <w:t>Cass. ass. plén., 4 octobre 2019, n° 10-19.053</w:t>
      </w:r>
      <w:r>
        <w:rPr>
          <w:rFonts w:ascii="Calibri" w:eastAsia="Calibri" w:hAnsi="Calibri" w:cs="Calibri"/>
          <w:color w:val="1A1A1A"/>
        </w:rPr>
        <w:t xml:space="preserve">) </w:t>
      </w:r>
    </w:p>
    <w:p w14:paraId="0196A86D" w14:textId="71CDE8D6" w:rsidR="00C05C80" w:rsidRDefault="00000000" w:rsidP="00D23A8D">
      <w:pPr>
        <w:pStyle w:val="Paragraphedeliste"/>
        <w:spacing w:after="70" w:line="264" w:lineRule="auto"/>
        <w:ind w:left="340"/>
        <w:jc w:val="both"/>
      </w:pPr>
      <w:r>
        <w:rPr>
          <w:rFonts w:ascii="Calibri" w:eastAsia="Calibri" w:hAnsi="Calibri" w:cs="Calibri"/>
          <w:color w:val="1A1A1A"/>
        </w:rPr>
        <w:t xml:space="preserve">→ </w:t>
      </w:r>
      <w:r>
        <w:rPr>
          <w:rFonts w:ascii="Calibri" w:eastAsia="Calibri" w:hAnsi="Calibri" w:cs="Calibri"/>
          <w:color w:val="1E88E5"/>
        </w:rPr>
        <w:t>loi n° 2021-1017 du 2 août 2021</w:t>
      </w:r>
      <w:r>
        <w:rPr>
          <w:rFonts w:ascii="Calibri" w:eastAsia="Calibri" w:hAnsi="Calibri" w:cs="Calibri"/>
          <w:color w:val="1A1A1A"/>
        </w:rPr>
        <w:t xml:space="preserve"> : l’</w:t>
      </w:r>
      <w:r>
        <w:rPr>
          <w:rFonts w:ascii="Calibri" w:eastAsia="Calibri" w:hAnsi="Calibri" w:cs="Calibri"/>
          <w:color w:val="1E88E5"/>
        </w:rPr>
        <w:t>art. 47 C. civ.</w:t>
      </w:r>
      <w:r>
        <w:rPr>
          <w:rFonts w:ascii="Calibri" w:eastAsia="Calibri" w:hAnsi="Calibri" w:cs="Calibri"/>
          <w:color w:val="1A1A1A"/>
        </w:rPr>
        <w:t xml:space="preserve"> apprécie désormais la réalité « au regard de la loi française », fermant la transcription intégrale.</w:t>
      </w:r>
    </w:p>
    <w:p w14:paraId="1A5AA9D1" w14:textId="77777777" w:rsidR="00D23A8D" w:rsidRPr="00D23A8D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color w:val="1A1A1A"/>
        </w:rPr>
        <w:t xml:space="preserve">★ </w:t>
      </w:r>
      <w:r>
        <w:rPr>
          <w:rFonts w:ascii="Calibri" w:eastAsia="Calibri" w:hAnsi="Calibri" w:cs="Calibri"/>
          <w:b/>
          <w:bCs/>
          <w:color w:val="1A1A1A"/>
        </w:rPr>
        <w:t>Exequatur</w:t>
      </w:r>
      <w:r>
        <w:rPr>
          <w:rFonts w:ascii="Calibri" w:eastAsia="Calibri" w:hAnsi="Calibri" w:cs="Calibri"/>
          <w:color w:val="1A1A1A"/>
        </w:rPr>
        <w:t xml:space="preserve"> : la désignation du parent d’intention dans le jugement étranger n’est pas contraire à l’ordre public international (</w:t>
      </w:r>
      <w:r>
        <w:rPr>
          <w:rFonts w:ascii="Calibri" w:eastAsia="Calibri" w:hAnsi="Calibri" w:cs="Calibri"/>
          <w:color w:val="E91E63"/>
        </w:rPr>
        <w:t>Cass. 1re civ., 14 novembre 2024, n° 23-50.016</w:t>
      </w:r>
      <w:r>
        <w:rPr>
          <w:rFonts w:ascii="Calibri" w:eastAsia="Calibri" w:hAnsi="Calibri" w:cs="Calibri"/>
          <w:color w:val="1A1A1A"/>
        </w:rPr>
        <w:t>), à condition d’une motivation suffisante (</w:t>
      </w:r>
      <w:r>
        <w:rPr>
          <w:rFonts w:ascii="Calibri" w:eastAsia="Calibri" w:hAnsi="Calibri" w:cs="Calibri"/>
          <w:color w:val="E91E63"/>
        </w:rPr>
        <w:t>Cass. 1re civ., 2 octobre 2024, n° 22-20.883</w:t>
      </w:r>
      <w:r>
        <w:rPr>
          <w:rFonts w:ascii="Calibri" w:eastAsia="Calibri" w:hAnsi="Calibri" w:cs="Calibri"/>
          <w:color w:val="1A1A1A"/>
        </w:rPr>
        <w:t xml:space="preserve">). </w:t>
      </w:r>
    </w:p>
    <w:p w14:paraId="0BC82036" w14:textId="67AAB124" w:rsidR="00C05C80" w:rsidRPr="00D23A8D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  <w:rPr>
          <w:highlight w:val="yellow"/>
        </w:rPr>
      </w:pPr>
      <w:r>
        <w:rPr>
          <w:rFonts w:ascii="Calibri" w:eastAsia="Calibri" w:hAnsi="Calibri" w:cs="Calibri"/>
          <w:color w:val="E91E63"/>
        </w:rPr>
        <w:t>Cass. ass. plén., 3 juillet 2026, n° 24-50.028 et 24-50.029</w:t>
      </w:r>
      <w:r>
        <w:rPr>
          <w:rFonts w:ascii="Calibri" w:eastAsia="Calibri" w:hAnsi="Calibri" w:cs="Calibri"/>
          <w:color w:val="1A1A1A"/>
        </w:rPr>
        <w:t xml:space="preserve"> : </w:t>
      </w:r>
      <w:r w:rsidRPr="00D23A8D">
        <w:rPr>
          <w:rFonts w:ascii="Calibri" w:eastAsia="Calibri" w:hAnsi="Calibri" w:cs="Calibri"/>
          <w:color w:val="1A1A1A"/>
          <w:highlight w:val="yellow"/>
        </w:rPr>
        <w:t xml:space="preserve">l’interdiction de la GPA </w:t>
      </w:r>
      <w:r w:rsidRPr="00D23A8D">
        <w:rPr>
          <w:rFonts w:ascii="Calibri" w:eastAsia="Calibri" w:hAnsi="Calibri" w:cs="Calibri"/>
          <w:b/>
          <w:bCs/>
          <w:color w:val="1A1A1A"/>
          <w:highlight w:val="yellow"/>
        </w:rPr>
        <w:t>ne suffit pas</w:t>
      </w:r>
      <w:r w:rsidRPr="00D23A8D">
        <w:rPr>
          <w:rFonts w:ascii="Calibri" w:eastAsia="Calibri" w:hAnsi="Calibri" w:cs="Calibri"/>
          <w:color w:val="1A1A1A"/>
          <w:highlight w:val="yellow"/>
        </w:rPr>
        <w:t xml:space="preserve"> à refuser la reconnaissance</w:t>
      </w:r>
      <w:r>
        <w:rPr>
          <w:rFonts w:ascii="Calibri" w:eastAsia="Calibri" w:hAnsi="Calibri" w:cs="Calibri"/>
          <w:color w:val="1A1A1A"/>
        </w:rPr>
        <w:t xml:space="preserve"> ; le juge contrôle l’identité des participants, le consentement éclairé de la femme porteuse, l’absence de fraude ou de trafic ; </w:t>
      </w:r>
      <w:r w:rsidRPr="00D23A8D">
        <w:rPr>
          <w:rFonts w:ascii="Calibri" w:eastAsia="Calibri" w:hAnsi="Calibri" w:cs="Calibri"/>
          <w:color w:val="1A1A1A"/>
          <w:highlight w:val="yellow"/>
        </w:rPr>
        <w:t xml:space="preserve">la filiation est reconnue </w:t>
      </w:r>
      <w:r w:rsidRPr="00D23A8D">
        <w:rPr>
          <w:rFonts w:ascii="Calibri" w:eastAsia="Calibri" w:hAnsi="Calibri" w:cs="Calibri"/>
          <w:b/>
          <w:bCs/>
          <w:color w:val="1A1A1A"/>
          <w:highlight w:val="yellow"/>
        </w:rPr>
        <w:t>en tant que telle, sans conversion en adoption</w:t>
      </w:r>
      <w:r w:rsidRPr="00D23A8D">
        <w:rPr>
          <w:rFonts w:ascii="Calibri" w:eastAsia="Calibri" w:hAnsi="Calibri" w:cs="Calibri"/>
          <w:color w:val="1A1A1A"/>
          <w:highlight w:val="yellow"/>
        </w:rPr>
        <w:t>.</w:t>
      </w:r>
    </w:p>
    <w:p w14:paraId="17887D74" w14:textId="77777777" w:rsidR="00C05C80" w:rsidRDefault="00000000">
      <w:pPr>
        <w:pStyle w:val="Titre3"/>
        <w:spacing w:before="200" w:after="90"/>
      </w:pPr>
      <w:r>
        <w:rPr>
          <w:rFonts w:ascii="Calibri" w:eastAsia="Calibri" w:hAnsi="Calibri" w:cs="Calibri"/>
          <w:b/>
          <w:bCs/>
          <w:i/>
          <w:iCs/>
          <w:color w:val="5A5A5A"/>
          <w:sz w:val="21"/>
          <w:szCs w:val="21"/>
        </w:rPr>
        <w:t>4.4. Procréation médicalement assistée</w:t>
      </w:r>
    </w:p>
    <w:p w14:paraId="6A419534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color w:val="1A1A1A"/>
        </w:rPr>
        <w:t>Le choix de recourir à la PMA relève de l’</w:t>
      </w:r>
      <w:r>
        <w:rPr>
          <w:rFonts w:ascii="Calibri" w:eastAsia="Calibri" w:hAnsi="Calibri" w:cs="Calibri"/>
          <w:color w:val="1E88E5"/>
        </w:rPr>
        <w:t>art. 8</w:t>
      </w:r>
      <w:r>
        <w:rPr>
          <w:rFonts w:ascii="Calibri" w:eastAsia="Calibri" w:hAnsi="Calibri" w:cs="Calibri"/>
          <w:color w:val="1A1A1A"/>
        </w:rPr>
        <w:t>, avec ample marge nationale (</w:t>
      </w:r>
      <w:r>
        <w:rPr>
          <w:rFonts w:ascii="Calibri" w:eastAsia="Calibri" w:hAnsi="Calibri" w:cs="Calibri"/>
          <w:color w:val="E91E63"/>
        </w:rPr>
        <w:t>CEDH [GC], 3 novembre 2011, S.H. c. Autriche, n° 57813/00</w:t>
      </w:r>
      <w:r>
        <w:rPr>
          <w:rFonts w:ascii="Calibri" w:eastAsia="Calibri" w:hAnsi="Calibri" w:cs="Calibri"/>
          <w:color w:val="1A1A1A"/>
        </w:rPr>
        <w:t>) ; interdiction française d’exporter des gamètes pour une insémination post mortem jugée conforme (</w:t>
      </w:r>
      <w:r>
        <w:rPr>
          <w:rFonts w:ascii="Calibri" w:eastAsia="Calibri" w:hAnsi="Calibri" w:cs="Calibri"/>
          <w:color w:val="E91E63"/>
        </w:rPr>
        <w:t>CEDH, 14 septembre 2023, Baret et Caballero c. France</w:t>
      </w:r>
      <w:r>
        <w:rPr>
          <w:rFonts w:ascii="Calibri" w:eastAsia="Calibri" w:hAnsi="Calibri" w:cs="Calibri"/>
          <w:color w:val="1A1A1A"/>
        </w:rPr>
        <w:t xml:space="preserve">) ; </w:t>
      </w:r>
      <w:r>
        <w:rPr>
          <w:rFonts w:ascii="Calibri" w:eastAsia="Calibri" w:hAnsi="Calibri" w:cs="Calibri"/>
          <w:color w:val="E91E63"/>
        </w:rPr>
        <w:t>CE, 28 novembre 2024, n° 497323</w:t>
      </w:r>
      <w:r>
        <w:rPr>
          <w:rFonts w:ascii="Calibri" w:eastAsia="Calibri" w:hAnsi="Calibri" w:cs="Calibri"/>
          <w:color w:val="1A1A1A"/>
        </w:rPr>
        <w:t xml:space="preserve"> (interdiction post mortem conforme).</w:t>
      </w:r>
    </w:p>
    <w:p w14:paraId="7105EE13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color w:val="1E88E5"/>
        </w:rPr>
        <w:lastRenderedPageBreak/>
        <w:t>Loi du 2 août 2021</w:t>
      </w:r>
      <w:r>
        <w:rPr>
          <w:rFonts w:ascii="Calibri" w:eastAsia="Calibri" w:hAnsi="Calibri" w:cs="Calibri"/>
          <w:color w:val="1A1A1A"/>
        </w:rPr>
        <w:t xml:space="preserve"> : PMA ouverte aux couples de femmes et aux femmes seules, sans condition d’infertilité (</w:t>
      </w:r>
      <w:r>
        <w:rPr>
          <w:rFonts w:ascii="Calibri" w:eastAsia="Calibri" w:hAnsi="Calibri" w:cs="Calibri"/>
          <w:color w:val="1E88E5"/>
        </w:rPr>
        <w:t>art. L. 2141-2 CSP</w:t>
      </w:r>
      <w:r>
        <w:rPr>
          <w:rFonts w:ascii="Calibri" w:eastAsia="Calibri" w:hAnsi="Calibri" w:cs="Calibri"/>
          <w:color w:val="1A1A1A"/>
        </w:rPr>
        <w:t xml:space="preserve">) ; </w:t>
      </w:r>
      <w:r>
        <w:rPr>
          <w:rFonts w:ascii="Calibri" w:eastAsia="Calibri" w:hAnsi="Calibri" w:cs="Calibri"/>
          <w:b/>
          <w:bCs/>
          <w:color w:val="1A1A1A"/>
        </w:rPr>
        <w:t>reconnaissance conjointe anticipée</w:t>
      </w:r>
      <w:r>
        <w:rPr>
          <w:rFonts w:ascii="Calibri" w:eastAsia="Calibri" w:hAnsi="Calibri" w:cs="Calibri"/>
          <w:color w:val="1A1A1A"/>
        </w:rPr>
        <w:t xml:space="preserve"> pour les couples de femmes (</w:t>
      </w:r>
      <w:r>
        <w:rPr>
          <w:rFonts w:ascii="Calibri" w:eastAsia="Calibri" w:hAnsi="Calibri" w:cs="Calibri"/>
          <w:color w:val="1E88E5"/>
        </w:rPr>
        <w:t>art. 342-11 C. civ.</w:t>
      </w:r>
      <w:r>
        <w:rPr>
          <w:rFonts w:ascii="Calibri" w:eastAsia="Calibri" w:hAnsi="Calibri" w:cs="Calibri"/>
          <w:color w:val="1A1A1A"/>
        </w:rPr>
        <w:t>) ; exclusions : homme transgenre ayant modifié son état civil (</w:t>
      </w:r>
      <w:r>
        <w:rPr>
          <w:rFonts w:ascii="Calibri" w:eastAsia="Calibri" w:hAnsi="Calibri" w:cs="Calibri"/>
          <w:color w:val="E91E63"/>
        </w:rPr>
        <w:t>CE, 22 mars 2024, n° 459000</w:t>
      </w:r>
      <w:r>
        <w:rPr>
          <w:rFonts w:ascii="Calibri" w:eastAsia="Calibri" w:hAnsi="Calibri" w:cs="Calibri"/>
          <w:color w:val="1A1A1A"/>
        </w:rPr>
        <w:t>), réception d’ovocytes de la partenaire ou « ROPA » (</w:t>
      </w:r>
      <w:r>
        <w:rPr>
          <w:rFonts w:ascii="Calibri" w:eastAsia="Calibri" w:hAnsi="Calibri" w:cs="Calibri"/>
          <w:color w:val="E91E63"/>
        </w:rPr>
        <w:t>CE, 19 juin 2024, n° 472649</w:t>
      </w:r>
      <w:r>
        <w:rPr>
          <w:rFonts w:ascii="Calibri" w:eastAsia="Calibri" w:hAnsi="Calibri" w:cs="Calibri"/>
          <w:color w:val="1A1A1A"/>
        </w:rPr>
        <w:t>) ; conditions d’âge (</w:t>
      </w:r>
      <w:r>
        <w:rPr>
          <w:rFonts w:ascii="Calibri" w:eastAsia="Calibri" w:hAnsi="Calibri" w:cs="Calibri"/>
          <w:color w:val="E91E63"/>
        </w:rPr>
        <w:t>CE, 15 juillet 2024, n° 493840</w:t>
      </w:r>
      <w:r>
        <w:rPr>
          <w:rFonts w:ascii="Calibri" w:eastAsia="Calibri" w:hAnsi="Calibri" w:cs="Calibri"/>
          <w:color w:val="1A1A1A"/>
        </w:rPr>
        <w:t xml:space="preserve">). </w:t>
      </w:r>
      <w:r>
        <w:rPr>
          <w:rFonts w:ascii="Calibri" w:eastAsia="Calibri" w:hAnsi="Calibri" w:cs="Calibri"/>
          <w:color w:val="E91E63"/>
        </w:rPr>
        <w:t>CEDH, 12 novembre 2024, R.F. et autres c. Allemagne</w:t>
      </w:r>
      <w:r>
        <w:rPr>
          <w:rFonts w:ascii="Calibri" w:eastAsia="Calibri" w:hAnsi="Calibri" w:cs="Calibri"/>
          <w:color w:val="1A1A1A"/>
        </w:rPr>
        <w:t xml:space="preserve"> : la règle </w:t>
      </w:r>
      <w:r>
        <w:rPr>
          <w:rFonts w:ascii="Calibri" w:eastAsia="Calibri" w:hAnsi="Calibri" w:cs="Calibri"/>
          <w:i/>
          <w:iCs/>
          <w:color w:val="1A1A1A"/>
        </w:rPr>
        <w:t>mater semper certa est</w:t>
      </w:r>
      <w:r>
        <w:rPr>
          <w:rFonts w:ascii="Calibri" w:eastAsia="Calibri" w:hAnsi="Calibri" w:cs="Calibri"/>
          <w:color w:val="1A1A1A"/>
        </w:rPr>
        <w:t xml:space="preserve"> n’est pas contraire à la Convention.</w:t>
      </w:r>
    </w:p>
    <w:p w14:paraId="0B8B5301" w14:textId="77777777" w:rsidR="00C05C80" w:rsidRDefault="00000000">
      <w:pPr>
        <w:pStyle w:val="Titre2"/>
        <w:spacing w:before="280" w:after="12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5. Le maintien du lien familial</w:t>
      </w:r>
    </w:p>
    <w:p w14:paraId="7AFC09D4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Placement</w:t>
      </w:r>
      <w:r>
        <w:rPr>
          <w:rFonts w:ascii="Calibri" w:eastAsia="Calibri" w:hAnsi="Calibri" w:cs="Calibri"/>
          <w:color w:val="1A1A1A"/>
        </w:rPr>
        <w:t xml:space="preserve"> : ingérence, car « pour un parent et son enfant, être ensemble représente un élément fondamental de la vie familiale » (</w:t>
      </w:r>
      <w:r>
        <w:rPr>
          <w:rFonts w:ascii="Calibri" w:eastAsia="Calibri" w:hAnsi="Calibri" w:cs="Calibri"/>
          <w:color w:val="E91E63"/>
        </w:rPr>
        <w:t>CEDH, 24 mars 1988, Olsson c. Suède (n° 1)</w:t>
      </w:r>
      <w:r>
        <w:rPr>
          <w:rFonts w:ascii="Calibri" w:eastAsia="Calibri" w:hAnsi="Calibri" w:cs="Calibri"/>
          <w:color w:val="1A1A1A"/>
        </w:rPr>
        <w:t>) ; mesures temporaires orientées vers la réunification (</w:t>
      </w:r>
      <w:r>
        <w:rPr>
          <w:rFonts w:ascii="Calibri" w:eastAsia="Calibri" w:hAnsi="Calibri" w:cs="Calibri"/>
          <w:color w:val="E91E63"/>
        </w:rPr>
        <w:t>Strand Lobben, GC, 2019</w:t>
      </w:r>
      <w:r>
        <w:rPr>
          <w:rFonts w:ascii="Calibri" w:eastAsia="Calibri" w:hAnsi="Calibri" w:cs="Calibri"/>
          <w:color w:val="1A1A1A"/>
        </w:rPr>
        <w:t>) ; déchéance sans recherche de réunification : violation (</w:t>
      </w:r>
      <w:r>
        <w:rPr>
          <w:rFonts w:ascii="Calibri" w:eastAsia="Calibri" w:hAnsi="Calibri" w:cs="Calibri"/>
          <w:color w:val="E91E63"/>
        </w:rPr>
        <w:t>CEDH, 15 avril 2025, Van Slooten c. Pays-Bas</w:t>
      </w:r>
      <w:r>
        <w:rPr>
          <w:rFonts w:ascii="Calibri" w:eastAsia="Calibri" w:hAnsi="Calibri" w:cs="Calibri"/>
          <w:color w:val="1A1A1A"/>
        </w:rPr>
        <w:t>, selon le fascicule).</w:t>
      </w:r>
    </w:p>
    <w:p w14:paraId="3211FA42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Audition de l’enfant</w:t>
      </w:r>
      <w:r>
        <w:rPr>
          <w:rFonts w:ascii="Calibri" w:eastAsia="Calibri" w:hAnsi="Calibri" w:cs="Calibri"/>
          <w:color w:val="1A1A1A"/>
        </w:rPr>
        <w:t xml:space="preserve"> : en assistance éducative, entretien individuel obligatoire avec l’enfant capable de discernement, que la cour d’appel doit réaliser s’il n’a pas eu lieu en première instance (</w:t>
      </w:r>
      <w:r>
        <w:rPr>
          <w:rFonts w:ascii="Calibri" w:eastAsia="Calibri" w:hAnsi="Calibri" w:cs="Calibri"/>
          <w:color w:val="E91E63"/>
        </w:rPr>
        <w:t>Cass. 1re civ., 12 juin 2025, n° 22-23.646</w:t>
      </w:r>
      <w:r>
        <w:rPr>
          <w:rFonts w:ascii="Calibri" w:eastAsia="Calibri" w:hAnsi="Calibri" w:cs="Calibri"/>
          <w:color w:val="1A1A1A"/>
        </w:rPr>
        <w:t>).</w:t>
      </w:r>
    </w:p>
    <w:p w14:paraId="76BA938F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Détenus</w:t>
      </w:r>
      <w:r>
        <w:rPr>
          <w:rFonts w:ascii="Calibri" w:eastAsia="Calibri" w:hAnsi="Calibri" w:cs="Calibri"/>
          <w:color w:val="1A1A1A"/>
        </w:rPr>
        <w:t xml:space="preserve"> : maintien des liens (visites, unités de vie familiale) ; </w:t>
      </w:r>
      <w:r>
        <w:rPr>
          <w:rFonts w:ascii="Calibri" w:eastAsia="Calibri" w:hAnsi="Calibri" w:cs="Calibri"/>
          <w:color w:val="1E88E5"/>
        </w:rPr>
        <w:t>art. 35 de la loi pénitentiaire du 24 novembre 2009</w:t>
      </w:r>
      <w:r>
        <w:rPr>
          <w:rFonts w:ascii="Calibri" w:eastAsia="Calibri" w:hAnsi="Calibri" w:cs="Calibri"/>
          <w:color w:val="1A1A1A"/>
        </w:rPr>
        <w:t>.</w:t>
      </w:r>
    </w:p>
    <w:p w14:paraId="4D947353" w14:textId="77777777" w:rsidR="00013CFD" w:rsidRPr="00013CFD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Étrangers</w:t>
      </w:r>
      <w:r>
        <w:rPr>
          <w:rFonts w:ascii="Calibri" w:eastAsia="Calibri" w:hAnsi="Calibri" w:cs="Calibri"/>
          <w:color w:val="1A1A1A"/>
        </w:rPr>
        <w:t xml:space="preserve"> : pas de droit général d’entrée (</w:t>
      </w:r>
      <w:r>
        <w:rPr>
          <w:rFonts w:ascii="Calibri" w:eastAsia="Calibri" w:hAnsi="Calibri" w:cs="Calibri"/>
          <w:color w:val="E91E63"/>
        </w:rPr>
        <w:t>CEDH, 28 mai 1985, Abdulaziz, Cabales et Balkandali c. Royaume-Uni</w:t>
      </w:r>
      <w:r>
        <w:rPr>
          <w:rFonts w:ascii="Calibri" w:eastAsia="Calibri" w:hAnsi="Calibri" w:cs="Calibri"/>
          <w:color w:val="1A1A1A"/>
        </w:rPr>
        <w:t>) ; regroupement familial — droit conditionné (</w:t>
      </w:r>
      <w:r>
        <w:rPr>
          <w:rFonts w:ascii="Calibri" w:eastAsia="Calibri" w:hAnsi="Calibri" w:cs="Calibri"/>
          <w:color w:val="1E88E5"/>
        </w:rPr>
        <w:t>art. L. 434-2 s. CESEDA</w:t>
      </w:r>
      <w:r>
        <w:rPr>
          <w:rFonts w:ascii="Calibri" w:eastAsia="Calibri" w:hAnsi="Calibri" w:cs="Calibri"/>
          <w:color w:val="1A1A1A"/>
        </w:rPr>
        <w:t xml:space="preserve"> : dix-huit mois de séjour régulier, ressources, logement) ; examen concret de l’intérêt de l’enfant (</w:t>
      </w:r>
      <w:r>
        <w:rPr>
          <w:rFonts w:ascii="Calibri" w:eastAsia="Calibri" w:hAnsi="Calibri" w:cs="Calibri"/>
          <w:color w:val="E91E63"/>
        </w:rPr>
        <w:t>CEDH [GC], 3 octobre 2014, Jeunesse c. Pays-Bas</w:t>
      </w:r>
      <w:r>
        <w:rPr>
          <w:rFonts w:ascii="Calibri" w:eastAsia="Calibri" w:hAnsi="Calibri" w:cs="Calibri"/>
          <w:color w:val="1A1A1A"/>
        </w:rPr>
        <w:t>) ; délai de trois ans disproportionné pour les bénéficiaires d’une protection temporaire (</w:t>
      </w:r>
      <w:r>
        <w:rPr>
          <w:rFonts w:ascii="Calibri" w:eastAsia="Calibri" w:hAnsi="Calibri" w:cs="Calibri"/>
          <w:color w:val="E91E63"/>
        </w:rPr>
        <w:t>CEDH [GC], 9 juillet 2021, M.A. c. Danemark</w:t>
      </w:r>
      <w:r>
        <w:rPr>
          <w:rFonts w:ascii="Calibri" w:eastAsia="Calibri" w:hAnsi="Calibri" w:cs="Calibri"/>
          <w:color w:val="1A1A1A"/>
        </w:rPr>
        <w:t xml:space="preserve">) ; </w:t>
      </w:r>
    </w:p>
    <w:p w14:paraId="6EBBD021" w14:textId="080F49F2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 w:rsidRPr="00013CFD">
        <w:rPr>
          <w:rFonts w:ascii="Calibri" w:eastAsia="Calibri" w:hAnsi="Calibri" w:cs="Calibri"/>
          <w:color w:val="1A1A1A"/>
          <w:highlight w:val="yellow"/>
        </w:rPr>
        <w:t>★ exclusion des enfants nés d’une union polygame</w:t>
      </w:r>
      <w:r>
        <w:rPr>
          <w:rFonts w:ascii="Calibri" w:eastAsia="Calibri" w:hAnsi="Calibri" w:cs="Calibri"/>
          <w:color w:val="1A1A1A"/>
        </w:rPr>
        <w:t xml:space="preserve"> : </w:t>
      </w:r>
      <w:r>
        <w:rPr>
          <w:rFonts w:ascii="Calibri" w:eastAsia="Calibri" w:hAnsi="Calibri" w:cs="Calibri"/>
          <w:b/>
          <w:bCs/>
          <w:color w:val="1A1A1A"/>
        </w:rPr>
        <w:t>non-violation</w:t>
      </w:r>
      <w:r>
        <w:rPr>
          <w:rFonts w:ascii="Calibri" w:eastAsia="Calibri" w:hAnsi="Calibri" w:cs="Calibri"/>
          <w:color w:val="1A1A1A"/>
        </w:rPr>
        <w:t xml:space="preserve"> au vu des circonstances concrètes (</w:t>
      </w:r>
      <w:r>
        <w:rPr>
          <w:rFonts w:ascii="Calibri" w:eastAsia="Calibri" w:hAnsi="Calibri" w:cs="Calibri"/>
          <w:color w:val="E91E63"/>
        </w:rPr>
        <w:t>CEDH, 8 septembre 2026, A.A. c. Pays-Bas</w:t>
      </w:r>
      <w:r>
        <w:rPr>
          <w:rFonts w:ascii="Calibri" w:eastAsia="Calibri" w:hAnsi="Calibri" w:cs="Calibri"/>
          <w:color w:val="1A1A1A"/>
        </w:rPr>
        <w:t xml:space="preserve">, non définitif ; cf. </w:t>
      </w:r>
      <w:r>
        <w:rPr>
          <w:rFonts w:ascii="Calibri" w:eastAsia="Calibri" w:hAnsi="Calibri" w:cs="Calibri"/>
          <w:color w:val="1E88E5"/>
        </w:rPr>
        <w:t>art. L. 434-9 CESEDA</w:t>
      </w:r>
      <w:r>
        <w:rPr>
          <w:rFonts w:ascii="Calibri" w:eastAsia="Calibri" w:hAnsi="Calibri" w:cs="Calibri"/>
          <w:color w:val="1A1A1A"/>
        </w:rPr>
        <w:t>).</w:t>
      </w:r>
    </w:p>
    <w:p w14:paraId="362C7381" w14:textId="77777777" w:rsidR="00C05C80" w:rsidRDefault="00000000">
      <w:pPr>
        <w:pStyle w:val="Titre2"/>
        <w:spacing w:before="280" w:after="12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6. Débats doctrinaux et critiques</w:t>
      </w:r>
    </w:p>
    <w:p w14:paraId="6257FCE5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Du « droit de l’enfant » au « droit à l’enfant »</w:t>
      </w:r>
      <w:r>
        <w:rPr>
          <w:rFonts w:ascii="Calibri" w:eastAsia="Calibri" w:hAnsi="Calibri" w:cs="Calibri"/>
          <w:color w:val="1A1A1A"/>
        </w:rPr>
        <w:t xml:space="preserve"> — La </w:t>
      </w:r>
      <w:r>
        <w:rPr>
          <w:rFonts w:ascii="Calibri" w:eastAsia="Calibri" w:hAnsi="Calibri" w:cs="Calibri"/>
          <w:color w:val="2E7D32"/>
        </w:rPr>
        <w:t>doctrine</w:t>
      </w:r>
      <w:r>
        <w:rPr>
          <w:rFonts w:ascii="Calibri" w:eastAsia="Calibri" w:hAnsi="Calibri" w:cs="Calibri"/>
          <w:color w:val="1A1A1A"/>
        </w:rPr>
        <w:t xml:space="preserve"> redoute que l’ouverture de la PMA et la reconnaissance des filiations issues de GPA glissent vers un droit à l’enfant. La Cour européenne s’en défend (</w:t>
      </w:r>
      <w:r>
        <w:rPr>
          <w:rFonts w:ascii="Calibri" w:eastAsia="Calibri" w:hAnsi="Calibri" w:cs="Calibri"/>
          <w:color w:val="E91E63"/>
        </w:rPr>
        <w:t>Paradiso et Campanelli</w:t>
      </w:r>
      <w:r>
        <w:rPr>
          <w:rFonts w:ascii="Calibri" w:eastAsia="Calibri" w:hAnsi="Calibri" w:cs="Calibri"/>
          <w:color w:val="1A1A1A"/>
        </w:rPr>
        <w:t xml:space="preserve">) ; </w:t>
      </w:r>
      <w:r w:rsidRPr="00013CFD">
        <w:rPr>
          <w:rFonts w:ascii="Calibri" w:eastAsia="Calibri" w:hAnsi="Calibri" w:cs="Calibri"/>
          <w:color w:val="1A1A1A"/>
          <w:highlight w:val="yellow"/>
        </w:rPr>
        <w:t>le droit français distingue l’interdiction du procédé et la protection de l’enfant né</w:t>
      </w:r>
      <w:r>
        <w:rPr>
          <w:rFonts w:ascii="Calibri" w:eastAsia="Calibri" w:hAnsi="Calibri" w:cs="Calibri"/>
          <w:color w:val="1A1A1A"/>
        </w:rPr>
        <w:t xml:space="preserve">. </w:t>
      </w:r>
      <w:r>
        <w:rPr>
          <w:rFonts w:ascii="Calibri" w:eastAsia="Calibri" w:hAnsi="Calibri" w:cs="Calibri"/>
          <w:b/>
          <w:bCs/>
          <w:color w:val="1A1A1A"/>
        </w:rPr>
        <w:t>La ligne de crête : l’intérêt de l’enfant justifie la reconnaissance, il ne justifie pas la pratique.</w:t>
      </w:r>
    </w:p>
    <w:p w14:paraId="648DBFA5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Biologie, volonté ou vécu ?</w:t>
      </w:r>
      <w:r>
        <w:rPr>
          <w:rFonts w:ascii="Calibri" w:eastAsia="Calibri" w:hAnsi="Calibri" w:cs="Calibri"/>
          <w:color w:val="1A1A1A"/>
        </w:rPr>
        <w:t xml:space="preserve"> — Trois fondements de la filiation coexistent : la vérité biologique (</w:t>
      </w:r>
      <w:r>
        <w:rPr>
          <w:rFonts w:ascii="Calibri" w:eastAsia="Calibri" w:hAnsi="Calibri" w:cs="Calibri"/>
          <w:color w:val="E91E63"/>
        </w:rPr>
        <w:t>Mennesson</w:t>
      </w:r>
      <w:r>
        <w:rPr>
          <w:rFonts w:ascii="Calibri" w:eastAsia="Calibri" w:hAnsi="Calibri" w:cs="Calibri"/>
          <w:color w:val="1A1A1A"/>
        </w:rPr>
        <w:t xml:space="preserve"> pour le père), la volonté (reconnaissance conjointe anticipée de 2021), le vécu (possession d’état). Le droit de la famille contemporain ne choisit pas : il </w:t>
      </w:r>
      <w:r>
        <w:rPr>
          <w:rFonts w:ascii="Calibri" w:eastAsia="Calibri" w:hAnsi="Calibri" w:cs="Calibri"/>
          <w:b/>
          <w:bCs/>
          <w:color w:val="1A1A1A"/>
        </w:rPr>
        <w:t>combine</w:t>
      </w:r>
      <w:r>
        <w:rPr>
          <w:rFonts w:ascii="Calibri" w:eastAsia="Calibri" w:hAnsi="Calibri" w:cs="Calibri"/>
          <w:color w:val="1A1A1A"/>
        </w:rPr>
        <w:t>.</w:t>
      </w:r>
    </w:p>
    <w:p w14:paraId="2CFE10B5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Une famille pensée à partir des droits individuels</w:t>
      </w:r>
      <w:r>
        <w:rPr>
          <w:rFonts w:ascii="Calibri" w:eastAsia="Calibri" w:hAnsi="Calibri" w:cs="Calibri"/>
          <w:color w:val="1A1A1A"/>
        </w:rPr>
        <w:t xml:space="preserve"> — </w:t>
      </w:r>
      <w:r>
        <w:rPr>
          <w:rFonts w:ascii="Calibri" w:eastAsia="Calibri" w:hAnsi="Calibri" w:cs="Calibri"/>
          <w:color w:val="E91E63"/>
        </w:rPr>
        <w:t>H.W. c. France</w:t>
      </w:r>
      <w:r>
        <w:rPr>
          <w:rFonts w:ascii="Calibri" w:eastAsia="Calibri" w:hAnsi="Calibri" w:cs="Calibri"/>
          <w:color w:val="1A1A1A"/>
        </w:rPr>
        <w:t xml:space="preserve"> et l’égalité parentale comme ordre public international (</w:t>
      </w:r>
      <w:r>
        <w:rPr>
          <w:rFonts w:ascii="Calibri" w:eastAsia="Calibri" w:hAnsi="Calibri" w:cs="Calibri"/>
          <w:color w:val="E91E63"/>
        </w:rPr>
        <w:t>CE, 2025</w:t>
      </w:r>
      <w:r>
        <w:rPr>
          <w:rFonts w:ascii="Calibri" w:eastAsia="Calibri" w:hAnsi="Calibri" w:cs="Calibri"/>
          <w:color w:val="1A1A1A"/>
        </w:rPr>
        <w:t>) montrent un basculement : la famille n’est plus une entité protégée contre l’extérieur, mais un lieu où s’appliquent les droits de chacun, y compris contre les autres membres.</w:t>
      </w:r>
    </w:p>
    <w:p w14:paraId="29D3BB95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Le dialogue des juges en action</w:t>
      </w:r>
      <w:r>
        <w:rPr>
          <w:rFonts w:ascii="Calibri" w:eastAsia="Calibri" w:hAnsi="Calibri" w:cs="Calibri"/>
          <w:color w:val="1A1A1A"/>
        </w:rPr>
        <w:t xml:space="preserve"> — La GPA est le cas d’école du dialogue entre la Cour de cassation et Strasbourg : condamnation (2014), premier avis consultatif du Protocole n° 16 (2019), alignement (2019, 2024, 2026), puis résistance législative (2021). Exemple à mobiliser pour tout sujet sur l’articulation des ordres juridiques.</w:t>
      </w:r>
    </w:p>
    <w:p w14:paraId="3AD01613" w14:textId="77777777" w:rsidR="00C05C80" w:rsidRDefault="00000000">
      <w:pPr>
        <w:pStyle w:val="Titre2"/>
        <w:spacing w:before="280" w:after="12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7. Dispositif « Grand Oral »</w:t>
      </w:r>
    </w:p>
    <w:p w14:paraId="5BEBB3AA" w14:textId="77777777" w:rsidR="00C05C80" w:rsidRDefault="00000000">
      <w:pPr>
        <w:pStyle w:val="Titre3"/>
        <w:spacing w:before="200" w:after="90"/>
      </w:pPr>
      <w:r>
        <w:rPr>
          <w:rFonts w:ascii="Calibri" w:eastAsia="Calibri" w:hAnsi="Calibri" w:cs="Calibri"/>
          <w:b/>
          <w:bCs/>
          <w:i/>
          <w:iCs/>
          <w:color w:val="5A5A5A"/>
          <w:sz w:val="21"/>
          <w:szCs w:val="21"/>
        </w:rPr>
        <w:t>7.1. Trois relances / questions pièges</w:t>
      </w:r>
    </w:p>
    <w:p w14:paraId="7C5855A6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« Existe-t-il un droit à l’enfant ? »</w:t>
      </w:r>
      <w:r>
        <w:rPr>
          <w:rFonts w:ascii="Calibri" w:eastAsia="Calibri" w:hAnsi="Calibri" w:cs="Calibri"/>
          <w:color w:val="1A1A1A"/>
        </w:rPr>
        <w:t xml:space="preserve"> — Non : l’</w:t>
      </w:r>
      <w:r>
        <w:rPr>
          <w:rFonts w:ascii="Calibri" w:eastAsia="Calibri" w:hAnsi="Calibri" w:cs="Calibri"/>
          <w:color w:val="1E88E5"/>
        </w:rPr>
        <w:t>art. 8</w:t>
      </w:r>
      <w:r>
        <w:rPr>
          <w:rFonts w:ascii="Calibri" w:eastAsia="Calibri" w:hAnsi="Calibri" w:cs="Calibri"/>
          <w:color w:val="1A1A1A"/>
        </w:rPr>
        <w:t xml:space="preserve"> protège la famille existante ; l’État peut encadrer, voire refuser, l’accès aux techniques (</w:t>
      </w:r>
      <w:r>
        <w:rPr>
          <w:rFonts w:ascii="Calibri" w:eastAsia="Calibri" w:hAnsi="Calibri" w:cs="Calibri"/>
          <w:color w:val="E91E63"/>
        </w:rPr>
        <w:t>S.H. c. Autriche</w:t>
      </w:r>
      <w:r>
        <w:rPr>
          <w:rFonts w:ascii="Calibri" w:eastAsia="Calibri" w:hAnsi="Calibri" w:cs="Calibri"/>
          <w:color w:val="1A1A1A"/>
        </w:rPr>
        <w:t>). Mais lorsqu’il ouvre un droit (adoption, PMA), il ne peut discriminer (</w:t>
      </w:r>
      <w:r>
        <w:rPr>
          <w:rFonts w:ascii="Calibri" w:eastAsia="Calibri" w:hAnsi="Calibri" w:cs="Calibri"/>
          <w:color w:val="E91E63"/>
        </w:rPr>
        <w:t>E.B. c. France</w:t>
      </w:r>
      <w:r>
        <w:rPr>
          <w:rFonts w:ascii="Calibri" w:eastAsia="Calibri" w:hAnsi="Calibri" w:cs="Calibri"/>
          <w:color w:val="1A1A1A"/>
        </w:rPr>
        <w:t xml:space="preserve">). La question n’est pas celle d’un droit à l’enfant, mais celle de </w:t>
      </w:r>
      <w:r>
        <w:rPr>
          <w:rFonts w:ascii="Calibri" w:eastAsia="Calibri" w:hAnsi="Calibri" w:cs="Calibri"/>
          <w:b/>
          <w:bCs/>
          <w:color w:val="1A1A1A"/>
        </w:rPr>
        <w:t>l’égal accès aux dispositifs que la loi organise</w:t>
      </w:r>
      <w:r>
        <w:rPr>
          <w:rFonts w:ascii="Calibri" w:eastAsia="Calibri" w:hAnsi="Calibri" w:cs="Calibri"/>
          <w:color w:val="1A1A1A"/>
        </w:rPr>
        <w:t>.</w:t>
      </w:r>
    </w:p>
    <w:p w14:paraId="63DAB9CA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« La Cour de cassation a-t-elle légalisé la GPA le 3 juillet 2026 ? »</w:t>
      </w:r>
      <w:r>
        <w:rPr>
          <w:rFonts w:ascii="Calibri" w:eastAsia="Calibri" w:hAnsi="Calibri" w:cs="Calibri"/>
          <w:color w:val="1A1A1A"/>
        </w:rPr>
        <w:t xml:space="preserve"> — Non : l’</w:t>
      </w:r>
      <w:r>
        <w:rPr>
          <w:rFonts w:ascii="Calibri" w:eastAsia="Calibri" w:hAnsi="Calibri" w:cs="Calibri"/>
          <w:color w:val="1E88E5"/>
        </w:rPr>
        <w:t>art. 16-7 C. civ.</w:t>
      </w:r>
      <w:r>
        <w:rPr>
          <w:rFonts w:ascii="Calibri" w:eastAsia="Calibri" w:hAnsi="Calibri" w:cs="Calibri"/>
          <w:color w:val="1A1A1A"/>
        </w:rPr>
        <w:t xml:space="preserve"> reste d’ordre public. Elle juge que </w:t>
      </w:r>
      <w:r w:rsidRPr="00C52ECB">
        <w:rPr>
          <w:rFonts w:ascii="Calibri" w:eastAsia="Calibri" w:hAnsi="Calibri" w:cs="Calibri"/>
          <w:color w:val="1A1A1A"/>
          <w:highlight w:val="yellow"/>
        </w:rPr>
        <w:t>l’interdiction ne suffit pas, à elle seule, à refuser la reconnaissance d’un jugement étranger, sous un contrôle effectif</w:t>
      </w:r>
      <w:r>
        <w:rPr>
          <w:rFonts w:ascii="Calibri" w:eastAsia="Calibri" w:hAnsi="Calibri" w:cs="Calibri"/>
          <w:color w:val="1A1A1A"/>
        </w:rPr>
        <w:t xml:space="preserve"> (identité des participants, consentement de la femme porteuse, absence de trafic). C’est la protection de l’identité de l’</w:t>
      </w:r>
      <w:r>
        <w:rPr>
          <w:rFonts w:ascii="Calibri" w:eastAsia="Calibri" w:hAnsi="Calibri" w:cs="Calibri"/>
          <w:b/>
          <w:bCs/>
          <w:color w:val="1A1A1A"/>
        </w:rPr>
        <w:t>enfant né</w:t>
      </w:r>
      <w:r>
        <w:rPr>
          <w:rFonts w:ascii="Calibri" w:eastAsia="Calibri" w:hAnsi="Calibri" w:cs="Calibri"/>
          <w:color w:val="1A1A1A"/>
        </w:rPr>
        <w:t xml:space="preserve"> (</w:t>
      </w:r>
      <w:r>
        <w:rPr>
          <w:rFonts w:ascii="Calibri" w:eastAsia="Calibri" w:hAnsi="Calibri" w:cs="Calibri"/>
          <w:color w:val="1E88E5"/>
        </w:rPr>
        <w:t>art. 8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1E88E5"/>
        </w:rPr>
        <w:t>art. 3-1 CIDE</w:t>
      </w:r>
      <w:r>
        <w:rPr>
          <w:rFonts w:ascii="Calibri" w:eastAsia="Calibri" w:hAnsi="Calibri" w:cs="Calibri"/>
          <w:color w:val="1A1A1A"/>
        </w:rPr>
        <w:t>).</w:t>
      </w:r>
    </w:p>
    <w:p w14:paraId="59165738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« Le droit au regroupement familial est-il absolu ? »</w:t>
      </w:r>
      <w:r>
        <w:rPr>
          <w:rFonts w:ascii="Calibri" w:eastAsia="Calibri" w:hAnsi="Calibri" w:cs="Calibri"/>
          <w:color w:val="1A1A1A"/>
        </w:rPr>
        <w:t xml:space="preserve"> — Non : droit conditionné (</w:t>
      </w:r>
      <w:r>
        <w:rPr>
          <w:rFonts w:ascii="Calibri" w:eastAsia="Calibri" w:hAnsi="Calibri" w:cs="Calibri"/>
          <w:color w:val="1E88E5"/>
        </w:rPr>
        <w:t>art. L. 434-2 s. CESEDA</w:t>
      </w:r>
      <w:r>
        <w:rPr>
          <w:rFonts w:ascii="Calibri" w:eastAsia="Calibri" w:hAnsi="Calibri" w:cs="Calibri"/>
          <w:color w:val="1A1A1A"/>
        </w:rPr>
        <w:t>), conciliable avec l’ordre public (</w:t>
      </w:r>
      <w:r>
        <w:rPr>
          <w:rFonts w:ascii="Calibri" w:eastAsia="Calibri" w:hAnsi="Calibri" w:cs="Calibri"/>
          <w:color w:val="E91E63"/>
        </w:rPr>
        <w:t>93-325 DC</w:t>
      </w:r>
      <w:r>
        <w:rPr>
          <w:rFonts w:ascii="Calibri" w:eastAsia="Calibri" w:hAnsi="Calibri" w:cs="Calibri"/>
          <w:color w:val="1A1A1A"/>
        </w:rPr>
        <w:t>). Strasbourg exige un examen concret (</w:t>
      </w:r>
      <w:r>
        <w:rPr>
          <w:rFonts w:ascii="Calibri" w:eastAsia="Calibri" w:hAnsi="Calibri" w:cs="Calibri"/>
          <w:color w:val="E91E63"/>
        </w:rPr>
        <w:t>Jeunesse</w:t>
      </w:r>
      <w:r>
        <w:rPr>
          <w:rFonts w:ascii="Calibri" w:eastAsia="Calibri" w:hAnsi="Calibri" w:cs="Calibri"/>
          <w:color w:val="1A1A1A"/>
        </w:rPr>
        <w:t>), admet l’exclusion des familles polygames au vu des circonstances (</w:t>
      </w:r>
      <w:r>
        <w:rPr>
          <w:rFonts w:ascii="Calibri" w:eastAsia="Calibri" w:hAnsi="Calibri" w:cs="Calibri"/>
          <w:color w:val="E91E63"/>
        </w:rPr>
        <w:t>A.A. c. Pays-</w:t>
      </w:r>
      <w:r w:rsidRPr="00D456FD">
        <w:rPr>
          <w:rFonts w:ascii="Calibri" w:eastAsia="Calibri" w:hAnsi="Calibri" w:cs="Calibri"/>
          <w:color w:val="E91D62"/>
        </w:rPr>
        <w:t>Bas, 2026</w:t>
      </w:r>
      <w:r>
        <w:rPr>
          <w:rFonts w:ascii="Calibri" w:eastAsia="Calibri" w:hAnsi="Calibri" w:cs="Calibri"/>
          <w:color w:val="1A1A1A"/>
        </w:rPr>
        <w:t>), mais sanctionne les délais excessifs (</w:t>
      </w:r>
      <w:r>
        <w:rPr>
          <w:rFonts w:ascii="Calibri" w:eastAsia="Calibri" w:hAnsi="Calibri" w:cs="Calibri"/>
          <w:color w:val="E91E63"/>
        </w:rPr>
        <w:t>M.A. c. Danemark</w:t>
      </w:r>
      <w:r>
        <w:rPr>
          <w:rFonts w:ascii="Calibri" w:eastAsia="Calibri" w:hAnsi="Calibri" w:cs="Calibri"/>
          <w:color w:val="1A1A1A"/>
        </w:rPr>
        <w:t>).</w:t>
      </w:r>
    </w:p>
    <w:p w14:paraId="491CDB35" w14:textId="77777777" w:rsidR="00C05C80" w:rsidRDefault="00000000">
      <w:pPr>
        <w:pStyle w:val="Titre3"/>
        <w:spacing w:before="200" w:after="90"/>
      </w:pPr>
      <w:r>
        <w:rPr>
          <w:rFonts w:ascii="Calibri" w:eastAsia="Calibri" w:hAnsi="Calibri" w:cs="Calibri"/>
          <w:b/>
          <w:bCs/>
          <w:i/>
          <w:iCs/>
          <w:color w:val="5A5A5A"/>
          <w:sz w:val="21"/>
          <w:szCs w:val="21"/>
        </w:rPr>
        <w:lastRenderedPageBreak/>
        <w:t>7.2. Sujets d’exposé rattachables</w:t>
      </w:r>
    </w:p>
    <w:p w14:paraId="73124E40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color w:val="1A1A1A"/>
        </w:rPr>
        <w:t xml:space="preserve">Existe-t-il un droit à la parenté ? (sujet « Pour s’entraîner ») — L’intérêt supérieur de l’enfant — La famille et la Convention européenne — Le mariage, liberté fondamentale ? — La GPA et les droits fondamentaux — Le droit de mener une vie familiale normale — Les étrangers et la vie familiale — Commentaire : </w:t>
      </w:r>
      <w:r>
        <w:rPr>
          <w:rFonts w:ascii="Calibri" w:eastAsia="Calibri" w:hAnsi="Calibri" w:cs="Calibri"/>
          <w:color w:val="E91E63"/>
        </w:rPr>
        <w:t>Cass. ass. plén., 3 juillet 2026</w:t>
      </w:r>
      <w:r>
        <w:rPr>
          <w:rFonts w:ascii="Calibri" w:eastAsia="Calibri" w:hAnsi="Calibri" w:cs="Calibri"/>
          <w:color w:val="1A1A1A"/>
        </w:rPr>
        <w:t xml:space="preserve"> — Commentaire : </w:t>
      </w:r>
      <w:r>
        <w:rPr>
          <w:rFonts w:ascii="Calibri" w:eastAsia="Calibri" w:hAnsi="Calibri" w:cs="Calibri"/>
          <w:color w:val="E91E63"/>
        </w:rPr>
        <w:t>H.W. c. France</w:t>
      </w:r>
      <w:r>
        <w:rPr>
          <w:rFonts w:ascii="Calibri" w:eastAsia="Calibri" w:hAnsi="Calibri" w:cs="Calibri"/>
          <w:color w:val="1A1A1A"/>
        </w:rPr>
        <w:t>.</w:t>
      </w:r>
    </w:p>
    <w:p w14:paraId="2050F0D4" w14:textId="77777777" w:rsidR="00C05C80" w:rsidRDefault="00000000">
      <w:pPr>
        <w:pStyle w:val="Titre3"/>
        <w:spacing w:before="200" w:after="90"/>
      </w:pPr>
      <w:r>
        <w:rPr>
          <w:rFonts w:ascii="Calibri" w:eastAsia="Calibri" w:hAnsi="Calibri" w:cs="Calibri"/>
          <w:b/>
          <w:bCs/>
          <w:i/>
          <w:iCs/>
          <w:color w:val="5A5A5A"/>
          <w:sz w:val="21"/>
          <w:szCs w:val="21"/>
        </w:rPr>
        <w:t>7.3. Angles morts — en question / réponse</w:t>
      </w:r>
    </w:p>
    <w:p w14:paraId="5C33A6FE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Q. Quel alinéa du Préambule de 1946 fonde le droit de mener une vie familiale normale ?</w:t>
      </w:r>
      <w:r>
        <w:rPr>
          <w:rFonts w:ascii="Calibri" w:eastAsia="Calibri" w:hAnsi="Calibri" w:cs="Calibri"/>
          <w:color w:val="1A1A1A"/>
        </w:rPr>
        <w:t xml:space="preserve"> — L’</w:t>
      </w:r>
      <w:r>
        <w:rPr>
          <w:rFonts w:ascii="Calibri" w:eastAsia="Calibri" w:hAnsi="Calibri" w:cs="Calibri"/>
          <w:b/>
          <w:bCs/>
          <w:color w:val="1A1A1A"/>
        </w:rPr>
        <w:t>alinéa 10</w:t>
      </w:r>
      <w:r>
        <w:rPr>
          <w:rFonts w:ascii="Calibri" w:eastAsia="Calibri" w:hAnsi="Calibri" w:cs="Calibri"/>
          <w:color w:val="1A1A1A"/>
        </w:rPr>
        <w:t xml:space="preserve"> (</w:t>
      </w:r>
      <w:r>
        <w:rPr>
          <w:rFonts w:ascii="Calibri" w:eastAsia="Calibri" w:hAnsi="Calibri" w:cs="Calibri"/>
          <w:color w:val="E91E63"/>
        </w:rPr>
        <w:t>93-325 DC</w:t>
      </w:r>
      <w:r>
        <w:rPr>
          <w:rFonts w:ascii="Calibri" w:eastAsia="Calibri" w:hAnsi="Calibri" w:cs="Calibri"/>
          <w:color w:val="1A1A1A"/>
        </w:rPr>
        <w:t>).</w:t>
      </w:r>
    </w:p>
    <w:p w14:paraId="449A3E08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Q. Le regroupement familial était-il protégé avant 1993 ?</w:t>
      </w:r>
      <w:r>
        <w:rPr>
          <w:rFonts w:ascii="Calibri" w:eastAsia="Calibri" w:hAnsi="Calibri" w:cs="Calibri"/>
          <w:color w:val="1A1A1A"/>
        </w:rPr>
        <w:t xml:space="preserve"> — Oui, comme </w:t>
      </w:r>
      <w:r>
        <w:rPr>
          <w:rFonts w:ascii="Calibri" w:eastAsia="Calibri" w:hAnsi="Calibri" w:cs="Calibri"/>
          <w:b/>
          <w:bCs/>
          <w:color w:val="1A1A1A"/>
        </w:rPr>
        <w:t>principe général du droit</w:t>
      </w:r>
      <w:r>
        <w:rPr>
          <w:rFonts w:ascii="Calibri" w:eastAsia="Calibri" w:hAnsi="Calibri" w:cs="Calibri"/>
          <w:color w:val="1A1A1A"/>
        </w:rPr>
        <w:t xml:space="preserve"> (</w:t>
      </w:r>
      <w:r>
        <w:rPr>
          <w:rFonts w:ascii="Calibri" w:eastAsia="Calibri" w:hAnsi="Calibri" w:cs="Calibri"/>
          <w:color w:val="E91E63"/>
        </w:rPr>
        <w:t>CE, ass., 8 décembre 1978, GISTI</w:t>
      </w:r>
      <w:r>
        <w:rPr>
          <w:rFonts w:ascii="Calibri" w:eastAsia="Calibri" w:hAnsi="Calibri" w:cs="Calibri"/>
          <w:color w:val="1A1A1A"/>
        </w:rPr>
        <w:t>).</w:t>
      </w:r>
    </w:p>
    <w:p w14:paraId="6C4A97FD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Q. Qu’a apporté le premier avis consultatif du Protocole n° 16 ?</w:t>
      </w:r>
      <w:r>
        <w:rPr>
          <w:rFonts w:ascii="Calibri" w:eastAsia="Calibri" w:hAnsi="Calibri" w:cs="Calibri"/>
          <w:color w:val="1A1A1A"/>
        </w:rPr>
        <w:t xml:space="preserve"> — Rendu le 10 avril 2019 sur demande de la Cour de cassation, il impose la reconnaissance du lien avec la </w:t>
      </w:r>
      <w:r>
        <w:rPr>
          <w:rFonts w:ascii="Calibri" w:eastAsia="Calibri" w:hAnsi="Calibri" w:cs="Calibri"/>
          <w:b/>
          <w:bCs/>
          <w:color w:val="1A1A1A"/>
        </w:rPr>
        <w:t>mère d’intention</w:t>
      </w:r>
      <w:r>
        <w:rPr>
          <w:rFonts w:ascii="Calibri" w:eastAsia="Calibri" w:hAnsi="Calibri" w:cs="Calibri"/>
          <w:color w:val="1A1A1A"/>
        </w:rPr>
        <w:t xml:space="preserve"> par un moyen effectif et rapide, l’adoption pouvant suffire.</w:t>
      </w:r>
    </w:p>
    <w:p w14:paraId="04B5B202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Q. Depuis quand la PMA est-elle ouverte aux femmes seules ?</w:t>
      </w:r>
      <w:r>
        <w:rPr>
          <w:rFonts w:ascii="Calibri" w:eastAsia="Calibri" w:hAnsi="Calibri" w:cs="Calibri"/>
          <w:color w:val="1A1A1A"/>
        </w:rPr>
        <w:t xml:space="preserve"> — Depuis la </w:t>
      </w:r>
      <w:r>
        <w:rPr>
          <w:rFonts w:ascii="Calibri" w:eastAsia="Calibri" w:hAnsi="Calibri" w:cs="Calibri"/>
          <w:color w:val="1E88E5"/>
        </w:rPr>
        <w:t>loi n° 2021-1017 du 2 août 2021</w:t>
      </w:r>
      <w:r>
        <w:rPr>
          <w:rFonts w:ascii="Calibri" w:eastAsia="Calibri" w:hAnsi="Calibri" w:cs="Calibri"/>
          <w:color w:val="1A1A1A"/>
        </w:rPr>
        <w:t xml:space="preserve"> relative à la bioéthique.</w:t>
      </w:r>
    </w:p>
    <w:p w14:paraId="497ABC2F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Q. À partir de quel âge peut-on adopter ?</w:t>
      </w:r>
      <w:r>
        <w:rPr>
          <w:rFonts w:ascii="Calibri" w:eastAsia="Calibri" w:hAnsi="Calibri" w:cs="Calibri"/>
          <w:color w:val="1A1A1A"/>
        </w:rPr>
        <w:t xml:space="preserve"> — </w:t>
      </w:r>
      <w:r>
        <w:rPr>
          <w:rFonts w:ascii="Calibri" w:eastAsia="Calibri" w:hAnsi="Calibri" w:cs="Calibri"/>
          <w:b/>
          <w:bCs/>
          <w:color w:val="1A1A1A"/>
        </w:rPr>
        <w:t>26 ans</w:t>
      </w:r>
      <w:r>
        <w:rPr>
          <w:rFonts w:ascii="Calibri" w:eastAsia="Calibri" w:hAnsi="Calibri" w:cs="Calibri"/>
          <w:color w:val="1A1A1A"/>
        </w:rPr>
        <w:t xml:space="preserve"> depuis la </w:t>
      </w:r>
      <w:r>
        <w:rPr>
          <w:rFonts w:ascii="Calibri" w:eastAsia="Calibri" w:hAnsi="Calibri" w:cs="Calibri"/>
          <w:color w:val="1E88E5"/>
        </w:rPr>
        <w:t>loi du 21 février 2022</w:t>
      </w:r>
      <w:r>
        <w:rPr>
          <w:rFonts w:ascii="Calibri" w:eastAsia="Calibri" w:hAnsi="Calibri" w:cs="Calibri"/>
          <w:color w:val="1A1A1A"/>
        </w:rPr>
        <w:t>.</w:t>
      </w:r>
    </w:p>
    <w:p w14:paraId="04923F87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Q. Pourquoi Mazurek est-il important ?</w:t>
      </w:r>
      <w:r>
        <w:rPr>
          <w:rFonts w:ascii="Calibri" w:eastAsia="Calibri" w:hAnsi="Calibri" w:cs="Calibri"/>
          <w:color w:val="1A1A1A"/>
        </w:rPr>
        <w:t xml:space="preserve"> — Il a conduit à la </w:t>
      </w:r>
      <w:r>
        <w:rPr>
          <w:rFonts w:ascii="Calibri" w:eastAsia="Calibri" w:hAnsi="Calibri" w:cs="Calibri"/>
          <w:color w:val="1E88E5"/>
        </w:rPr>
        <w:t>loi du 3 décembre 2001</w:t>
      </w:r>
      <w:r>
        <w:rPr>
          <w:rFonts w:ascii="Calibri" w:eastAsia="Calibri" w:hAnsi="Calibri" w:cs="Calibri"/>
          <w:color w:val="1A1A1A"/>
        </w:rPr>
        <w:t xml:space="preserve"> supprimant la discrimination successorale des enfants adultérins : exemple d’exécution législative d’un arrêt européen.</w:t>
      </w:r>
    </w:p>
    <w:p w14:paraId="799BD975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Q. Le maire peut-il refuser de célébrer un mariage entre personnes de même sexe ?</w:t>
      </w:r>
      <w:r>
        <w:rPr>
          <w:rFonts w:ascii="Calibri" w:eastAsia="Calibri" w:hAnsi="Calibri" w:cs="Calibri"/>
          <w:color w:val="1A1A1A"/>
        </w:rPr>
        <w:t xml:space="preserve"> — Non : pas de clause de conscience, l’officier de l’état civil agissant au nom de l’État (</w:t>
      </w:r>
      <w:r>
        <w:rPr>
          <w:rFonts w:ascii="Calibri" w:eastAsia="Calibri" w:hAnsi="Calibri" w:cs="Calibri"/>
          <w:color w:val="E91E63"/>
        </w:rPr>
        <w:t>2013-353 QPC</w:t>
      </w:r>
      <w:r>
        <w:rPr>
          <w:rFonts w:ascii="Calibri" w:eastAsia="Calibri" w:hAnsi="Calibri" w:cs="Calibri"/>
          <w:color w:val="1A1A1A"/>
        </w:rPr>
        <w:t>).</w:t>
      </w:r>
    </w:p>
    <w:p w14:paraId="6AF25F47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Q. Le juge peut-il écarter une loi française dans un litige purement interne au nom de l’article 8 ?</w:t>
      </w:r>
      <w:r>
        <w:rPr>
          <w:rFonts w:ascii="Calibri" w:eastAsia="Calibri" w:hAnsi="Calibri" w:cs="Calibri"/>
          <w:color w:val="1A1A1A"/>
        </w:rPr>
        <w:t xml:space="preserve"> — Oui, par le contrôle concret de proportionnalité (</w:t>
      </w:r>
      <w:r>
        <w:rPr>
          <w:rFonts w:ascii="Calibri" w:eastAsia="Calibri" w:hAnsi="Calibri" w:cs="Calibri"/>
          <w:color w:val="E91E63"/>
        </w:rPr>
        <w:t>Cass. 1re civ., 4 décembre 2013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CE, ass., 31 mai 2016, Gonzalez-Gomez</w:t>
      </w:r>
      <w:r>
        <w:rPr>
          <w:rFonts w:ascii="Calibri" w:eastAsia="Calibri" w:hAnsi="Calibri" w:cs="Calibri"/>
          <w:color w:val="1A1A1A"/>
        </w:rPr>
        <w:t>).</w:t>
      </w:r>
    </w:p>
    <w:p w14:paraId="6F3E17B5" w14:textId="77777777" w:rsidR="00C05C80" w:rsidRDefault="00000000">
      <w:r>
        <w:br w:type="page"/>
      </w:r>
    </w:p>
    <w:p w14:paraId="3C2070C4" w14:textId="77777777" w:rsidR="00C05C80" w:rsidRDefault="00000000">
      <w:pPr>
        <w:pStyle w:val="Titre1"/>
        <w:pBdr>
          <w:bottom w:val="single" w:sz="12" w:space="6" w:color="8C1C2B"/>
        </w:pBdr>
        <w:spacing w:before="240" w:after="200"/>
      </w:pPr>
      <w:r>
        <w:rPr>
          <w:rFonts w:ascii="Calibri" w:eastAsia="Calibri" w:hAnsi="Calibri" w:cs="Calibri"/>
          <w:b/>
          <w:bCs/>
          <w:color w:val="8C1C2B"/>
          <w:sz w:val="30"/>
          <w:szCs w:val="30"/>
        </w:rPr>
        <w:lastRenderedPageBreak/>
        <w:t>FICHE N° 35 — LE DROIT À LA PROTECTION DES DONNÉES À CARACTÈRE PERSONNEL</w:t>
      </w:r>
    </w:p>
    <w:p w14:paraId="4392EC57" w14:textId="77777777" w:rsidR="00C05C80" w:rsidRDefault="00000000">
      <w:pPr>
        <w:pStyle w:val="Titre2"/>
        <w:spacing w:before="280" w:after="12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◆ FICHE-MÉMOIRE — à réviser en trois minutes</w:t>
      </w:r>
    </w:p>
    <w:p w14:paraId="768196F9" w14:textId="77777777" w:rsidR="00C05C80" w:rsidRDefault="00000000">
      <w:pPr>
        <w:pStyle w:val="Titre3"/>
        <w:spacing w:before="200" w:after="90"/>
      </w:pPr>
      <w:r>
        <w:rPr>
          <w:rFonts w:ascii="Calibri" w:eastAsia="Calibri" w:hAnsi="Calibri" w:cs="Calibri"/>
          <w:b/>
          <w:bCs/>
          <w:i/>
          <w:iCs/>
          <w:color w:val="5A5A5A"/>
          <w:sz w:val="21"/>
          <w:szCs w:val="21"/>
        </w:rPr>
        <w:t>Accroche</w:t>
      </w:r>
    </w:p>
    <w:p w14:paraId="6489D8B3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color w:val="1A1A1A"/>
        </w:rPr>
        <w:t xml:space="preserve">Le </w:t>
      </w:r>
      <w:r w:rsidRPr="00D456FD">
        <w:rPr>
          <w:rFonts w:ascii="Calibri" w:eastAsia="Calibri" w:hAnsi="Calibri" w:cs="Calibri"/>
          <w:color w:val="BF4E14" w:themeColor="accent2" w:themeShade="BF"/>
        </w:rPr>
        <w:t xml:space="preserve">21 mars 1974, </w:t>
      </w:r>
      <w:r w:rsidRPr="00D456FD">
        <w:rPr>
          <w:rFonts w:ascii="Calibri" w:eastAsia="Calibri" w:hAnsi="Calibri" w:cs="Calibri"/>
          <w:i/>
          <w:iCs/>
          <w:color w:val="BF4E14" w:themeColor="accent2" w:themeShade="BF"/>
        </w:rPr>
        <w:t>Le Monde</w:t>
      </w:r>
      <w:r w:rsidRPr="00D456FD">
        <w:rPr>
          <w:rFonts w:ascii="Calibri" w:eastAsia="Calibri" w:hAnsi="Calibri" w:cs="Calibri"/>
          <w:color w:val="BF4E14" w:themeColor="accent2" w:themeShade="BF"/>
        </w:rPr>
        <w:t xml:space="preserve"> </w:t>
      </w:r>
      <w:r>
        <w:rPr>
          <w:rFonts w:ascii="Calibri" w:eastAsia="Calibri" w:hAnsi="Calibri" w:cs="Calibri"/>
          <w:color w:val="1A1A1A"/>
        </w:rPr>
        <w:t xml:space="preserve">titre : </w:t>
      </w:r>
      <w:r w:rsidRPr="00D456FD">
        <w:rPr>
          <w:rFonts w:ascii="Calibri" w:eastAsia="Calibri" w:hAnsi="Calibri" w:cs="Calibri"/>
          <w:color w:val="BF4E14" w:themeColor="accent2" w:themeShade="BF"/>
        </w:rPr>
        <w:t xml:space="preserve">« </w:t>
      </w:r>
      <w:r w:rsidRPr="00D456FD">
        <w:rPr>
          <w:rFonts w:ascii="Calibri" w:eastAsia="Calibri" w:hAnsi="Calibri" w:cs="Calibri"/>
          <w:b/>
          <w:bCs/>
          <w:color w:val="BF4E14" w:themeColor="accent2" w:themeShade="BF"/>
        </w:rPr>
        <w:t>SAFARI ou la chasse aux Français</w:t>
      </w:r>
      <w:r w:rsidRPr="00D456FD">
        <w:rPr>
          <w:rFonts w:ascii="Calibri" w:eastAsia="Calibri" w:hAnsi="Calibri" w:cs="Calibri"/>
          <w:color w:val="BF4E14" w:themeColor="accent2" w:themeShade="BF"/>
        </w:rPr>
        <w:t xml:space="preserve"> ». </w:t>
      </w:r>
      <w:r>
        <w:rPr>
          <w:rFonts w:ascii="Calibri" w:eastAsia="Calibri" w:hAnsi="Calibri" w:cs="Calibri"/>
          <w:color w:val="1A1A1A"/>
        </w:rPr>
        <w:t xml:space="preserve">Le projet d’interconnexion des fichiers administratifs autour du numéro de sécurité sociale déclenche un tel émoi qu’il aboutit à la </w:t>
      </w:r>
      <w:r>
        <w:rPr>
          <w:rFonts w:ascii="Calibri" w:eastAsia="Calibri" w:hAnsi="Calibri" w:cs="Calibri"/>
          <w:color w:val="1E88E5"/>
        </w:rPr>
        <w:t>loi n° 78-17 du 6 janvier 1978</w:t>
      </w:r>
      <w:r>
        <w:rPr>
          <w:rFonts w:ascii="Calibri" w:eastAsia="Calibri" w:hAnsi="Calibri" w:cs="Calibri"/>
          <w:color w:val="1A1A1A"/>
        </w:rPr>
        <w:t xml:space="preserve"> et à la création de la </w:t>
      </w:r>
      <w:r>
        <w:rPr>
          <w:rFonts w:ascii="Calibri" w:eastAsia="Calibri" w:hAnsi="Calibri" w:cs="Calibri"/>
          <w:b/>
          <w:bCs/>
          <w:color w:val="1A1A1A"/>
        </w:rPr>
        <w:t>CNIL</w:t>
      </w:r>
      <w:r>
        <w:rPr>
          <w:rFonts w:ascii="Calibri" w:eastAsia="Calibri" w:hAnsi="Calibri" w:cs="Calibri"/>
          <w:color w:val="1A1A1A"/>
        </w:rPr>
        <w:t xml:space="preserve"> : la protection des données est née, en France, de la </w:t>
      </w:r>
      <w:r>
        <w:rPr>
          <w:rFonts w:ascii="Calibri" w:eastAsia="Calibri" w:hAnsi="Calibri" w:cs="Calibri"/>
          <w:b/>
          <w:bCs/>
          <w:color w:val="1A1A1A"/>
        </w:rPr>
        <w:t>peur d’un État qui sait tout</w:t>
      </w:r>
      <w:r>
        <w:rPr>
          <w:rFonts w:ascii="Calibri" w:eastAsia="Calibri" w:hAnsi="Calibri" w:cs="Calibri"/>
          <w:color w:val="1A1A1A"/>
        </w:rPr>
        <w:t>.</w:t>
      </w:r>
    </w:p>
    <w:p w14:paraId="174B29D0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color w:val="1A1A1A"/>
        </w:rPr>
        <w:t xml:space="preserve">Accroche alternative : 24 juillet 2026 — l’Union européenne prolonge jusqu’en 2028 la dérogation permettant aux messageries de détecter volontairement les contenus pédocriminels, mais en </w:t>
      </w:r>
      <w:r>
        <w:rPr>
          <w:rFonts w:ascii="Calibri" w:eastAsia="Calibri" w:hAnsi="Calibri" w:cs="Calibri"/>
          <w:b/>
          <w:bCs/>
          <w:color w:val="1A1A1A"/>
        </w:rPr>
        <w:t>exclut les communications chiffrées de bout en bout</w:t>
      </w:r>
      <w:r>
        <w:rPr>
          <w:rFonts w:ascii="Calibri" w:eastAsia="Calibri" w:hAnsi="Calibri" w:cs="Calibri"/>
          <w:color w:val="1A1A1A"/>
        </w:rPr>
        <w:t xml:space="preserve"> (</w:t>
      </w:r>
      <w:r>
        <w:rPr>
          <w:rFonts w:ascii="Calibri" w:eastAsia="Calibri" w:hAnsi="Calibri" w:cs="Calibri"/>
          <w:color w:val="1E88E5"/>
        </w:rPr>
        <w:t>règlement (UE) 2026/1881</w:t>
      </w:r>
      <w:r>
        <w:rPr>
          <w:rFonts w:ascii="Calibri" w:eastAsia="Calibri" w:hAnsi="Calibri" w:cs="Calibri"/>
          <w:color w:val="1A1A1A"/>
        </w:rPr>
        <w:t>). Protéger les enfants sans lire les messages de tous : c’est toute la difficulté du droit des données.</w:t>
      </w:r>
    </w:p>
    <w:p w14:paraId="398FE1C9" w14:textId="77777777" w:rsidR="00C05C80" w:rsidRDefault="00000000">
      <w:pPr>
        <w:pStyle w:val="Titre3"/>
        <w:spacing w:before="200" w:after="90"/>
      </w:pPr>
      <w:r>
        <w:rPr>
          <w:rFonts w:ascii="Calibri" w:eastAsia="Calibri" w:hAnsi="Calibri" w:cs="Calibri"/>
          <w:b/>
          <w:bCs/>
          <w:i/>
          <w:iCs/>
          <w:color w:val="5A5A5A"/>
          <w:sz w:val="21"/>
          <w:szCs w:val="21"/>
        </w:rPr>
        <w:t>Définition en trois lignes</w:t>
      </w:r>
    </w:p>
    <w:p w14:paraId="5FD5B1F6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color w:val="1A1A1A"/>
        </w:rPr>
        <w:t xml:space="preserve">Une donnée à caractère personnel est </w:t>
      </w:r>
      <w:r>
        <w:rPr>
          <w:rFonts w:ascii="Calibri" w:eastAsia="Calibri" w:hAnsi="Calibri" w:cs="Calibri"/>
          <w:b/>
          <w:bCs/>
          <w:color w:val="1A1A1A"/>
        </w:rPr>
        <w:t>toute information se rapportant à une personne physique identifiée ou identifiable</w:t>
      </w:r>
      <w:r>
        <w:rPr>
          <w:rFonts w:ascii="Calibri" w:eastAsia="Calibri" w:hAnsi="Calibri" w:cs="Calibri"/>
          <w:color w:val="1A1A1A"/>
        </w:rPr>
        <w:t>, directement ou indirectement (</w:t>
      </w:r>
      <w:r>
        <w:rPr>
          <w:rFonts w:ascii="Calibri" w:eastAsia="Calibri" w:hAnsi="Calibri" w:cs="Calibri"/>
          <w:color w:val="1E88E5"/>
        </w:rPr>
        <w:t>art. 4.1 RGPD</w:t>
      </w:r>
      <w:r>
        <w:rPr>
          <w:rFonts w:ascii="Calibri" w:eastAsia="Calibri" w:hAnsi="Calibri" w:cs="Calibri"/>
          <w:color w:val="1A1A1A"/>
        </w:rPr>
        <w:t xml:space="preserve">) — y compris une adresse IP. Le droit à leur protection garantit la </w:t>
      </w:r>
      <w:r>
        <w:rPr>
          <w:rFonts w:ascii="Calibri" w:eastAsia="Calibri" w:hAnsi="Calibri" w:cs="Calibri"/>
          <w:b/>
          <w:bCs/>
          <w:color w:val="1A1A1A"/>
        </w:rPr>
        <w:t>maîtrise</w:t>
      </w:r>
      <w:r>
        <w:rPr>
          <w:rFonts w:ascii="Calibri" w:eastAsia="Calibri" w:hAnsi="Calibri" w:cs="Calibri"/>
          <w:color w:val="1A1A1A"/>
        </w:rPr>
        <w:t xml:space="preserve"> de la personne sur l’usage de ses données : finalité, minimisation, exactitude, durée limitée, sécurité.</w:t>
      </w:r>
    </w:p>
    <w:p w14:paraId="24191152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color w:val="1A1A1A"/>
        </w:rPr>
        <w:t xml:space="preserve">C’est un </w:t>
      </w:r>
      <w:r>
        <w:rPr>
          <w:rFonts w:ascii="Calibri" w:eastAsia="Calibri" w:hAnsi="Calibri" w:cs="Calibri"/>
          <w:b/>
          <w:bCs/>
          <w:color w:val="1A1A1A"/>
        </w:rPr>
        <w:t>droit autonome</w:t>
      </w:r>
      <w:r>
        <w:rPr>
          <w:rFonts w:ascii="Calibri" w:eastAsia="Calibri" w:hAnsi="Calibri" w:cs="Calibri"/>
          <w:color w:val="1A1A1A"/>
        </w:rPr>
        <w:t xml:space="preserve"> dans l’Union (</w:t>
      </w:r>
      <w:r>
        <w:rPr>
          <w:rFonts w:ascii="Calibri" w:eastAsia="Calibri" w:hAnsi="Calibri" w:cs="Calibri"/>
          <w:color w:val="1E88E5"/>
        </w:rPr>
        <w:t>art. 8 CDFUE</w:t>
      </w:r>
      <w:r>
        <w:rPr>
          <w:rFonts w:ascii="Calibri" w:eastAsia="Calibri" w:hAnsi="Calibri" w:cs="Calibri"/>
          <w:color w:val="1A1A1A"/>
        </w:rPr>
        <w:t>, distinct de la vie privée de l’</w:t>
      </w:r>
      <w:r>
        <w:rPr>
          <w:rFonts w:ascii="Calibri" w:eastAsia="Calibri" w:hAnsi="Calibri" w:cs="Calibri"/>
          <w:color w:val="1E88E5"/>
        </w:rPr>
        <w:t>art. 7</w:t>
      </w:r>
      <w:r>
        <w:rPr>
          <w:rFonts w:ascii="Calibri" w:eastAsia="Calibri" w:hAnsi="Calibri" w:cs="Calibri"/>
          <w:color w:val="1A1A1A"/>
        </w:rPr>
        <w:t xml:space="preserve">) ; une </w:t>
      </w:r>
      <w:r>
        <w:rPr>
          <w:rFonts w:ascii="Calibri" w:eastAsia="Calibri" w:hAnsi="Calibri" w:cs="Calibri"/>
          <w:b/>
          <w:bCs/>
          <w:color w:val="1A1A1A"/>
        </w:rPr>
        <w:t>composante de la vie privée</w:t>
      </w:r>
      <w:r>
        <w:rPr>
          <w:rFonts w:ascii="Calibri" w:eastAsia="Calibri" w:hAnsi="Calibri" w:cs="Calibri"/>
          <w:color w:val="1A1A1A"/>
        </w:rPr>
        <w:t xml:space="preserve"> pour Strasbourg (</w:t>
      </w:r>
      <w:r>
        <w:rPr>
          <w:rFonts w:ascii="Calibri" w:eastAsia="Calibri" w:hAnsi="Calibri" w:cs="Calibri"/>
          <w:color w:val="1E88E5"/>
        </w:rPr>
        <w:t>art. 8 CEDH</w:t>
      </w:r>
      <w:r>
        <w:rPr>
          <w:rFonts w:ascii="Calibri" w:eastAsia="Calibri" w:hAnsi="Calibri" w:cs="Calibri"/>
          <w:color w:val="1A1A1A"/>
        </w:rPr>
        <w:t>) et pour le Conseil constitutionnel (</w:t>
      </w:r>
      <w:r>
        <w:rPr>
          <w:rFonts w:ascii="Calibri" w:eastAsia="Calibri" w:hAnsi="Calibri" w:cs="Calibri"/>
          <w:color w:val="1E88E5"/>
        </w:rPr>
        <w:t>art. 2 DDHC</w:t>
      </w:r>
      <w:r>
        <w:rPr>
          <w:rFonts w:ascii="Calibri" w:eastAsia="Calibri" w:hAnsi="Calibri" w:cs="Calibri"/>
          <w:color w:val="1A1A1A"/>
        </w:rPr>
        <w:t>).</w:t>
      </w:r>
    </w:p>
    <w:p w14:paraId="70BA404B" w14:textId="77777777" w:rsidR="00C05C80" w:rsidRDefault="00000000">
      <w:pPr>
        <w:pStyle w:val="Titre3"/>
        <w:spacing w:before="200" w:after="90"/>
      </w:pPr>
      <w:r>
        <w:rPr>
          <w:rFonts w:ascii="Calibri" w:eastAsia="Calibri" w:hAnsi="Calibri" w:cs="Calibri"/>
          <w:b/>
          <w:bCs/>
          <w:i/>
          <w:iCs/>
          <w:color w:val="5A5A5A"/>
          <w:sz w:val="21"/>
          <w:szCs w:val="21"/>
        </w:rPr>
        <w:t>Les cinq références incontournables</w:t>
      </w:r>
    </w:p>
    <w:p w14:paraId="34415E5B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color w:val="1A1A1A"/>
        </w:rPr>
        <w:t xml:space="preserve">★ </w:t>
      </w:r>
      <w:r>
        <w:rPr>
          <w:rFonts w:ascii="Calibri" w:eastAsia="Calibri" w:hAnsi="Calibri" w:cs="Calibri"/>
          <w:color w:val="1E88E5"/>
        </w:rPr>
        <w:t>Loi n° 78-17 du 6 janvier 1978 relative à l’informatique, aux fichiers et aux libertés</w:t>
      </w:r>
      <w:r>
        <w:rPr>
          <w:rFonts w:ascii="Calibri" w:eastAsia="Calibri" w:hAnsi="Calibri" w:cs="Calibri"/>
          <w:color w:val="1A1A1A"/>
        </w:rPr>
        <w:t xml:space="preserve"> (« L’informatique doit être au service de chaque citoyen ») ; </w:t>
      </w:r>
      <w:r>
        <w:rPr>
          <w:rFonts w:ascii="Calibri" w:eastAsia="Calibri" w:hAnsi="Calibri" w:cs="Calibri"/>
          <w:color w:val="1E88E5"/>
        </w:rPr>
        <w:t>règlement (UE) 2016/679 du 27 avril 2016 (RGPD)</w:t>
      </w:r>
      <w:r>
        <w:rPr>
          <w:rFonts w:ascii="Calibri" w:eastAsia="Calibri" w:hAnsi="Calibri" w:cs="Calibri"/>
          <w:color w:val="1A1A1A"/>
        </w:rPr>
        <w:t xml:space="preserve">, applicable depuis le 25 mai 2018 ; </w:t>
      </w:r>
      <w:r>
        <w:rPr>
          <w:rFonts w:ascii="Calibri" w:eastAsia="Calibri" w:hAnsi="Calibri" w:cs="Calibri"/>
          <w:color w:val="1E88E5"/>
        </w:rPr>
        <w:t>directive (UE) 2016/680</w:t>
      </w:r>
      <w:r>
        <w:rPr>
          <w:rFonts w:ascii="Calibri" w:eastAsia="Calibri" w:hAnsi="Calibri" w:cs="Calibri"/>
          <w:color w:val="1A1A1A"/>
        </w:rPr>
        <w:t xml:space="preserve"> « police-justice ».</w:t>
      </w:r>
    </w:p>
    <w:p w14:paraId="4ACD8C1E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color w:val="1A1A1A"/>
        </w:rPr>
        <w:t xml:space="preserve">★ </w:t>
      </w:r>
      <w:r>
        <w:rPr>
          <w:rFonts w:ascii="Calibri" w:eastAsia="Calibri" w:hAnsi="Calibri" w:cs="Calibri"/>
          <w:color w:val="E91E63"/>
        </w:rPr>
        <w:t>CJUE [GC], 13 mai 2014, Google Spain, C-131/12</w:t>
      </w:r>
      <w:r>
        <w:rPr>
          <w:rFonts w:ascii="Calibri" w:eastAsia="Calibri" w:hAnsi="Calibri" w:cs="Calibri"/>
          <w:color w:val="1A1A1A"/>
        </w:rPr>
        <w:t xml:space="preserve"> : le moteur de recherche est responsable de traitement ; </w:t>
      </w:r>
      <w:r>
        <w:rPr>
          <w:rFonts w:ascii="Calibri" w:eastAsia="Calibri" w:hAnsi="Calibri" w:cs="Calibri"/>
          <w:b/>
          <w:bCs/>
          <w:color w:val="1A1A1A"/>
        </w:rPr>
        <w:t>droit au déréférencement</w:t>
      </w:r>
      <w:r>
        <w:rPr>
          <w:rFonts w:ascii="Calibri" w:eastAsia="Calibri" w:hAnsi="Calibri" w:cs="Calibri"/>
          <w:color w:val="1A1A1A"/>
        </w:rPr>
        <w:t>.</w:t>
      </w:r>
    </w:p>
    <w:p w14:paraId="4A854A8B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color w:val="1A1A1A"/>
        </w:rPr>
        <w:t xml:space="preserve">★ </w:t>
      </w:r>
      <w:r>
        <w:rPr>
          <w:rFonts w:ascii="Calibri" w:eastAsia="Calibri" w:hAnsi="Calibri" w:cs="Calibri"/>
          <w:color w:val="E91E63"/>
        </w:rPr>
        <w:t>CJUE [GC], 8 avril 2014, Digital Rights Ireland, C-293/12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 xml:space="preserve">21 décembre 2016, Tele2 </w:t>
      </w:r>
      <w:proofErr w:type="spellStart"/>
      <w:r>
        <w:rPr>
          <w:rFonts w:ascii="Calibri" w:eastAsia="Calibri" w:hAnsi="Calibri" w:cs="Calibri"/>
          <w:color w:val="E91E63"/>
        </w:rPr>
        <w:t>Sverige</w:t>
      </w:r>
      <w:proofErr w:type="spellEnd"/>
      <w:r>
        <w:rPr>
          <w:rFonts w:ascii="Calibri" w:eastAsia="Calibri" w:hAnsi="Calibri" w:cs="Calibri"/>
          <w:color w:val="E91E63"/>
        </w:rPr>
        <w:t>, C-203/15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6 octobre 2020, La Quadrature du Net, C-511/18</w:t>
      </w:r>
      <w:r>
        <w:rPr>
          <w:rFonts w:ascii="Calibri" w:eastAsia="Calibri" w:hAnsi="Calibri" w:cs="Calibri"/>
          <w:color w:val="1A1A1A"/>
        </w:rPr>
        <w:t xml:space="preserve"> : </w:t>
      </w:r>
      <w:r>
        <w:rPr>
          <w:rFonts w:ascii="Calibri" w:eastAsia="Calibri" w:hAnsi="Calibri" w:cs="Calibri"/>
          <w:b/>
          <w:bCs/>
          <w:color w:val="1A1A1A"/>
        </w:rPr>
        <w:t>interdiction de la conservation généralisée et indifférenciée</w:t>
      </w:r>
      <w:r>
        <w:rPr>
          <w:rFonts w:ascii="Calibri" w:eastAsia="Calibri" w:hAnsi="Calibri" w:cs="Calibri"/>
          <w:color w:val="1A1A1A"/>
        </w:rPr>
        <w:t xml:space="preserve"> des données de connexion, sauf menace grave pour la sécurité nationale.</w:t>
      </w:r>
    </w:p>
    <w:p w14:paraId="768982B2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color w:val="1A1A1A"/>
        </w:rPr>
        <w:t xml:space="preserve">★ </w:t>
      </w:r>
      <w:r>
        <w:rPr>
          <w:rFonts w:ascii="Calibri" w:eastAsia="Calibri" w:hAnsi="Calibri" w:cs="Calibri"/>
          <w:color w:val="E91E63"/>
        </w:rPr>
        <w:t>CEDH [GC], 4 décembre 2008, S. et Marper c. Royaume-Uni, n° 30562/04</w:t>
      </w:r>
      <w:r>
        <w:rPr>
          <w:rFonts w:ascii="Calibri" w:eastAsia="Calibri" w:hAnsi="Calibri" w:cs="Calibri"/>
          <w:color w:val="1A1A1A"/>
        </w:rPr>
        <w:t xml:space="preserve"> : conservation illimitée d’empreintes et de profils ADN de personnes non condamnées — violation de l’</w:t>
      </w:r>
      <w:r>
        <w:rPr>
          <w:rFonts w:ascii="Calibri" w:eastAsia="Calibri" w:hAnsi="Calibri" w:cs="Calibri"/>
          <w:color w:val="1E88E5"/>
        </w:rPr>
        <w:t>art. 8</w:t>
      </w:r>
      <w:r>
        <w:rPr>
          <w:rFonts w:ascii="Calibri" w:eastAsia="Calibri" w:hAnsi="Calibri" w:cs="Calibri"/>
          <w:color w:val="1A1A1A"/>
        </w:rPr>
        <w:t>.</w:t>
      </w:r>
    </w:p>
    <w:p w14:paraId="1467DC74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color w:val="1A1A1A"/>
        </w:rPr>
        <w:t xml:space="preserve">★ </w:t>
      </w:r>
      <w:r>
        <w:rPr>
          <w:rFonts w:ascii="Calibri" w:eastAsia="Calibri" w:hAnsi="Calibri" w:cs="Calibri"/>
          <w:color w:val="E91E63"/>
        </w:rPr>
        <w:t>CE, ass., 21 avril 2021, French Data Network, n° 393099</w:t>
      </w:r>
      <w:r>
        <w:rPr>
          <w:rFonts w:ascii="Calibri" w:eastAsia="Calibri" w:hAnsi="Calibri" w:cs="Calibri"/>
          <w:color w:val="1A1A1A"/>
        </w:rPr>
        <w:t xml:space="preserve"> : refus du contrôle </w:t>
      </w:r>
      <w:r>
        <w:rPr>
          <w:rFonts w:ascii="Calibri" w:eastAsia="Calibri" w:hAnsi="Calibri" w:cs="Calibri"/>
          <w:i/>
          <w:iCs/>
          <w:color w:val="1A1A1A"/>
        </w:rPr>
        <w:t>ultra vires</w:t>
      </w:r>
      <w:r>
        <w:rPr>
          <w:rFonts w:ascii="Calibri" w:eastAsia="Calibri" w:hAnsi="Calibri" w:cs="Calibri"/>
          <w:color w:val="1A1A1A"/>
        </w:rPr>
        <w:t>, mais réserve des exigences constitutionnelles sans équivalent européen ; maintien d’une conservation généralisée justifiée par la menace sur la sécurité nationale.</w:t>
      </w:r>
    </w:p>
    <w:p w14:paraId="6F81164B" w14:textId="77777777" w:rsidR="00C05C80" w:rsidRDefault="00000000">
      <w:pPr>
        <w:pStyle w:val="Titre3"/>
        <w:spacing w:before="200" w:after="90"/>
      </w:pPr>
      <w:r>
        <w:rPr>
          <w:rFonts w:ascii="Calibri" w:eastAsia="Calibri" w:hAnsi="Calibri" w:cs="Calibri"/>
          <w:b/>
          <w:bCs/>
          <w:i/>
          <w:iCs/>
          <w:color w:val="5A5A5A"/>
          <w:sz w:val="21"/>
          <w:szCs w:val="21"/>
        </w:rPr>
        <w:t>Deux matrices de plan</w:t>
      </w:r>
    </w:p>
    <w:p w14:paraId="46413860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Sujet « Systèmes biométriques et protection des droits humains »</w:t>
      </w:r>
      <w:r>
        <w:rPr>
          <w:rFonts w:ascii="Calibri" w:eastAsia="Calibri" w:hAnsi="Calibri" w:cs="Calibri"/>
          <w:color w:val="1A1A1A"/>
        </w:rPr>
        <w:t xml:space="preserve"> (sujet « Pour s’entraîner ») — </w:t>
      </w:r>
      <w:r>
        <w:rPr>
          <w:rFonts w:ascii="Calibri" w:eastAsia="Calibri" w:hAnsi="Calibri" w:cs="Calibri"/>
          <w:b/>
          <w:bCs/>
          <w:color w:val="1A1A1A"/>
        </w:rPr>
        <w:t>I. Un encadrement juridique fort en Europe</w:t>
      </w:r>
      <w:r>
        <w:rPr>
          <w:rFonts w:ascii="Calibri" w:eastAsia="Calibri" w:hAnsi="Calibri" w:cs="Calibri"/>
          <w:color w:val="1A1A1A"/>
        </w:rPr>
        <w:t xml:space="preserve"> (A. Des données « sensibles » : </w:t>
      </w:r>
      <w:r>
        <w:rPr>
          <w:rFonts w:ascii="Calibri" w:eastAsia="Calibri" w:hAnsi="Calibri" w:cs="Calibri"/>
          <w:color w:val="1E88E5"/>
        </w:rPr>
        <w:t>art. 9 RGPD</w:t>
      </w:r>
      <w:r>
        <w:rPr>
          <w:rFonts w:ascii="Calibri" w:eastAsia="Calibri" w:hAnsi="Calibri" w:cs="Calibri"/>
          <w:color w:val="1A1A1A"/>
        </w:rPr>
        <w:t xml:space="preserve">, directive police-justice, loi de 1978 ; B. Un régime d’interdictions assorti de dérogations : </w:t>
      </w:r>
      <w:r>
        <w:rPr>
          <w:rFonts w:ascii="Calibri" w:eastAsia="Calibri" w:hAnsi="Calibri" w:cs="Calibri"/>
          <w:color w:val="1E88E5"/>
        </w:rPr>
        <w:t>art. 5 du règlement (UE) 2024/1689</w:t>
      </w:r>
      <w:r>
        <w:rPr>
          <w:rFonts w:ascii="Calibri" w:eastAsia="Calibri" w:hAnsi="Calibri" w:cs="Calibri"/>
          <w:color w:val="1A1A1A"/>
        </w:rPr>
        <w:t xml:space="preserve">, applicable depuis le 2 février 2025) / </w:t>
      </w:r>
      <w:r>
        <w:rPr>
          <w:rFonts w:ascii="Calibri" w:eastAsia="Calibri" w:hAnsi="Calibri" w:cs="Calibri"/>
          <w:b/>
          <w:bCs/>
          <w:color w:val="1A1A1A"/>
        </w:rPr>
        <w:t>II. La persistance d’un risque systémique</w:t>
      </w:r>
      <w:r>
        <w:rPr>
          <w:rFonts w:ascii="Calibri" w:eastAsia="Calibri" w:hAnsi="Calibri" w:cs="Calibri"/>
          <w:color w:val="1A1A1A"/>
        </w:rPr>
        <w:t xml:space="preserve"> (A. Une régulation centrée sur la donnée plus que sur l’usage : </w:t>
      </w:r>
      <w:r>
        <w:rPr>
          <w:rFonts w:ascii="Calibri" w:eastAsia="Calibri" w:hAnsi="Calibri" w:cs="Calibri"/>
          <w:color w:val="E91E63"/>
        </w:rPr>
        <w:t>TA Marseille, 27 février 2020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TA Caen, ord., 22 novembre 2023, BriefCam</w:t>
      </w:r>
      <w:r>
        <w:rPr>
          <w:rFonts w:ascii="Calibri" w:eastAsia="Calibri" w:hAnsi="Calibri" w:cs="Calibri"/>
          <w:color w:val="1A1A1A"/>
        </w:rPr>
        <w:t xml:space="preserve"> ; B. La tentation de la surveillance algorithmique : </w:t>
      </w:r>
      <w:r>
        <w:rPr>
          <w:rFonts w:ascii="Calibri" w:eastAsia="Calibri" w:hAnsi="Calibri" w:cs="Calibri"/>
          <w:color w:val="E91E63"/>
        </w:rPr>
        <w:t>2023-850 DC</w:t>
      </w:r>
      <w:r>
        <w:rPr>
          <w:rFonts w:ascii="Calibri" w:eastAsia="Calibri" w:hAnsi="Calibri" w:cs="Calibri"/>
          <w:color w:val="1A1A1A"/>
        </w:rPr>
        <w:t xml:space="preserve">, </w:t>
      </w:r>
      <w:r>
        <w:rPr>
          <w:rFonts w:ascii="Calibri" w:eastAsia="Calibri" w:hAnsi="Calibri" w:cs="Calibri"/>
          <w:color w:val="1E88E5"/>
        </w:rPr>
        <w:t>loi n° 2026-798 du 18 août 2026</w:t>
      </w:r>
      <w:r>
        <w:rPr>
          <w:rFonts w:ascii="Calibri" w:eastAsia="Calibri" w:hAnsi="Calibri" w:cs="Calibri"/>
          <w:color w:val="1A1A1A"/>
        </w:rPr>
        <w:t>).</w:t>
      </w:r>
    </w:p>
    <w:p w14:paraId="4F1CA1C0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Sujet « Données personnelles et sécurité »</w:t>
      </w:r>
      <w:r>
        <w:rPr>
          <w:rFonts w:ascii="Calibri" w:eastAsia="Calibri" w:hAnsi="Calibri" w:cs="Calibri"/>
          <w:color w:val="1A1A1A"/>
        </w:rPr>
        <w:t xml:space="preserve"> — </w:t>
      </w:r>
      <w:r>
        <w:rPr>
          <w:rFonts w:ascii="Calibri" w:eastAsia="Calibri" w:hAnsi="Calibri" w:cs="Calibri"/>
          <w:b/>
          <w:bCs/>
          <w:color w:val="1A1A1A"/>
        </w:rPr>
        <w:t>I. L’exigence européenne de proportionnalité</w:t>
      </w:r>
      <w:r>
        <w:rPr>
          <w:rFonts w:ascii="Calibri" w:eastAsia="Calibri" w:hAnsi="Calibri" w:cs="Calibri"/>
          <w:color w:val="1A1A1A"/>
        </w:rPr>
        <w:t xml:space="preserve"> (A. La conservation des données : </w:t>
      </w:r>
      <w:r>
        <w:rPr>
          <w:rFonts w:ascii="Calibri" w:eastAsia="Calibri" w:hAnsi="Calibri" w:cs="Calibri"/>
          <w:color w:val="E91E63"/>
        </w:rPr>
        <w:t>Digital Rights</w:t>
      </w:r>
      <w:r>
        <w:rPr>
          <w:rFonts w:ascii="Calibri" w:eastAsia="Calibri" w:hAnsi="Calibri" w:cs="Calibri"/>
          <w:color w:val="1A1A1A"/>
        </w:rPr>
        <w:t xml:space="preserve">, </w:t>
      </w:r>
      <w:r>
        <w:rPr>
          <w:rFonts w:ascii="Calibri" w:eastAsia="Calibri" w:hAnsi="Calibri" w:cs="Calibri"/>
          <w:color w:val="E91E63"/>
        </w:rPr>
        <w:t>Tele2</w:t>
      </w:r>
      <w:r>
        <w:rPr>
          <w:rFonts w:ascii="Calibri" w:eastAsia="Calibri" w:hAnsi="Calibri" w:cs="Calibri"/>
          <w:color w:val="1A1A1A"/>
        </w:rPr>
        <w:t xml:space="preserve">, </w:t>
      </w:r>
      <w:r>
        <w:rPr>
          <w:rFonts w:ascii="Calibri" w:eastAsia="Calibri" w:hAnsi="Calibri" w:cs="Calibri"/>
          <w:color w:val="E91E63"/>
        </w:rPr>
        <w:t>La Quadrature du Net</w:t>
      </w:r>
      <w:r>
        <w:rPr>
          <w:rFonts w:ascii="Calibri" w:eastAsia="Calibri" w:hAnsi="Calibri" w:cs="Calibri"/>
          <w:color w:val="1A1A1A"/>
        </w:rPr>
        <w:t xml:space="preserve"> ; B. Les fichiers de police : </w:t>
      </w:r>
      <w:r>
        <w:rPr>
          <w:rFonts w:ascii="Calibri" w:eastAsia="Calibri" w:hAnsi="Calibri" w:cs="Calibri"/>
          <w:color w:val="E91E63"/>
        </w:rPr>
        <w:t>S. et Marper</w:t>
      </w:r>
      <w:r>
        <w:rPr>
          <w:rFonts w:ascii="Calibri" w:eastAsia="Calibri" w:hAnsi="Calibri" w:cs="Calibri"/>
          <w:color w:val="1A1A1A"/>
        </w:rPr>
        <w:t xml:space="preserve">, </w:t>
      </w:r>
      <w:r>
        <w:rPr>
          <w:rFonts w:ascii="Calibri" w:eastAsia="Calibri" w:hAnsi="Calibri" w:cs="Calibri"/>
          <w:color w:val="E91E63"/>
        </w:rPr>
        <w:t>Brunet c. France</w:t>
      </w:r>
      <w:r>
        <w:rPr>
          <w:rFonts w:ascii="Calibri" w:eastAsia="Calibri" w:hAnsi="Calibri" w:cs="Calibri"/>
          <w:color w:val="1A1A1A"/>
        </w:rPr>
        <w:t xml:space="preserve">) / </w:t>
      </w:r>
      <w:r>
        <w:rPr>
          <w:rFonts w:ascii="Calibri" w:eastAsia="Calibri" w:hAnsi="Calibri" w:cs="Calibri"/>
          <w:b/>
          <w:bCs/>
          <w:color w:val="1A1A1A"/>
        </w:rPr>
        <w:t>II. La résistance des États</w:t>
      </w:r>
      <w:r>
        <w:rPr>
          <w:rFonts w:ascii="Calibri" w:eastAsia="Calibri" w:hAnsi="Calibri" w:cs="Calibri"/>
          <w:color w:val="1A1A1A"/>
        </w:rPr>
        <w:t xml:space="preserve"> (A. Le contrôle des réserves de constitutionnalité : </w:t>
      </w:r>
      <w:r>
        <w:rPr>
          <w:rFonts w:ascii="Calibri" w:eastAsia="Calibri" w:hAnsi="Calibri" w:cs="Calibri"/>
          <w:color w:val="E91E63"/>
        </w:rPr>
        <w:t>French Data Network</w:t>
      </w:r>
      <w:r>
        <w:rPr>
          <w:rFonts w:ascii="Calibri" w:eastAsia="Calibri" w:hAnsi="Calibri" w:cs="Calibri"/>
          <w:color w:val="1A1A1A"/>
        </w:rPr>
        <w:t xml:space="preserve"> ; B. L’assouplissement : </w:t>
      </w:r>
      <w:r>
        <w:rPr>
          <w:rFonts w:ascii="Calibri" w:eastAsia="Calibri" w:hAnsi="Calibri" w:cs="Calibri"/>
          <w:color w:val="E91E63"/>
        </w:rPr>
        <w:t>CJUE, GC, 30 avril 2024, La Quadrature du Net II, C-470/21</w:t>
      </w:r>
      <w:r>
        <w:rPr>
          <w:rFonts w:ascii="Calibri" w:eastAsia="Calibri" w:hAnsi="Calibri" w:cs="Calibri"/>
          <w:color w:val="1A1A1A"/>
        </w:rPr>
        <w:t>, accès aux adresses IP par l’Hadopi).</w:t>
      </w:r>
    </w:p>
    <w:p w14:paraId="2BEDAD82" w14:textId="77777777" w:rsidR="009806EA" w:rsidRDefault="009806EA">
      <w:pPr>
        <w:pStyle w:val="Titre3"/>
        <w:spacing w:before="200" w:after="90"/>
        <w:rPr>
          <w:rFonts w:ascii="Calibri" w:eastAsia="Calibri" w:hAnsi="Calibri" w:cs="Calibri"/>
          <w:b/>
          <w:bCs/>
          <w:i/>
          <w:iCs/>
          <w:color w:val="5A5A5A"/>
          <w:sz w:val="21"/>
          <w:szCs w:val="21"/>
        </w:rPr>
      </w:pPr>
    </w:p>
    <w:p w14:paraId="18762BA7" w14:textId="6295E7E2" w:rsidR="00C05C80" w:rsidRDefault="00000000">
      <w:pPr>
        <w:pStyle w:val="Titre3"/>
        <w:spacing w:before="200" w:after="90"/>
      </w:pPr>
      <w:r>
        <w:rPr>
          <w:rFonts w:ascii="Calibri" w:eastAsia="Calibri" w:hAnsi="Calibri" w:cs="Calibri"/>
          <w:b/>
          <w:bCs/>
          <w:i/>
          <w:iCs/>
          <w:color w:val="5A5A5A"/>
          <w:sz w:val="21"/>
          <w:szCs w:val="21"/>
        </w:rPr>
        <w:lastRenderedPageBreak/>
        <w:t>Trois pièges</w:t>
      </w:r>
    </w:p>
    <w:p w14:paraId="08756489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Le consentement n’est qu’une base légale parmi six</w:t>
      </w:r>
      <w:r>
        <w:rPr>
          <w:rFonts w:ascii="Calibri" w:eastAsia="Calibri" w:hAnsi="Calibri" w:cs="Calibri"/>
          <w:color w:val="1A1A1A"/>
        </w:rPr>
        <w:t xml:space="preserve"> (</w:t>
      </w:r>
      <w:r>
        <w:rPr>
          <w:rFonts w:ascii="Calibri" w:eastAsia="Calibri" w:hAnsi="Calibri" w:cs="Calibri"/>
          <w:color w:val="1E88E5"/>
        </w:rPr>
        <w:t>art. 6 RGPD</w:t>
      </w:r>
      <w:r>
        <w:rPr>
          <w:rFonts w:ascii="Calibri" w:eastAsia="Calibri" w:hAnsi="Calibri" w:cs="Calibri"/>
          <w:color w:val="1A1A1A"/>
        </w:rPr>
        <w:t>) : contrat, obligation légale, intérêts vitaux, mission d’intérêt public, intérêt légitime. Un traitement sans consentement peut être parfaitement licite.</w:t>
      </w:r>
    </w:p>
    <w:p w14:paraId="1A9E9E75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Toutes les données personnelles ne sont pas « sensibles »</w:t>
      </w:r>
      <w:r>
        <w:rPr>
          <w:rFonts w:ascii="Calibri" w:eastAsia="Calibri" w:hAnsi="Calibri" w:cs="Calibri"/>
          <w:color w:val="1A1A1A"/>
        </w:rPr>
        <w:t xml:space="preserve"> : seules les catégories de l’</w:t>
      </w:r>
      <w:r>
        <w:rPr>
          <w:rFonts w:ascii="Calibri" w:eastAsia="Calibri" w:hAnsi="Calibri" w:cs="Calibri"/>
          <w:color w:val="1E88E5"/>
        </w:rPr>
        <w:t>art. 9 RGPD</w:t>
      </w:r>
      <w:r>
        <w:rPr>
          <w:rFonts w:ascii="Calibri" w:eastAsia="Calibri" w:hAnsi="Calibri" w:cs="Calibri"/>
          <w:color w:val="1A1A1A"/>
        </w:rPr>
        <w:t xml:space="preserve"> (origine, opinions, religion, syndicat, génétique, biométrie d’identification, santé, sexualité) sont en principe interdites — le fascicule écrit à tort que « les données personnelles sont des données particulièrement sensibles ».</w:t>
      </w:r>
    </w:p>
    <w:p w14:paraId="5231BB4E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Le règlement sur l’IA ne remplace pas le RGPD</w:t>
      </w:r>
      <w:r>
        <w:rPr>
          <w:rFonts w:ascii="Calibri" w:eastAsia="Calibri" w:hAnsi="Calibri" w:cs="Calibri"/>
          <w:color w:val="1A1A1A"/>
        </w:rPr>
        <w:t xml:space="preserve"> : il s’y ajoute. Un système d’IA qui traite des données personnelles reste soumis au RGPD, à la directive police-justice et à la loi de 1978 (droit à l’explication : </w:t>
      </w:r>
      <w:r>
        <w:rPr>
          <w:rFonts w:ascii="Calibri" w:eastAsia="Calibri" w:hAnsi="Calibri" w:cs="Calibri"/>
          <w:color w:val="E91E63"/>
        </w:rPr>
        <w:t>SCHUFA</w:t>
      </w:r>
      <w:r>
        <w:rPr>
          <w:rFonts w:ascii="Calibri" w:eastAsia="Calibri" w:hAnsi="Calibri" w:cs="Calibri"/>
          <w:color w:val="1A1A1A"/>
        </w:rPr>
        <w:t xml:space="preserve">, 2023 ; </w:t>
      </w:r>
      <w:r>
        <w:rPr>
          <w:rFonts w:ascii="Calibri" w:eastAsia="Calibri" w:hAnsi="Calibri" w:cs="Calibri"/>
          <w:color w:val="E91E63"/>
        </w:rPr>
        <w:t>Dun &amp; Bradstreet</w:t>
      </w:r>
      <w:r>
        <w:rPr>
          <w:rFonts w:ascii="Calibri" w:eastAsia="Calibri" w:hAnsi="Calibri" w:cs="Calibri"/>
          <w:color w:val="1A1A1A"/>
        </w:rPr>
        <w:t>, 2025).</w:t>
      </w:r>
    </w:p>
    <w:p w14:paraId="58EB8024" w14:textId="77777777" w:rsidR="00C05C80" w:rsidRDefault="00000000">
      <w:r>
        <w:br w:type="page"/>
      </w:r>
    </w:p>
    <w:p w14:paraId="5D9FD8FE" w14:textId="77777777" w:rsidR="00C05C80" w:rsidRDefault="00000000">
      <w:pPr>
        <w:pStyle w:val="Titre2"/>
        <w:spacing w:before="280" w:after="12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lastRenderedPageBreak/>
        <w:t>1. Architecture textuelle</w:t>
      </w:r>
    </w:p>
    <w:p w14:paraId="58546209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Conseil de l’Europe</w:t>
      </w:r>
      <w:r>
        <w:rPr>
          <w:rFonts w:ascii="Calibri" w:eastAsia="Calibri" w:hAnsi="Calibri" w:cs="Calibri"/>
          <w:color w:val="1A1A1A"/>
        </w:rPr>
        <w:t xml:space="preserve"> : </w:t>
      </w:r>
      <w:r>
        <w:rPr>
          <w:rFonts w:ascii="Calibri" w:eastAsia="Calibri" w:hAnsi="Calibri" w:cs="Calibri"/>
          <w:color w:val="1E88E5"/>
        </w:rPr>
        <w:t>Convention n° 108 du 28 janvier 1981</w:t>
      </w:r>
      <w:r>
        <w:rPr>
          <w:rFonts w:ascii="Calibri" w:eastAsia="Calibri" w:hAnsi="Calibri" w:cs="Calibri"/>
          <w:color w:val="1A1A1A"/>
        </w:rPr>
        <w:t xml:space="preserve"> pour la protection des personnes à l’égard du traitement automatisé des données, modernisée par le </w:t>
      </w:r>
      <w:r>
        <w:rPr>
          <w:rFonts w:ascii="Calibri" w:eastAsia="Calibri" w:hAnsi="Calibri" w:cs="Calibri"/>
          <w:color w:val="1E88E5"/>
        </w:rPr>
        <w:t>Protocole STCE n° 223</w:t>
      </w:r>
      <w:r>
        <w:rPr>
          <w:rFonts w:ascii="Calibri" w:eastAsia="Calibri" w:hAnsi="Calibri" w:cs="Calibri"/>
          <w:color w:val="1A1A1A"/>
        </w:rPr>
        <w:t xml:space="preserve"> (« Convention 108+ ») — premier instrument international contraignant ; </w:t>
      </w:r>
      <w:r>
        <w:rPr>
          <w:rFonts w:ascii="Calibri" w:eastAsia="Calibri" w:hAnsi="Calibri" w:cs="Calibri"/>
          <w:color w:val="1E88E5"/>
        </w:rPr>
        <w:t>art. 8 CEDH</w:t>
      </w:r>
      <w:r>
        <w:rPr>
          <w:rFonts w:ascii="Calibri" w:eastAsia="Calibri" w:hAnsi="Calibri" w:cs="Calibri"/>
          <w:color w:val="1A1A1A"/>
        </w:rPr>
        <w:t>.</w:t>
      </w:r>
    </w:p>
    <w:p w14:paraId="3841E456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Union européenne</w:t>
      </w:r>
      <w:r>
        <w:rPr>
          <w:rFonts w:ascii="Calibri" w:eastAsia="Calibri" w:hAnsi="Calibri" w:cs="Calibri"/>
          <w:color w:val="1A1A1A"/>
        </w:rPr>
        <w:t xml:space="preserve"> : </w:t>
      </w:r>
      <w:r>
        <w:rPr>
          <w:rFonts w:ascii="Calibri" w:eastAsia="Calibri" w:hAnsi="Calibri" w:cs="Calibri"/>
          <w:color w:val="1E88E5"/>
        </w:rPr>
        <w:t>art. 8 CDFUE</w:t>
      </w:r>
      <w:r>
        <w:rPr>
          <w:rFonts w:ascii="Calibri" w:eastAsia="Calibri" w:hAnsi="Calibri" w:cs="Calibri"/>
          <w:color w:val="1A1A1A"/>
        </w:rPr>
        <w:t xml:space="preserve"> (droit autonome, contrôle par une autorité indépendante) ; </w:t>
      </w:r>
      <w:r>
        <w:rPr>
          <w:rFonts w:ascii="Calibri" w:eastAsia="Calibri" w:hAnsi="Calibri" w:cs="Calibri"/>
          <w:color w:val="1E88E5"/>
        </w:rPr>
        <w:t>art. 16 TFUE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1E88E5"/>
        </w:rPr>
        <w:t>RGPD</w:t>
      </w:r>
      <w:r>
        <w:rPr>
          <w:rFonts w:ascii="Calibri" w:eastAsia="Calibri" w:hAnsi="Calibri" w:cs="Calibri"/>
          <w:color w:val="1A1A1A"/>
        </w:rPr>
        <w:t xml:space="preserve"> (d’application directe, extraterritorial : il vise aussi les acteurs non établis dans l’Union qui y offrent des biens ou services) ; </w:t>
      </w:r>
      <w:r>
        <w:rPr>
          <w:rFonts w:ascii="Calibri" w:eastAsia="Calibri" w:hAnsi="Calibri" w:cs="Calibri"/>
          <w:color w:val="1E88E5"/>
        </w:rPr>
        <w:t>directive 2016/680</w:t>
      </w:r>
      <w:r>
        <w:rPr>
          <w:rFonts w:ascii="Calibri" w:eastAsia="Calibri" w:hAnsi="Calibri" w:cs="Calibri"/>
          <w:color w:val="1A1A1A"/>
        </w:rPr>
        <w:t xml:space="preserve"> (police-justice) ; </w:t>
      </w:r>
      <w:r>
        <w:rPr>
          <w:rFonts w:ascii="Calibri" w:eastAsia="Calibri" w:hAnsi="Calibri" w:cs="Calibri"/>
          <w:color w:val="1E88E5"/>
        </w:rPr>
        <w:t>directive 2002/58/CE</w:t>
      </w:r>
      <w:r>
        <w:rPr>
          <w:rFonts w:ascii="Calibri" w:eastAsia="Calibri" w:hAnsi="Calibri" w:cs="Calibri"/>
          <w:color w:val="1A1A1A"/>
        </w:rPr>
        <w:t xml:space="preserve"> « ePrivacy » (le projet de règlement destiné à la remplacer a été </w:t>
      </w:r>
      <w:r>
        <w:rPr>
          <w:rFonts w:ascii="Calibri" w:eastAsia="Calibri" w:hAnsi="Calibri" w:cs="Calibri"/>
          <w:b/>
          <w:bCs/>
          <w:color w:val="1A1A1A"/>
        </w:rPr>
        <w:t>retiré par la Commission en 2025</w:t>
      </w:r>
      <w:r>
        <w:rPr>
          <w:rFonts w:ascii="Calibri" w:eastAsia="Calibri" w:hAnsi="Calibri" w:cs="Calibri"/>
          <w:color w:val="1A1A1A"/>
        </w:rPr>
        <w:t xml:space="preserve">) ; </w:t>
      </w:r>
      <w:r>
        <w:rPr>
          <w:rFonts w:ascii="Calibri" w:eastAsia="Calibri" w:hAnsi="Calibri" w:cs="Calibri"/>
          <w:color w:val="1E88E5"/>
        </w:rPr>
        <w:t>règlement (UE) 2024/1689</w:t>
      </w:r>
      <w:r>
        <w:rPr>
          <w:rFonts w:ascii="Calibri" w:eastAsia="Calibri" w:hAnsi="Calibri" w:cs="Calibri"/>
          <w:color w:val="1A1A1A"/>
        </w:rPr>
        <w:t xml:space="preserve"> sur l’intelligence artificielle.</w:t>
      </w:r>
    </w:p>
    <w:p w14:paraId="52E194C0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France</w:t>
      </w:r>
      <w:r>
        <w:rPr>
          <w:rFonts w:ascii="Calibri" w:eastAsia="Calibri" w:hAnsi="Calibri" w:cs="Calibri"/>
          <w:color w:val="1A1A1A"/>
        </w:rPr>
        <w:t xml:space="preserve"> : </w:t>
      </w:r>
      <w:r>
        <w:rPr>
          <w:rFonts w:ascii="Calibri" w:eastAsia="Calibri" w:hAnsi="Calibri" w:cs="Calibri"/>
          <w:color w:val="1E88E5"/>
        </w:rPr>
        <w:t>loi n° 78-17 du 6 janvier 1978</w:t>
      </w:r>
      <w:r>
        <w:rPr>
          <w:rFonts w:ascii="Calibri" w:eastAsia="Calibri" w:hAnsi="Calibri" w:cs="Calibri"/>
          <w:color w:val="1A1A1A"/>
        </w:rPr>
        <w:t xml:space="preserve">, réécrite par la </w:t>
      </w:r>
      <w:r>
        <w:rPr>
          <w:rFonts w:ascii="Calibri" w:eastAsia="Calibri" w:hAnsi="Calibri" w:cs="Calibri"/>
          <w:color w:val="1E88E5"/>
        </w:rPr>
        <w:t>loi n° 2018-493 du 20 juin 2018</w:t>
      </w:r>
      <w:r>
        <w:rPr>
          <w:rFonts w:ascii="Calibri" w:eastAsia="Calibri" w:hAnsi="Calibri" w:cs="Calibri"/>
          <w:color w:val="1A1A1A"/>
        </w:rPr>
        <w:t xml:space="preserve"> et l’</w:t>
      </w:r>
      <w:r>
        <w:rPr>
          <w:rFonts w:ascii="Calibri" w:eastAsia="Calibri" w:hAnsi="Calibri" w:cs="Calibri"/>
          <w:color w:val="1E88E5"/>
        </w:rPr>
        <w:t>ordonnance n° 2018-1125 du 12 décembre 2018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1E88E5"/>
        </w:rPr>
        <w:t>art. 1er</w:t>
      </w:r>
      <w:r>
        <w:rPr>
          <w:rFonts w:ascii="Calibri" w:eastAsia="Calibri" w:hAnsi="Calibri" w:cs="Calibri"/>
          <w:color w:val="1A1A1A"/>
        </w:rPr>
        <w:t xml:space="preserve"> : l’informatique « ne doit porter atteinte ni à l’identité humaine, ni aux droits de l’homme, ni à la vie privée, ni aux libertés individuelles ou publiques ».</w:t>
      </w:r>
    </w:p>
    <w:p w14:paraId="33147DF7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Fondement constitutionnel</w:t>
      </w:r>
      <w:r>
        <w:rPr>
          <w:rFonts w:ascii="Calibri" w:eastAsia="Calibri" w:hAnsi="Calibri" w:cs="Calibri"/>
          <w:color w:val="1A1A1A"/>
        </w:rPr>
        <w:t xml:space="preserve"> : vie privée (</w:t>
      </w:r>
      <w:r>
        <w:rPr>
          <w:rFonts w:ascii="Calibri" w:eastAsia="Calibri" w:hAnsi="Calibri" w:cs="Calibri"/>
          <w:color w:val="1E88E5"/>
        </w:rPr>
        <w:t>art. 2 DDHC</w:t>
      </w:r>
      <w:r>
        <w:rPr>
          <w:rFonts w:ascii="Calibri" w:eastAsia="Calibri" w:hAnsi="Calibri" w:cs="Calibri"/>
          <w:color w:val="1A1A1A"/>
        </w:rPr>
        <w:t>) — « la collecte, l’enregistrement, la conservation, la consultation et la communication de données à caractère personnel doivent être justifiés par un motif d’intérêt général et mis en œuvre de manière adéquate et proportionnée à cet objectif ».</w:t>
      </w:r>
    </w:p>
    <w:p w14:paraId="34313C01" w14:textId="77777777" w:rsidR="00C05C80" w:rsidRDefault="00000000">
      <w:pPr>
        <w:pStyle w:val="Titre2"/>
        <w:spacing w:before="280" w:after="12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2. Notions et principes</w:t>
      </w:r>
    </w:p>
    <w:p w14:paraId="5FD7D2F2" w14:textId="77777777" w:rsidR="00C05C80" w:rsidRDefault="00000000">
      <w:pPr>
        <w:pStyle w:val="Titre3"/>
        <w:spacing w:before="200" w:after="90"/>
      </w:pPr>
      <w:r>
        <w:rPr>
          <w:rFonts w:ascii="Calibri" w:eastAsia="Calibri" w:hAnsi="Calibri" w:cs="Calibri"/>
          <w:b/>
          <w:bCs/>
          <w:i/>
          <w:iCs/>
          <w:color w:val="5A5A5A"/>
          <w:sz w:val="21"/>
          <w:szCs w:val="21"/>
        </w:rPr>
        <w:t>2.1. Les notions</w:t>
      </w:r>
    </w:p>
    <w:p w14:paraId="32E6DBB2" w14:textId="77777777" w:rsidR="008C3AEB" w:rsidRPr="008C3AEB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Donnée personnelle</w:t>
      </w:r>
      <w:r>
        <w:rPr>
          <w:rFonts w:ascii="Calibri" w:eastAsia="Calibri" w:hAnsi="Calibri" w:cs="Calibri"/>
          <w:color w:val="1A1A1A"/>
        </w:rPr>
        <w:t xml:space="preserve"> (</w:t>
      </w:r>
      <w:r>
        <w:rPr>
          <w:rFonts w:ascii="Calibri" w:eastAsia="Calibri" w:hAnsi="Calibri" w:cs="Calibri"/>
          <w:color w:val="1E88E5"/>
        </w:rPr>
        <w:t>art. 4.1 RGPD</w:t>
      </w:r>
      <w:r>
        <w:rPr>
          <w:rFonts w:ascii="Calibri" w:eastAsia="Calibri" w:hAnsi="Calibri" w:cs="Calibri"/>
          <w:color w:val="1A1A1A"/>
        </w:rPr>
        <w:t>) : nom, image, voix, immatriculation, adresse IP (</w:t>
      </w:r>
      <w:r>
        <w:rPr>
          <w:rFonts w:ascii="Calibri" w:eastAsia="Calibri" w:hAnsi="Calibri" w:cs="Calibri"/>
          <w:color w:val="E91E63"/>
        </w:rPr>
        <w:t>Cass. 1re civ., 3 novembre 2016, n° 15-22.595</w:t>
      </w:r>
      <w:r>
        <w:rPr>
          <w:rFonts w:ascii="Calibri" w:eastAsia="Calibri" w:hAnsi="Calibri" w:cs="Calibri"/>
          <w:color w:val="1A1A1A"/>
        </w:rPr>
        <w:t xml:space="preserve">). </w:t>
      </w:r>
    </w:p>
    <w:p w14:paraId="75C46CEC" w14:textId="5D86FE93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Données sensibles</w:t>
      </w:r>
      <w:r>
        <w:rPr>
          <w:rFonts w:ascii="Calibri" w:eastAsia="Calibri" w:hAnsi="Calibri" w:cs="Calibri"/>
          <w:color w:val="1A1A1A"/>
        </w:rPr>
        <w:t xml:space="preserve"> (</w:t>
      </w:r>
      <w:r>
        <w:rPr>
          <w:rFonts w:ascii="Calibri" w:eastAsia="Calibri" w:hAnsi="Calibri" w:cs="Calibri"/>
          <w:color w:val="1E88E5"/>
        </w:rPr>
        <w:t>art. 9.1</w:t>
      </w:r>
      <w:r>
        <w:rPr>
          <w:rFonts w:ascii="Calibri" w:eastAsia="Calibri" w:hAnsi="Calibri" w:cs="Calibri"/>
          <w:color w:val="1A1A1A"/>
        </w:rPr>
        <w:t>) : interdiction de principe, dérogations nombreuses (</w:t>
      </w:r>
      <w:r>
        <w:rPr>
          <w:rFonts w:ascii="Calibri" w:eastAsia="Calibri" w:hAnsi="Calibri" w:cs="Calibri"/>
          <w:color w:val="1E88E5"/>
        </w:rPr>
        <w:t>art. 9.2</w:t>
      </w:r>
      <w:r>
        <w:rPr>
          <w:rFonts w:ascii="Calibri" w:eastAsia="Calibri" w:hAnsi="Calibri" w:cs="Calibri"/>
          <w:color w:val="1A1A1A"/>
        </w:rPr>
        <w:t xml:space="preserve"> : consentement explicite, droit du travail, intérêts vitaux, données manifestement rendues publiques, défense en justice, intérêt public important, santé, recherche). Une photographie n’est une donnée biométrique traitée par un « mode technique spécifique permettant l’identification ou l’authentification unique ».</w:t>
      </w:r>
    </w:p>
    <w:p w14:paraId="3FD9199E" w14:textId="77777777" w:rsidR="008C3AEB" w:rsidRPr="008C3AEB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Traitement</w:t>
      </w:r>
      <w:r>
        <w:rPr>
          <w:rFonts w:ascii="Calibri" w:eastAsia="Calibri" w:hAnsi="Calibri" w:cs="Calibri"/>
          <w:color w:val="1A1A1A"/>
        </w:rPr>
        <w:t xml:space="preserve"> (</w:t>
      </w:r>
      <w:r>
        <w:rPr>
          <w:rFonts w:ascii="Calibri" w:eastAsia="Calibri" w:hAnsi="Calibri" w:cs="Calibri"/>
          <w:color w:val="1E88E5"/>
        </w:rPr>
        <w:t>art. 4.2</w:t>
      </w:r>
      <w:r>
        <w:rPr>
          <w:rFonts w:ascii="Calibri" w:eastAsia="Calibri" w:hAnsi="Calibri" w:cs="Calibri"/>
          <w:color w:val="1A1A1A"/>
        </w:rPr>
        <w:t xml:space="preserve">) : toute opération, de la collecte à la destruction. </w:t>
      </w:r>
    </w:p>
    <w:p w14:paraId="0B937FDD" w14:textId="1EE12F1C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Responsable de traitement</w:t>
      </w:r>
      <w:r>
        <w:rPr>
          <w:rFonts w:ascii="Calibri" w:eastAsia="Calibri" w:hAnsi="Calibri" w:cs="Calibri"/>
          <w:color w:val="1A1A1A"/>
        </w:rPr>
        <w:t xml:space="preserve"> (</w:t>
      </w:r>
      <w:r>
        <w:rPr>
          <w:rFonts w:ascii="Calibri" w:eastAsia="Calibri" w:hAnsi="Calibri" w:cs="Calibri"/>
          <w:color w:val="1E88E5"/>
        </w:rPr>
        <w:t>art. 4.7</w:t>
      </w:r>
      <w:r>
        <w:rPr>
          <w:rFonts w:ascii="Calibri" w:eastAsia="Calibri" w:hAnsi="Calibri" w:cs="Calibri"/>
          <w:color w:val="1A1A1A"/>
        </w:rPr>
        <w:t>) : celui qui détermine finalités et moyens — notion large : moteur de recherche (</w:t>
      </w:r>
      <w:r>
        <w:rPr>
          <w:rFonts w:ascii="Calibri" w:eastAsia="Calibri" w:hAnsi="Calibri" w:cs="Calibri"/>
          <w:color w:val="E91E63"/>
        </w:rPr>
        <w:t>Google Spain</w:t>
      </w:r>
      <w:r>
        <w:rPr>
          <w:rFonts w:ascii="Calibri" w:eastAsia="Calibri" w:hAnsi="Calibri" w:cs="Calibri"/>
          <w:color w:val="1A1A1A"/>
        </w:rPr>
        <w:t>) ; administrateur d’une page fan Facebook, responsable conjoint (</w:t>
      </w:r>
      <w:r>
        <w:rPr>
          <w:rFonts w:ascii="Calibri" w:eastAsia="Calibri" w:hAnsi="Calibri" w:cs="Calibri"/>
          <w:color w:val="E91E63"/>
        </w:rPr>
        <w:t>CJUE [GC], 5 juin 2018, Wirtschaftsakademie, C-210/16</w:t>
      </w:r>
      <w:r>
        <w:rPr>
          <w:rFonts w:ascii="Calibri" w:eastAsia="Calibri" w:hAnsi="Calibri" w:cs="Calibri"/>
          <w:color w:val="1A1A1A"/>
        </w:rPr>
        <w:t>).</w:t>
      </w:r>
    </w:p>
    <w:p w14:paraId="349D0AF1" w14:textId="68B44294" w:rsidR="00C05C80" w:rsidRDefault="00000000">
      <w:pPr>
        <w:pStyle w:val="Titre3"/>
        <w:spacing w:before="200" w:after="90"/>
      </w:pPr>
      <w:r>
        <w:rPr>
          <w:rFonts w:ascii="Calibri" w:eastAsia="Calibri" w:hAnsi="Calibri" w:cs="Calibri"/>
          <w:b/>
          <w:bCs/>
          <w:i/>
          <w:iCs/>
          <w:color w:val="5A5A5A"/>
          <w:sz w:val="21"/>
          <w:szCs w:val="21"/>
        </w:rPr>
        <w:t>2.2. Les principes (art. 5 RGPD)</w:t>
      </w:r>
    </w:p>
    <w:p w14:paraId="07B9883C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color w:val="1A1A1A"/>
        </w:rPr>
        <w:t xml:space="preserve">Licéité, loyauté, transparence ; </w:t>
      </w:r>
      <w:r>
        <w:rPr>
          <w:rFonts w:ascii="Calibri" w:eastAsia="Calibri" w:hAnsi="Calibri" w:cs="Calibri"/>
          <w:b/>
          <w:bCs/>
          <w:color w:val="1A1A1A"/>
        </w:rPr>
        <w:t>limitation des finalités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b/>
          <w:bCs/>
          <w:color w:val="1A1A1A"/>
        </w:rPr>
        <w:t>minimisation</w:t>
      </w:r>
      <w:r>
        <w:rPr>
          <w:rFonts w:ascii="Calibri" w:eastAsia="Calibri" w:hAnsi="Calibri" w:cs="Calibri"/>
          <w:color w:val="1A1A1A"/>
        </w:rPr>
        <w:t xml:space="preserve"> ; exactitude ; </w:t>
      </w:r>
      <w:r>
        <w:rPr>
          <w:rFonts w:ascii="Calibri" w:eastAsia="Calibri" w:hAnsi="Calibri" w:cs="Calibri"/>
          <w:b/>
          <w:bCs/>
          <w:color w:val="1A1A1A"/>
        </w:rPr>
        <w:t>limitation de la conservation</w:t>
      </w:r>
      <w:r>
        <w:rPr>
          <w:rFonts w:ascii="Calibri" w:eastAsia="Calibri" w:hAnsi="Calibri" w:cs="Calibri"/>
          <w:color w:val="1A1A1A"/>
        </w:rPr>
        <w:t xml:space="preserve"> ; intégrité et confidentialité ; </w:t>
      </w:r>
      <w:r>
        <w:rPr>
          <w:rFonts w:ascii="Calibri" w:eastAsia="Calibri" w:hAnsi="Calibri" w:cs="Calibri"/>
          <w:b/>
          <w:bCs/>
          <w:color w:val="1A1A1A"/>
        </w:rPr>
        <w:t>responsabilité</w:t>
      </w:r>
      <w:r>
        <w:rPr>
          <w:rFonts w:ascii="Calibri" w:eastAsia="Calibri" w:hAnsi="Calibri" w:cs="Calibri"/>
          <w:color w:val="1A1A1A"/>
        </w:rPr>
        <w:t xml:space="preserve"> (« accountability ») : le régime des formalités préalables a cédé la place à la tenue d’un registre et à l’</w:t>
      </w:r>
      <w:r>
        <w:rPr>
          <w:rFonts w:ascii="Calibri" w:eastAsia="Calibri" w:hAnsi="Calibri" w:cs="Calibri"/>
          <w:b/>
          <w:bCs/>
          <w:color w:val="1A1A1A"/>
        </w:rPr>
        <w:t>analyse d’impact</w:t>
      </w:r>
      <w:r>
        <w:rPr>
          <w:rFonts w:ascii="Calibri" w:eastAsia="Calibri" w:hAnsi="Calibri" w:cs="Calibri"/>
          <w:color w:val="1A1A1A"/>
        </w:rPr>
        <w:t xml:space="preserve"> pour les traitements à risque élevé (</w:t>
      </w:r>
      <w:r>
        <w:rPr>
          <w:rFonts w:ascii="Calibri" w:eastAsia="Calibri" w:hAnsi="Calibri" w:cs="Calibri"/>
          <w:color w:val="1E88E5"/>
        </w:rPr>
        <w:t>art. 35</w:t>
      </w:r>
      <w:r>
        <w:rPr>
          <w:rFonts w:ascii="Calibri" w:eastAsia="Calibri" w:hAnsi="Calibri" w:cs="Calibri"/>
          <w:color w:val="1A1A1A"/>
        </w:rPr>
        <w:t>).</w:t>
      </w:r>
    </w:p>
    <w:p w14:paraId="73AC209D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Bases légales</w:t>
      </w:r>
      <w:r>
        <w:rPr>
          <w:rFonts w:ascii="Calibri" w:eastAsia="Calibri" w:hAnsi="Calibri" w:cs="Calibri"/>
          <w:color w:val="1A1A1A"/>
        </w:rPr>
        <w:t xml:space="preserve"> (</w:t>
      </w:r>
      <w:r>
        <w:rPr>
          <w:rFonts w:ascii="Calibri" w:eastAsia="Calibri" w:hAnsi="Calibri" w:cs="Calibri"/>
          <w:color w:val="1E88E5"/>
        </w:rPr>
        <w:t>art. 6</w:t>
      </w:r>
      <w:r>
        <w:rPr>
          <w:rFonts w:ascii="Calibri" w:eastAsia="Calibri" w:hAnsi="Calibri" w:cs="Calibri"/>
          <w:color w:val="1A1A1A"/>
        </w:rPr>
        <w:t xml:space="preserve">) : consentement, contrat, obligation légale, intérêts vitaux, mission d’intérêt public, intérêt légitime. </w:t>
      </w:r>
      <w:r w:rsidRPr="008C3AEB">
        <w:rPr>
          <w:rFonts w:ascii="Calibri" w:eastAsia="Calibri" w:hAnsi="Calibri" w:cs="Calibri"/>
          <w:b/>
          <w:bCs/>
          <w:color w:val="1A1A1A"/>
          <w:highlight w:val="yellow"/>
        </w:rPr>
        <w:t>Consentement</w:t>
      </w:r>
      <w:r w:rsidRPr="008C3AEB">
        <w:rPr>
          <w:rFonts w:ascii="Calibri" w:eastAsia="Calibri" w:hAnsi="Calibri" w:cs="Calibri"/>
          <w:color w:val="1A1A1A"/>
          <w:highlight w:val="yellow"/>
        </w:rPr>
        <w:t xml:space="preserve"> : libre, spécifique, éclairé, univoque, par un acte positif</w:t>
      </w:r>
      <w:r>
        <w:rPr>
          <w:rFonts w:ascii="Calibri" w:eastAsia="Calibri" w:hAnsi="Calibri" w:cs="Calibri"/>
          <w:color w:val="1A1A1A"/>
        </w:rPr>
        <w:t xml:space="preserve"> — </w:t>
      </w:r>
      <w:r w:rsidRPr="008C3AEB">
        <w:rPr>
          <w:rFonts w:ascii="Calibri" w:eastAsia="Calibri" w:hAnsi="Calibri" w:cs="Calibri"/>
          <w:color w:val="EE0000"/>
        </w:rPr>
        <w:t xml:space="preserve">une case pré-cochée </w:t>
      </w:r>
      <w:r w:rsidRPr="008C3AEB">
        <w:rPr>
          <w:rFonts w:ascii="Calibri" w:eastAsia="Calibri" w:hAnsi="Calibri" w:cs="Calibri"/>
          <w:b/>
          <w:bCs/>
          <w:color w:val="EE0000"/>
          <w:u w:val="single"/>
        </w:rPr>
        <w:t>ne suffit pas</w:t>
      </w:r>
      <w:r w:rsidRPr="008C3AEB">
        <w:rPr>
          <w:rFonts w:ascii="Calibri" w:eastAsia="Calibri" w:hAnsi="Calibri" w:cs="Calibri"/>
          <w:color w:val="EE0000"/>
        </w:rPr>
        <w:t xml:space="preserve"> </w:t>
      </w:r>
      <w:r>
        <w:rPr>
          <w:rFonts w:ascii="Calibri" w:eastAsia="Calibri" w:hAnsi="Calibri" w:cs="Calibri"/>
          <w:color w:val="1A1A1A"/>
        </w:rPr>
        <w:t>(</w:t>
      </w:r>
      <w:r>
        <w:rPr>
          <w:rFonts w:ascii="Calibri" w:eastAsia="Calibri" w:hAnsi="Calibri" w:cs="Calibri"/>
          <w:color w:val="E91E63"/>
        </w:rPr>
        <w:t>CJUE [GC], 1er octobre 2019, Planet49, C-673/17</w:t>
      </w:r>
      <w:r>
        <w:rPr>
          <w:rFonts w:ascii="Calibri" w:eastAsia="Calibri" w:hAnsi="Calibri" w:cs="Calibri"/>
          <w:color w:val="1A1A1A"/>
        </w:rPr>
        <w:t>) ; lignes directrices « cookies » de la CNIL (</w:t>
      </w:r>
      <w:r>
        <w:rPr>
          <w:rFonts w:ascii="Calibri" w:eastAsia="Calibri" w:hAnsi="Calibri" w:cs="Calibri"/>
          <w:color w:val="E91E63"/>
        </w:rPr>
        <w:t>délibération n° 2019-093 du 4 juillet 2019</w:t>
      </w:r>
      <w:r>
        <w:rPr>
          <w:rFonts w:ascii="Calibri" w:eastAsia="Calibri" w:hAnsi="Calibri" w:cs="Calibri"/>
          <w:color w:val="1A1A1A"/>
        </w:rPr>
        <w:t>).</w:t>
      </w:r>
    </w:p>
    <w:p w14:paraId="2D6C176E" w14:textId="77777777" w:rsidR="00C05C80" w:rsidRDefault="00000000">
      <w:pPr>
        <w:pStyle w:val="Titre3"/>
        <w:spacing w:before="200" w:after="90"/>
      </w:pPr>
      <w:r>
        <w:rPr>
          <w:rFonts w:ascii="Calibri" w:eastAsia="Calibri" w:hAnsi="Calibri" w:cs="Calibri"/>
          <w:b/>
          <w:bCs/>
          <w:i/>
          <w:iCs/>
          <w:color w:val="5A5A5A"/>
          <w:sz w:val="21"/>
          <w:szCs w:val="21"/>
        </w:rPr>
        <w:t>2.3. Les droits de la personne</w:t>
      </w:r>
    </w:p>
    <w:p w14:paraId="26CB9C1F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Information</w:t>
      </w:r>
      <w:r>
        <w:rPr>
          <w:rFonts w:ascii="Calibri" w:eastAsia="Calibri" w:hAnsi="Calibri" w:cs="Calibri"/>
          <w:color w:val="1A1A1A"/>
        </w:rPr>
        <w:t xml:space="preserve"> (</w:t>
      </w:r>
      <w:r>
        <w:rPr>
          <w:rFonts w:ascii="Calibri" w:eastAsia="Calibri" w:hAnsi="Calibri" w:cs="Calibri"/>
          <w:color w:val="1E88E5"/>
        </w:rPr>
        <w:t>art. 13-14</w:t>
      </w:r>
      <w:r>
        <w:rPr>
          <w:rFonts w:ascii="Calibri" w:eastAsia="Calibri" w:hAnsi="Calibri" w:cs="Calibri"/>
          <w:color w:val="1A1A1A"/>
        </w:rPr>
        <w:t xml:space="preserve">) ; </w:t>
      </w:r>
      <w:r>
        <w:rPr>
          <w:rFonts w:ascii="Calibri" w:eastAsia="Calibri" w:hAnsi="Calibri" w:cs="Calibri"/>
          <w:b/>
          <w:bCs/>
          <w:color w:val="1A1A1A"/>
        </w:rPr>
        <w:t>accès</w:t>
      </w:r>
      <w:r>
        <w:rPr>
          <w:rFonts w:ascii="Calibri" w:eastAsia="Calibri" w:hAnsi="Calibri" w:cs="Calibri"/>
          <w:color w:val="1A1A1A"/>
        </w:rPr>
        <w:t xml:space="preserve"> (</w:t>
      </w:r>
      <w:r>
        <w:rPr>
          <w:rFonts w:ascii="Calibri" w:eastAsia="Calibri" w:hAnsi="Calibri" w:cs="Calibri"/>
          <w:color w:val="1E88E5"/>
        </w:rPr>
        <w:t>art. 15</w:t>
      </w:r>
      <w:r>
        <w:rPr>
          <w:rFonts w:ascii="Calibri" w:eastAsia="Calibri" w:hAnsi="Calibri" w:cs="Calibri"/>
          <w:color w:val="1A1A1A"/>
        </w:rPr>
        <w:t>) — par l’intermédiaire de la CNIL pour les traitements intéressant la sûreté de l’État (</w:t>
      </w:r>
      <w:r>
        <w:rPr>
          <w:rFonts w:ascii="Calibri" w:eastAsia="Calibri" w:hAnsi="Calibri" w:cs="Calibri"/>
          <w:color w:val="1E88E5"/>
        </w:rPr>
        <w:t>art. 118 de la loi de 1978</w:t>
      </w:r>
      <w:r>
        <w:rPr>
          <w:rFonts w:ascii="Calibri" w:eastAsia="Calibri" w:hAnsi="Calibri" w:cs="Calibri"/>
          <w:color w:val="1A1A1A"/>
        </w:rPr>
        <w:t xml:space="preserve">) ; </w:t>
      </w:r>
      <w:r>
        <w:rPr>
          <w:rFonts w:ascii="Calibri" w:eastAsia="Calibri" w:hAnsi="Calibri" w:cs="Calibri"/>
          <w:b/>
          <w:bCs/>
          <w:color w:val="1A1A1A"/>
        </w:rPr>
        <w:t>rectification</w:t>
      </w:r>
      <w:r>
        <w:rPr>
          <w:rFonts w:ascii="Calibri" w:eastAsia="Calibri" w:hAnsi="Calibri" w:cs="Calibri"/>
          <w:color w:val="1A1A1A"/>
        </w:rPr>
        <w:t xml:space="preserve"> (</w:t>
      </w:r>
      <w:r>
        <w:rPr>
          <w:rFonts w:ascii="Calibri" w:eastAsia="Calibri" w:hAnsi="Calibri" w:cs="Calibri"/>
          <w:color w:val="1E88E5"/>
        </w:rPr>
        <w:t>art. 16</w:t>
      </w:r>
      <w:r>
        <w:rPr>
          <w:rFonts w:ascii="Calibri" w:eastAsia="Calibri" w:hAnsi="Calibri" w:cs="Calibri"/>
          <w:color w:val="1A1A1A"/>
        </w:rPr>
        <w:t xml:space="preserve">) ; </w:t>
      </w:r>
      <w:r>
        <w:rPr>
          <w:rFonts w:ascii="Calibri" w:eastAsia="Calibri" w:hAnsi="Calibri" w:cs="Calibri"/>
          <w:b/>
          <w:bCs/>
          <w:color w:val="1A1A1A"/>
        </w:rPr>
        <w:t>effacement</w:t>
      </w:r>
      <w:r>
        <w:rPr>
          <w:rFonts w:ascii="Calibri" w:eastAsia="Calibri" w:hAnsi="Calibri" w:cs="Calibri"/>
          <w:color w:val="1A1A1A"/>
        </w:rPr>
        <w:t xml:space="preserve"> (</w:t>
      </w:r>
      <w:r>
        <w:rPr>
          <w:rFonts w:ascii="Calibri" w:eastAsia="Calibri" w:hAnsi="Calibri" w:cs="Calibri"/>
          <w:color w:val="1E88E5"/>
        </w:rPr>
        <w:t>art. 17</w:t>
      </w:r>
      <w:r>
        <w:rPr>
          <w:rFonts w:ascii="Calibri" w:eastAsia="Calibri" w:hAnsi="Calibri" w:cs="Calibri"/>
          <w:color w:val="1A1A1A"/>
        </w:rPr>
        <w:t xml:space="preserve">), limité par la liberté d’expression et la recherche ; </w:t>
      </w:r>
      <w:r>
        <w:rPr>
          <w:rFonts w:ascii="Calibri" w:eastAsia="Calibri" w:hAnsi="Calibri" w:cs="Calibri"/>
          <w:b/>
          <w:bCs/>
          <w:color w:val="1A1A1A"/>
        </w:rPr>
        <w:t>opposition</w:t>
      </w:r>
      <w:r>
        <w:rPr>
          <w:rFonts w:ascii="Calibri" w:eastAsia="Calibri" w:hAnsi="Calibri" w:cs="Calibri"/>
          <w:color w:val="1A1A1A"/>
        </w:rPr>
        <w:t xml:space="preserve"> pour motifs tenant à la situation particulière (</w:t>
      </w:r>
      <w:r>
        <w:rPr>
          <w:rFonts w:ascii="Calibri" w:eastAsia="Calibri" w:hAnsi="Calibri" w:cs="Calibri"/>
          <w:color w:val="1E88E5"/>
        </w:rPr>
        <w:t>art. 21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CE, 18 mars 2019, n° 406313</w:t>
      </w:r>
      <w:r>
        <w:rPr>
          <w:rFonts w:ascii="Calibri" w:eastAsia="Calibri" w:hAnsi="Calibri" w:cs="Calibri"/>
          <w:color w:val="1A1A1A"/>
        </w:rPr>
        <w:t xml:space="preserve"> : pas de simples craintes générales) ; </w:t>
      </w:r>
      <w:r>
        <w:rPr>
          <w:rFonts w:ascii="Calibri" w:eastAsia="Calibri" w:hAnsi="Calibri" w:cs="Calibri"/>
          <w:b/>
          <w:bCs/>
          <w:color w:val="1A1A1A"/>
        </w:rPr>
        <w:t>portabilité</w:t>
      </w:r>
      <w:r>
        <w:rPr>
          <w:rFonts w:ascii="Calibri" w:eastAsia="Calibri" w:hAnsi="Calibri" w:cs="Calibri"/>
          <w:color w:val="1A1A1A"/>
        </w:rPr>
        <w:t xml:space="preserve"> (</w:t>
      </w:r>
      <w:r>
        <w:rPr>
          <w:rFonts w:ascii="Calibri" w:eastAsia="Calibri" w:hAnsi="Calibri" w:cs="Calibri"/>
          <w:color w:val="1E88E5"/>
        </w:rPr>
        <w:t>art. 20</w:t>
      </w:r>
      <w:r>
        <w:rPr>
          <w:rFonts w:ascii="Calibri" w:eastAsia="Calibri" w:hAnsi="Calibri" w:cs="Calibri"/>
          <w:color w:val="1A1A1A"/>
        </w:rPr>
        <w:t xml:space="preserve">) ; </w:t>
      </w:r>
      <w:r>
        <w:rPr>
          <w:rFonts w:ascii="Calibri" w:eastAsia="Calibri" w:hAnsi="Calibri" w:cs="Calibri"/>
          <w:b/>
          <w:bCs/>
          <w:color w:val="1A1A1A"/>
        </w:rPr>
        <w:t>décision automatisée</w:t>
      </w:r>
      <w:r>
        <w:rPr>
          <w:rFonts w:ascii="Calibri" w:eastAsia="Calibri" w:hAnsi="Calibri" w:cs="Calibri"/>
          <w:color w:val="1A1A1A"/>
        </w:rPr>
        <w:t xml:space="preserve"> (</w:t>
      </w:r>
      <w:r>
        <w:rPr>
          <w:rFonts w:ascii="Calibri" w:eastAsia="Calibri" w:hAnsi="Calibri" w:cs="Calibri"/>
          <w:color w:val="1E88E5"/>
        </w:rPr>
        <w:t>art. 22</w:t>
      </w:r>
      <w:r>
        <w:rPr>
          <w:rFonts w:ascii="Calibri" w:eastAsia="Calibri" w:hAnsi="Calibri" w:cs="Calibri"/>
          <w:color w:val="1A1A1A"/>
        </w:rPr>
        <w:t>).</w:t>
      </w:r>
    </w:p>
    <w:p w14:paraId="6C311DD6" w14:textId="27EA5783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color w:val="1A1A1A"/>
        </w:rPr>
        <w:t xml:space="preserve">★ </w:t>
      </w:r>
      <w:r w:rsidRPr="008C4367">
        <w:rPr>
          <w:rFonts w:ascii="Calibri" w:eastAsia="Calibri" w:hAnsi="Calibri" w:cs="Calibri"/>
          <w:b/>
          <w:bCs/>
          <w:color w:val="1A1A1A"/>
          <w:highlight w:val="yellow"/>
        </w:rPr>
        <w:t>Droit à l’explication</w:t>
      </w:r>
      <w:r>
        <w:rPr>
          <w:rFonts w:ascii="Calibri" w:eastAsia="Calibri" w:hAnsi="Calibri" w:cs="Calibri"/>
          <w:color w:val="1A1A1A"/>
        </w:rPr>
        <w:t xml:space="preserve"> : la personne visée par une décision automatisée (notation de solvabilité) doit pouvoir </w:t>
      </w:r>
      <w:r w:rsidR="008C4367">
        <w:rPr>
          <w:rFonts w:ascii="Calibri" w:eastAsia="Calibri" w:hAnsi="Calibri" w:cs="Calibri"/>
          <w:color w:val="1A1A1A"/>
        </w:rPr>
        <w:t>comprendre</w:t>
      </w:r>
      <w:r>
        <w:rPr>
          <w:rFonts w:ascii="Calibri" w:eastAsia="Calibri" w:hAnsi="Calibri" w:cs="Calibri"/>
          <w:color w:val="1A1A1A"/>
        </w:rPr>
        <w:t xml:space="preserve"> « la procédure et les principes effectivement appliqués » ; une formule mathématique ne suffit pas ; </w:t>
      </w:r>
      <w:r w:rsidRPr="008C4367">
        <w:rPr>
          <w:rFonts w:ascii="Calibri" w:eastAsia="Calibri" w:hAnsi="Calibri" w:cs="Calibri"/>
          <w:color w:val="1A1A1A"/>
          <w:highlight w:val="yellow"/>
        </w:rPr>
        <w:t>le secret des affaires n’est pas un obstacle absolu</w:t>
      </w:r>
      <w:r>
        <w:rPr>
          <w:rFonts w:ascii="Calibri" w:eastAsia="Calibri" w:hAnsi="Calibri" w:cs="Calibri"/>
          <w:color w:val="1A1A1A"/>
        </w:rPr>
        <w:t>, le juge ou l’autorité opérant la balance (</w:t>
      </w:r>
      <w:r>
        <w:rPr>
          <w:rFonts w:ascii="Calibri" w:eastAsia="Calibri" w:hAnsi="Calibri" w:cs="Calibri"/>
          <w:color w:val="E91E63"/>
        </w:rPr>
        <w:t>CJUE, 27 février 2025, Dun &amp; Bradstreet Austria, C-203/22</w:t>
      </w:r>
      <w:r>
        <w:rPr>
          <w:rFonts w:ascii="Calibri" w:eastAsia="Calibri" w:hAnsi="Calibri" w:cs="Calibri"/>
          <w:color w:val="1A1A1A"/>
        </w:rPr>
        <w:t>) ; la notation elle-même peut être une décision automatisée (</w:t>
      </w:r>
      <w:r>
        <w:rPr>
          <w:rFonts w:ascii="Calibri" w:eastAsia="Calibri" w:hAnsi="Calibri" w:cs="Calibri"/>
          <w:color w:val="E91E63"/>
        </w:rPr>
        <w:t>CJUE, 7 décembre 2023, SCHUFA, C-634/21</w:t>
      </w:r>
      <w:r>
        <w:rPr>
          <w:rFonts w:ascii="Calibri" w:eastAsia="Calibri" w:hAnsi="Calibri" w:cs="Calibri"/>
          <w:color w:val="1A1A1A"/>
        </w:rPr>
        <w:t>).</w:t>
      </w:r>
    </w:p>
    <w:p w14:paraId="33528D02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color w:val="1A1A1A"/>
        </w:rPr>
        <w:t xml:space="preserve">★ </w:t>
      </w:r>
      <w:r w:rsidRPr="008C4367">
        <w:rPr>
          <w:rFonts w:ascii="Calibri" w:eastAsia="Calibri" w:hAnsi="Calibri" w:cs="Calibri"/>
          <w:b/>
          <w:bCs/>
          <w:color w:val="1A1A1A"/>
          <w:highlight w:val="yellow"/>
        </w:rPr>
        <w:t>Déréférencement</w:t>
      </w:r>
      <w:r>
        <w:rPr>
          <w:rFonts w:ascii="Calibri" w:eastAsia="Calibri" w:hAnsi="Calibri" w:cs="Calibri"/>
          <w:color w:val="1A1A1A"/>
        </w:rPr>
        <w:t xml:space="preserve"> : </w:t>
      </w:r>
      <w:r>
        <w:rPr>
          <w:rFonts w:ascii="Calibri" w:eastAsia="Calibri" w:hAnsi="Calibri" w:cs="Calibri"/>
          <w:color w:val="E91E63"/>
        </w:rPr>
        <w:t xml:space="preserve">Google </w:t>
      </w:r>
      <w:r w:rsidRPr="008C4367">
        <w:rPr>
          <w:rFonts w:ascii="Calibri" w:eastAsia="Calibri" w:hAnsi="Calibri" w:cs="Calibri"/>
          <w:color w:val="E91D62"/>
        </w:rPr>
        <w:t xml:space="preserve">Spain (2014) </w:t>
      </w:r>
      <w:r>
        <w:rPr>
          <w:rFonts w:ascii="Calibri" w:eastAsia="Calibri" w:hAnsi="Calibri" w:cs="Calibri"/>
          <w:color w:val="1A1A1A"/>
        </w:rPr>
        <w:t xml:space="preserve">— </w:t>
      </w:r>
      <w:r w:rsidRPr="008C4367">
        <w:rPr>
          <w:rFonts w:ascii="Calibri" w:eastAsia="Calibri" w:hAnsi="Calibri" w:cs="Calibri"/>
          <w:color w:val="1A1A1A"/>
          <w:highlight w:val="yellow"/>
        </w:rPr>
        <w:t>balance entre vie privée et droit du public à l’information</w:t>
      </w:r>
      <w:r>
        <w:rPr>
          <w:rFonts w:ascii="Calibri" w:eastAsia="Calibri" w:hAnsi="Calibri" w:cs="Calibri"/>
          <w:color w:val="1A1A1A"/>
        </w:rPr>
        <w:t>, en faveur de ce dernier pour les personnes jouant un rôle public ; données sensibles : déréférencement sauf stricte nécessité pour l’information (</w:t>
      </w:r>
      <w:r>
        <w:rPr>
          <w:rFonts w:ascii="Calibri" w:eastAsia="Calibri" w:hAnsi="Calibri" w:cs="Calibri"/>
          <w:color w:val="E91E63"/>
        </w:rPr>
        <w:t>CJUE [GC], 24 septembre 2019, GC e.a., C-136/17</w:t>
      </w:r>
      <w:r>
        <w:rPr>
          <w:rFonts w:ascii="Calibri" w:eastAsia="Calibri" w:hAnsi="Calibri" w:cs="Calibri"/>
          <w:color w:val="1A1A1A"/>
        </w:rPr>
        <w:t xml:space="preserve">) ; </w:t>
      </w:r>
      <w:r w:rsidRPr="008C4367">
        <w:rPr>
          <w:rFonts w:ascii="Calibri" w:eastAsia="Calibri" w:hAnsi="Calibri" w:cs="Calibri"/>
          <w:b/>
          <w:bCs/>
          <w:color w:val="1A1A1A"/>
          <w:highlight w:val="yellow"/>
        </w:rPr>
        <w:t>pas d’obligation de déréférencement mondial</w:t>
      </w:r>
      <w:r>
        <w:rPr>
          <w:rFonts w:ascii="Calibri" w:eastAsia="Calibri" w:hAnsi="Calibri" w:cs="Calibri"/>
          <w:color w:val="1A1A1A"/>
        </w:rPr>
        <w:t xml:space="preserve"> </w:t>
      </w:r>
      <w:r>
        <w:rPr>
          <w:rFonts w:ascii="Calibri" w:eastAsia="Calibri" w:hAnsi="Calibri" w:cs="Calibri"/>
          <w:color w:val="1A1A1A"/>
        </w:rPr>
        <w:lastRenderedPageBreak/>
        <w:t>(</w:t>
      </w:r>
      <w:r>
        <w:rPr>
          <w:rFonts w:ascii="Calibri" w:eastAsia="Calibri" w:hAnsi="Calibri" w:cs="Calibri"/>
          <w:color w:val="E91E63"/>
        </w:rPr>
        <w:t>CJUE [GC], 24 septembre 2019, Google LLC c. CNIL, C-507/17</w:t>
      </w:r>
      <w:r>
        <w:rPr>
          <w:rFonts w:ascii="Calibri" w:eastAsia="Calibri" w:hAnsi="Calibri" w:cs="Calibri"/>
          <w:color w:val="1A1A1A"/>
        </w:rPr>
        <w:t>) ; application par le Conseil d’État (</w:t>
      </w:r>
      <w:r>
        <w:rPr>
          <w:rFonts w:ascii="Calibri" w:eastAsia="Calibri" w:hAnsi="Calibri" w:cs="Calibri"/>
          <w:color w:val="E91E63"/>
        </w:rPr>
        <w:t>CE, 6 décembre 2019, n° 395335</w:t>
      </w:r>
      <w:r>
        <w:rPr>
          <w:rFonts w:ascii="Calibri" w:eastAsia="Calibri" w:hAnsi="Calibri" w:cs="Calibri"/>
          <w:color w:val="1A1A1A"/>
        </w:rPr>
        <w:t>, série de treize décisions).</w:t>
      </w:r>
    </w:p>
    <w:p w14:paraId="00F85FB8" w14:textId="77777777" w:rsidR="00C05C80" w:rsidRDefault="00000000">
      <w:pPr>
        <w:pStyle w:val="Titre2"/>
        <w:spacing w:before="280" w:after="12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3. Les garanties institutionnelles et juridictionnelles</w:t>
      </w:r>
    </w:p>
    <w:p w14:paraId="537CCF17" w14:textId="77777777" w:rsidR="00C05C80" w:rsidRDefault="00000000">
      <w:pPr>
        <w:pStyle w:val="Titre3"/>
        <w:spacing w:before="200" w:after="90"/>
      </w:pPr>
      <w:r>
        <w:rPr>
          <w:rFonts w:ascii="Calibri" w:eastAsia="Calibri" w:hAnsi="Calibri" w:cs="Calibri"/>
          <w:b/>
          <w:bCs/>
          <w:i/>
          <w:iCs/>
          <w:color w:val="5A5A5A"/>
          <w:sz w:val="21"/>
          <w:szCs w:val="21"/>
        </w:rPr>
        <w:t>3.1. La CNIL</w:t>
      </w:r>
    </w:p>
    <w:p w14:paraId="76217680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color w:val="1A1A1A"/>
        </w:rPr>
        <w:t>Autorité administrative indépendante créée en 1978, à caractère collégial (</w:t>
      </w:r>
      <w:r>
        <w:rPr>
          <w:rFonts w:ascii="Calibri" w:eastAsia="Calibri" w:hAnsi="Calibri" w:cs="Calibri"/>
          <w:b/>
          <w:bCs/>
          <w:color w:val="1A1A1A"/>
        </w:rPr>
        <w:t>18 membres</w:t>
      </w:r>
      <w:r>
        <w:rPr>
          <w:rFonts w:ascii="Calibri" w:eastAsia="Calibri" w:hAnsi="Calibri" w:cs="Calibri"/>
          <w:color w:val="1A1A1A"/>
        </w:rPr>
        <w:t xml:space="preserve">, mandat de cinq ans), devenue l’autorité de contrôle au sens du RGPD. Missions : informer, conseiller (avis sur les projets de textes — fichiers sanitaires du Covid-19, </w:t>
      </w:r>
      <w:proofErr w:type="spellStart"/>
      <w:r>
        <w:rPr>
          <w:rFonts w:ascii="Calibri" w:eastAsia="Calibri" w:hAnsi="Calibri" w:cs="Calibri"/>
          <w:i/>
          <w:iCs/>
          <w:color w:val="1A1A1A"/>
        </w:rPr>
        <w:t>StopCovid</w:t>
      </w:r>
      <w:proofErr w:type="spellEnd"/>
      <w:r>
        <w:rPr>
          <w:rFonts w:ascii="Calibri" w:eastAsia="Calibri" w:hAnsi="Calibri" w:cs="Calibri"/>
          <w:color w:val="1A1A1A"/>
        </w:rPr>
        <w:t xml:space="preserve">), accompagner (lignes directrices, référentiels), contrôler (accès aux locaux, avec autorisation du JLD en cas d’opposition), sanctionner par sa </w:t>
      </w:r>
      <w:r>
        <w:rPr>
          <w:rFonts w:ascii="Calibri" w:eastAsia="Calibri" w:hAnsi="Calibri" w:cs="Calibri"/>
          <w:b/>
          <w:bCs/>
          <w:color w:val="1A1A1A"/>
        </w:rPr>
        <w:t>formation restreinte</w:t>
      </w:r>
      <w:r>
        <w:rPr>
          <w:rFonts w:ascii="Calibri" w:eastAsia="Calibri" w:hAnsi="Calibri" w:cs="Calibri"/>
          <w:color w:val="1A1A1A"/>
        </w:rPr>
        <w:t xml:space="preserve"> (rappel à l’ordre, injonction, amende jusqu’à </w:t>
      </w:r>
      <w:r>
        <w:rPr>
          <w:rFonts w:ascii="Calibri" w:eastAsia="Calibri" w:hAnsi="Calibri" w:cs="Calibri"/>
          <w:b/>
          <w:bCs/>
          <w:color w:val="1A1A1A"/>
        </w:rPr>
        <w:t>20 millions d’euros ou 4 % du chiffre d’affaires mondial</w:t>
      </w:r>
      <w:r>
        <w:rPr>
          <w:rFonts w:ascii="Calibri" w:eastAsia="Calibri" w:hAnsi="Calibri" w:cs="Calibri"/>
          <w:color w:val="1A1A1A"/>
        </w:rPr>
        <w:t xml:space="preserve">, </w:t>
      </w:r>
      <w:r>
        <w:rPr>
          <w:rFonts w:ascii="Calibri" w:eastAsia="Calibri" w:hAnsi="Calibri" w:cs="Calibri"/>
          <w:color w:val="1E88E5"/>
        </w:rPr>
        <w:t>art. 83 RGPD</w:t>
      </w:r>
      <w:r>
        <w:rPr>
          <w:rFonts w:ascii="Calibri" w:eastAsia="Calibri" w:hAnsi="Calibri" w:cs="Calibri"/>
          <w:color w:val="1A1A1A"/>
        </w:rPr>
        <w:t>). Exemple : 50 millions d’euros contre Google (</w:t>
      </w:r>
      <w:r>
        <w:rPr>
          <w:rFonts w:ascii="Calibri" w:eastAsia="Calibri" w:hAnsi="Calibri" w:cs="Calibri"/>
          <w:color w:val="E91E63"/>
        </w:rPr>
        <w:t>CNIL, 21 janvier 2019</w:t>
      </w:r>
      <w:r>
        <w:rPr>
          <w:rFonts w:ascii="Calibri" w:eastAsia="Calibri" w:hAnsi="Calibri" w:cs="Calibri"/>
          <w:color w:val="1A1A1A"/>
        </w:rPr>
        <w:t>), confirmés par le Conseil d’État (</w:t>
      </w:r>
      <w:r>
        <w:rPr>
          <w:rFonts w:ascii="Calibri" w:eastAsia="Calibri" w:hAnsi="Calibri" w:cs="Calibri"/>
          <w:color w:val="E91E63"/>
        </w:rPr>
        <w:t>CE, 19 juin 2020, n° 430810</w:t>
      </w:r>
      <w:r>
        <w:rPr>
          <w:rFonts w:ascii="Calibri" w:eastAsia="Calibri" w:hAnsi="Calibri" w:cs="Calibri"/>
          <w:color w:val="1A1A1A"/>
        </w:rPr>
        <w:t>).</w:t>
      </w:r>
    </w:p>
    <w:p w14:paraId="7CCC0D4C" w14:textId="77777777" w:rsidR="00C05C80" w:rsidRDefault="00000000">
      <w:pPr>
        <w:pStyle w:val="Titre3"/>
        <w:spacing w:before="200" w:after="90"/>
      </w:pPr>
      <w:r>
        <w:rPr>
          <w:rFonts w:ascii="Calibri" w:eastAsia="Calibri" w:hAnsi="Calibri" w:cs="Calibri"/>
          <w:b/>
          <w:bCs/>
          <w:i/>
          <w:iCs/>
          <w:color w:val="5A5A5A"/>
          <w:sz w:val="21"/>
          <w:szCs w:val="21"/>
        </w:rPr>
        <w:t>3.2. Le Conseil constitutionnel</w:t>
      </w:r>
    </w:p>
    <w:p w14:paraId="3B27261A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color w:val="1A1A1A"/>
        </w:rPr>
        <w:t>Censure du registre public des trusts, faute de restreindre le cercle des personnes y ayant accès (</w:t>
      </w:r>
      <w:r>
        <w:rPr>
          <w:rFonts w:ascii="Calibri" w:eastAsia="Calibri" w:hAnsi="Calibri" w:cs="Calibri"/>
          <w:color w:val="E91E63"/>
        </w:rPr>
        <w:t>2016-591 QPC, 21 octobre 2016, Mme Helen S.</w:t>
      </w:r>
      <w:r>
        <w:rPr>
          <w:rFonts w:ascii="Calibri" w:eastAsia="Calibri" w:hAnsi="Calibri" w:cs="Calibri"/>
          <w:color w:val="1A1A1A"/>
        </w:rPr>
        <w:t>) ; contrôle des fichiers sanitaires du Covid-19 sous réserves (</w:t>
      </w:r>
      <w:r>
        <w:rPr>
          <w:rFonts w:ascii="Calibri" w:eastAsia="Calibri" w:hAnsi="Calibri" w:cs="Calibri"/>
          <w:color w:val="E91E63"/>
        </w:rPr>
        <w:t>2020-800 DC, 11 mai 2020</w:t>
      </w:r>
      <w:r>
        <w:rPr>
          <w:rFonts w:ascii="Calibri" w:eastAsia="Calibri" w:hAnsi="Calibri" w:cs="Calibri"/>
          <w:color w:val="1A1A1A"/>
        </w:rPr>
        <w:t>) ; vidéosurveillance algorithmique (</w:t>
      </w:r>
      <w:r>
        <w:rPr>
          <w:rFonts w:ascii="Calibri" w:eastAsia="Calibri" w:hAnsi="Calibri" w:cs="Calibri"/>
          <w:color w:val="E91E63"/>
        </w:rPr>
        <w:t>2023-850 DC</w:t>
      </w:r>
      <w:r>
        <w:rPr>
          <w:rFonts w:ascii="Calibri" w:eastAsia="Calibri" w:hAnsi="Calibri" w:cs="Calibri"/>
          <w:color w:val="1A1A1A"/>
        </w:rPr>
        <w:t>) ; vérification de l’âge en ligne (</w:t>
      </w:r>
      <w:r>
        <w:rPr>
          <w:rFonts w:ascii="Calibri" w:eastAsia="Calibri" w:hAnsi="Calibri" w:cs="Calibri"/>
          <w:color w:val="E91E63"/>
        </w:rPr>
        <w:t>2026-911 DC</w:t>
      </w:r>
      <w:r>
        <w:rPr>
          <w:rFonts w:ascii="Calibri" w:eastAsia="Calibri" w:hAnsi="Calibri" w:cs="Calibri"/>
          <w:color w:val="1A1A1A"/>
        </w:rPr>
        <w:t xml:space="preserve">). Contrôle jugé </w:t>
      </w:r>
      <w:r>
        <w:rPr>
          <w:rFonts w:ascii="Calibri" w:eastAsia="Calibri" w:hAnsi="Calibri" w:cs="Calibri"/>
          <w:b/>
          <w:bCs/>
          <w:color w:val="1A1A1A"/>
        </w:rPr>
        <w:t>moins exigeant</w:t>
      </w:r>
      <w:r>
        <w:rPr>
          <w:rFonts w:ascii="Calibri" w:eastAsia="Calibri" w:hAnsi="Calibri" w:cs="Calibri"/>
          <w:color w:val="1A1A1A"/>
        </w:rPr>
        <w:t xml:space="preserve"> que celui des cours européennes.</w:t>
      </w:r>
    </w:p>
    <w:p w14:paraId="67ED9945" w14:textId="77777777" w:rsidR="00C05C80" w:rsidRDefault="00000000">
      <w:pPr>
        <w:pStyle w:val="Titre3"/>
        <w:spacing w:before="200" w:after="90"/>
      </w:pPr>
      <w:r>
        <w:rPr>
          <w:rFonts w:ascii="Calibri" w:eastAsia="Calibri" w:hAnsi="Calibri" w:cs="Calibri"/>
          <w:b/>
          <w:bCs/>
          <w:i/>
          <w:iCs/>
          <w:color w:val="5A5A5A"/>
          <w:sz w:val="21"/>
          <w:szCs w:val="21"/>
        </w:rPr>
        <w:t>3.3. La Cour de justice</w:t>
      </w:r>
    </w:p>
    <w:p w14:paraId="211DE680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Conservation des données</w:t>
      </w:r>
      <w:r>
        <w:rPr>
          <w:rFonts w:ascii="Calibri" w:eastAsia="Calibri" w:hAnsi="Calibri" w:cs="Calibri"/>
          <w:color w:val="1A1A1A"/>
        </w:rPr>
        <w:t xml:space="preserve"> : invalidation de la directive 2006/24 (</w:t>
      </w:r>
      <w:r>
        <w:rPr>
          <w:rFonts w:ascii="Calibri" w:eastAsia="Calibri" w:hAnsi="Calibri" w:cs="Calibri"/>
          <w:color w:val="E91E63"/>
        </w:rPr>
        <w:t>Digital Rights</w:t>
      </w:r>
      <w:r w:rsidRPr="008C4367">
        <w:rPr>
          <w:rFonts w:ascii="Calibri" w:eastAsia="Calibri" w:hAnsi="Calibri" w:cs="Calibri"/>
          <w:color w:val="E91D62"/>
        </w:rPr>
        <w:t>, 2014</w:t>
      </w:r>
      <w:r>
        <w:rPr>
          <w:rFonts w:ascii="Calibri" w:eastAsia="Calibri" w:hAnsi="Calibri" w:cs="Calibri"/>
          <w:color w:val="1A1A1A"/>
        </w:rPr>
        <w:t>) ; interdiction de la conservation généralisée et indifférenciée (</w:t>
      </w:r>
      <w:r w:rsidRPr="008C4367">
        <w:rPr>
          <w:rFonts w:ascii="Calibri" w:eastAsia="Calibri" w:hAnsi="Calibri" w:cs="Calibri"/>
          <w:color w:val="E91D62"/>
        </w:rPr>
        <w:t>Tele2, 2016</w:t>
      </w:r>
      <w:r>
        <w:rPr>
          <w:rFonts w:ascii="Calibri" w:eastAsia="Calibri" w:hAnsi="Calibri" w:cs="Calibri"/>
          <w:color w:val="1A1A1A"/>
        </w:rPr>
        <w:t xml:space="preserve">) ; </w:t>
      </w:r>
      <w:r w:rsidRPr="008C4367">
        <w:rPr>
          <w:rFonts w:ascii="Calibri" w:eastAsia="Calibri" w:hAnsi="Calibri" w:cs="Calibri"/>
          <w:b/>
          <w:bCs/>
          <w:color w:val="1A1A1A"/>
          <w:highlight w:val="yellow"/>
        </w:rPr>
        <w:t>exceptions</w:t>
      </w:r>
      <w:r w:rsidRPr="008C4367">
        <w:rPr>
          <w:rFonts w:ascii="Calibri" w:eastAsia="Calibri" w:hAnsi="Calibri" w:cs="Calibri"/>
          <w:color w:val="1A1A1A"/>
          <w:highlight w:val="yellow"/>
        </w:rPr>
        <w:t xml:space="preserve"> — menace grave, réelle et actuelle ou prévisible pour la sécurité nationale, conservation ciblée, adresses IP, conservation rapide</w:t>
      </w:r>
      <w:r>
        <w:rPr>
          <w:rFonts w:ascii="Calibri" w:eastAsia="Calibri" w:hAnsi="Calibri" w:cs="Calibri"/>
          <w:color w:val="1A1A1A"/>
        </w:rPr>
        <w:t xml:space="preserve"> (</w:t>
      </w:r>
      <w:r>
        <w:rPr>
          <w:rFonts w:ascii="Calibri" w:eastAsia="Calibri" w:hAnsi="Calibri" w:cs="Calibri"/>
          <w:color w:val="E91E63"/>
        </w:rPr>
        <w:t>La Quadrature</w:t>
      </w:r>
      <w:r w:rsidRPr="008C4367">
        <w:rPr>
          <w:rFonts w:ascii="Calibri" w:eastAsia="Calibri" w:hAnsi="Calibri" w:cs="Calibri"/>
          <w:color w:val="E91D62"/>
        </w:rPr>
        <w:t xml:space="preserve"> du Net, 2020</w:t>
      </w:r>
      <w:r>
        <w:rPr>
          <w:rFonts w:ascii="Calibri" w:eastAsia="Calibri" w:hAnsi="Calibri" w:cs="Calibri"/>
          <w:color w:val="1A1A1A"/>
        </w:rPr>
        <w:t xml:space="preserve">) ; </w:t>
      </w:r>
      <w:r>
        <w:rPr>
          <w:rFonts w:ascii="Calibri" w:eastAsia="Calibri" w:hAnsi="Calibri" w:cs="Calibri"/>
          <w:b/>
          <w:bCs/>
          <w:color w:val="1A1A1A"/>
        </w:rPr>
        <w:t>assouplissement</w:t>
      </w:r>
      <w:r>
        <w:rPr>
          <w:rFonts w:ascii="Calibri" w:eastAsia="Calibri" w:hAnsi="Calibri" w:cs="Calibri"/>
          <w:color w:val="1A1A1A"/>
        </w:rPr>
        <w:t xml:space="preserve"> pour l’accès aux adresses IP en matière de contrefaçon en ligne (</w:t>
      </w:r>
      <w:r>
        <w:rPr>
          <w:rFonts w:ascii="Calibri" w:eastAsia="Calibri" w:hAnsi="Calibri" w:cs="Calibri"/>
          <w:color w:val="E91E63"/>
        </w:rPr>
        <w:t>CJUE [GC], 30 avril 2024, La Quadrature du Net II, C-470/21</w:t>
      </w:r>
      <w:r>
        <w:rPr>
          <w:rFonts w:ascii="Calibri" w:eastAsia="Calibri" w:hAnsi="Calibri" w:cs="Calibri"/>
          <w:color w:val="1A1A1A"/>
        </w:rPr>
        <w:t>).</w:t>
      </w:r>
    </w:p>
    <w:p w14:paraId="13208EB3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Transferts vers les États-Unis</w:t>
      </w:r>
      <w:r>
        <w:rPr>
          <w:rFonts w:ascii="Calibri" w:eastAsia="Calibri" w:hAnsi="Calibri" w:cs="Calibri"/>
          <w:color w:val="1A1A1A"/>
        </w:rPr>
        <w:t xml:space="preserve"> : invalidation de la « sphère de sécurité » (</w:t>
      </w:r>
      <w:r>
        <w:rPr>
          <w:rFonts w:ascii="Calibri" w:eastAsia="Calibri" w:hAnsi="Calibri" w:cs="Calibri"/>
          <w:color w:val="E91E63"/>
        </w:rPr>
        <w:t>CJUE [GC], 6 octobre 2015, Schrems, C-362/14</w:t>
      </w:r>
      <w:r>
        <w:rPr>
          <w:rFonts w:ascii="Calibri" w:eastAsia="Calibri" w:hAnsi="Calibri" w:cs="Calibri"/>
          <w:color w:val="1A1A1A"/>
        </w:rPr>
        <w:t>) puis du « bouclier de protection » (</w:t>
      </w:r>
      <w:r>
        <w:rPr>
          <w:rFonts w:ascii="Calibri" w:eastAsia="Calibri" w:hAnsi="Calibri" w:cs="Calibri"/>
          <w:color w:val="E91E63"/>
        </w:rPr>
        <w:t>CJUE [GC], 16 juillet 2020, Schrems II, C-311/18</w:t>
      </w:r>
      <w:r>
        <w:rPr>
          <w:rFonts w:ascii="Calibri" w:eastAsia="Calibri" w:hAnsi="Calibri" w:cs="Calibri"/>
          <w:color w:val="1A1A1A"/>
        </w:rPr>
        <w:t>), faute de limitation de la surveillance américaine et de recours effectif (</w:t>
      </w:r>
      <w:r>
        <w:rPr>
          <w:rFonts w:ascii="Calibri" w:eastAsia="Calibri" w:hAnsi="Calibri" w:cs="Calibri"/>
          <w:color w:val="1E88E5"/>
        </w:rPr>
        <w:t>art. 7, 8 et 47 CDFUE</w:t>
      </w:r>
      <w:r>
        <w:rPr>
          <w:rFonts w:ascii="Calibri" w:eastAsia="Calibri" w:hAnsi="Calibri" w:cs="Calibri"/>
          <w:color w:val="1A1A1A"/>
        </w:rPr>
        <w:t>) ; nouveau cadre (</w:t>
      </w:r>
      <w:r>
        <w:rPr>
          <w:rFonts w:ascii="Calibri" w:eastAsia="Calibri" w:hAnsi="Calibri" w:cs="Calibri"/>
          <w:color w:val="1E88E5"/>
        </w:rPr>
        <w:t>décision d’exécution (UE) 2023/1795 du 10 juillet 2023</w:t>
      </w:r>
      <w:r>
        <w:rPr>
          <w:rFonts w:ascii="Calibri" w:eastAsia="Calibri" w:hAnsi="Calibri" w:cs="Calibri"/>
          <w:color w:val="1A1A1A"/>
        </w:rPr>
        <w:t>, « Data Privacy Framework »), dont le premier recours a été rejeté (</w:t>
      </w:r>
      <w:r>
        <w:rPr>
          <w:rFonts w:ascii="Calibri" w:eastAsia="Calibri" w:hAnsi="Calibri" w:cs="Calibri"/>
          <w:color w:val="E91E63"/>
        </w:rPr>
        <w:t>Trib. UE, 3 septembre 2025, Latombe c. Commission, T-553/23</w:t>
      </w:r>
      <w:r>
        <w:rPr>
          <w:rFonts w:ascii="Calibri" w:eastAsia="Calibri" w:hAnsi="Calibri" w:cs="Calibri"/>
          <w:color w:val="1A1A1A"/>
        </w:rPr>
        <w:t>).</w:t>
      </w:r>
    </w:p>
    <w:p w14:paraId="630F2677" w14:textId="77777777" w:rsidR="00C05C80" w:rsidRDefault="00000000">
      <w:pPr>
        <w:pStyle w:val="Titre3"/>
        <w:spacing w:before="200" w:after="90"/>
      </w:pPr>
      <w:r>
        <w:rPr>
          <w:rFonts w:ascii="Calibri" w:eastAsia="Calibri" w:hAnsi="Calibri" w:cs="Calibri"/>
          <w:b/>
          <w:bCs/>
          <w:i/>
          <w:iCs/>
          <w:color w:val="5A5A5A"/>
          <w:sz w:val="21"/>
          <w:szCs w:val="21"/>
        </w:rPr>
        <w:t>3.4. Le dialogue avec le juge interne</w:t>
      </w:r>
    </w:p>
    <w:p w14:paraId="5743A155" w14:textId="0A4E4CAC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color w:val="1A1A1A"/>
        </w:rPr>
        <w:t xml:space="preserve">★ </w:t>
      </w:r>
      <w:r>
        <w:rPr>
          <w:rFonts w:ascii="Calibri" w:eastAsia="Calibri" w:hAnsi="Calibri" w:cs="Calibri"/>
          <w:color w:val="E91E63"/>
        </w:rPr>
        <w:t>CE, ass., 21 avril 2021, French Data Network</w:t>
      </w:r>
      <w:r>
        <w:rPr>
          <w:rFonts w:ascii="Calibri" w:eastAsia="Calibri" w:hAnsi="Calibri" w:cs="Calibri"/>
          <w:color w:val="1A1A1A"/>
        </w:rPr>
        <w:t xml:space="preserve">. Le Gouvernement demandait un contrôle </w:t>
      </w:r>
      <w:r>
        <w:rPr>
          <w:rFonts w:ascii="Calibri" w:eastAsia="Calibri" w:hAnsi="Calibri" w:cs="Calibri"/>
          <w:i/>
          <w:iCs/>
          <w:color w:val="1A1A1A"/>
        </w:rPr>
        <w:t>ultra vires</w:t>
      </w:r>
      <w:r>
        <w:rPr>
          <w:rFonts w:ascii="Calibri" w:eastAsia="Calibri" w:hAnsi="Calibri" w:cs="Calibri"/>
          <w:color w:val="1A1A1A"/>
        </w:rPr>
        <w:t xml:space="preserve"> de la jurisprudence de la Cour de justice : refusé. </w:t>
      </w:r>
      <w:r w:rsidRPr="008C4367">
        <w:rPr>
          <w:rFonts w:ascii="Calibri" w:eastAsia="Calibri" w:hAnsi="Calibri" w:cs="Calibri"/>
          <w:color w:val="1A1A1A"/>
          <w:highlight w:val="yellow"/>
        </w:rPr>
        <w:t xml:space="preserve">Le Conseil d’État vérifie en revanche que l’application du droit de l’Union ne prive pas de garanties effectives des </w:t>
      </w:r>
      <w:r w:rsidRPr="008C4367">
        <w:rPr>
          <w:rFonts w:ascii="Calibri" w:eastAsia="Calibri" w:hAnsi="Calibri" w:cs="Calibri"/>
          <w:b/>
          <w:bCs/>
          <w:color w:val="1A1A1A"/>
          <w:highlight w:val="yellow"/>
        </w:rPr>
        <w:t>exigences constitutionnelles sans équivalent européen</w:t>
      </w:r>
      <w:r>
        <w:rPr>
          <w:rFonts w:ascii="Calibri" w:eastAsia="Calibri" w:hAnsi="Calibri" w:cs="Calibri"/>
          <w:color w:val="1A1A1A"/>
        </w:rPr>
        <w:t xml:space="preserve"> (sauvegarde des intérêts fondamentaux de la Nation, prévention des atteintes à l’ordre public, recherche des auteurs d’infractions) ; il maintient la conservation généralisée en la fondant sur la menace contre la sécurité nationale, avec réexamen périodique, et exige un contrôle préalable indépendant pour le renseignement.</w:t>
      </w:r>
    </w:p>
    <w:p w14:paraId="58912E9E" w14:textId="77777777" w:rsidR="00C05C80" w:rsidRDefault="00000000">
      <w:pPr>
        <w:pStyle w:val="Titre3"/>
        <w:spacing w:before="200" w:after="90"/>
      </w:pPr>
      <w:r>
        <w:rPr>
          <w:rFonts w:ascii="Calibri" w:eastAsia="Calibri" w:hAnsi="Calibri" w:cs="Calibri"/>
          <w:b/>
          <w:bCs/>
          <w:i/>
          <w:iCs/>
          <w:color w:val="5A5A5A"/>
          <w:sz w:val="21"/>
          <w:szCs w:val="21"/>
        </w:rPr>
        <w:t>3.5. La Cour européenne des droits de l’homme</w:t>
      </w:r>
    </w:p>
    <w:p w14:paraId="54B63D16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color w:val="1A1A1A"/>
        </w:rPr>
        <w:t xml:space="preserve">Fichage et </w:t>
      </w:r>
      <w:r w:rsidRPr="008C4367">
        <w:rPr>
          <w:rFonts w:ascii="Calibri" w:eastAsia="Calibri" w:hAnsi="Calibri" w:cs="Calibri"/>
          <w:color w:val="0070C0"/>
        </w:rPr>
        <w:t>article 8</w:t>
      </w:r>
      <w:r>
        <w:rPr>
          <w:rFonts w:ascii="Calibri" w:eastAsia="Calibri" w:hAnsi="Calibri" w:cs="Calibri"/>
          <w:color w:val="1A1A1A"/>
        </w:rPr>
        <w:t xml:space="preserve"> : garanties effectives et contrôle indépendant (</w:t>
      </w:r>
      <w:r>
        <w:rPr>
          <w:rFonts w:ascii="Calibri" w:eastAsia="Calibri" w:hAnsi="Calibri" w:cs="Calibri"/>
          <w:color w:val="E91E63"/>
        </w:rPr>
        <w:t>CEDH, 26 mars 1987, Leander c. Suède</w:t>
      </w:r>
      <w:r>
        <w:rPr>
          <w:rFonts w:ascii="Calibri" w:eastAsia="Calibri" w:hAnsi="Calibri" w:cs="Calibri"/>
          <w:color w:val="1A1A1A"/>
        </w:rPr>
        <w:t>) ; données publiques collectées par les services de renseignement (</w:t>
      </w:r>
      <w:r>
        <w:rPr>
          <w:rFonts w:ascii="Calibri" w:eastAsia="Calibri" w:hAnsi="Calibri" w:cs="Calibri"/>
          <w:color w:val="E91E63"/>
        </w:rPr>
        <w:t>CEDH [GC], 4 mai 2000, Rotaru c. Roumanie</w:t>
      </w:r>
      <w:r>
        <w:rPr>
          <w:rFonts w:ascii="Calibri" w:eastAsia="Calibri" w:hAnsi="Calibri" w:cs="Calibri"/>
          <w:color w:val="1A1A1A"/>
        </w:rPr>
        <w:t xml:space="preserve"> — </w:t>
      </w:r>
      <w:r>
        <w:rPr>
          <w:rFonts w:ascii="Calibri" w:eastAsia="Calibri" w:hAnsi="Calibri" w:cs="Calibri"/>
          <w:b/>
          <w:bCs/>
          <w:color w:val="1A1A1A"/>
        </w:rPr>
        <w:t>4 mai</w:t>
      </w:r>
      <w:r>
        <w:rPr>
          <w:rFonts w:ascii="Calibri" w:eastAsia="Calibri" w:hAnsi="Calibri" w:cs="Calibri"/>
          <w:color w:val="1A1A1A"/>
        </w:rPr>
        <w:t xml:space="preserve">, non « 5 mai ») ; ★ </w:t>
      </w:r>
      <w:r>
        <w:rPr>
          <w:rFonts w:ascii="Calibri" w:eastAsia="Calibri" w:hAnsi="Calibri" w:cs="Calibri"/>
          <w:color w:val="E91E63"/>
        </w:rPr>
        <w:t xml:space="preserve">S. et </w:t>
      </w:r>
      <w:r w:rsidRPr="007A140E">
        <w:rPr>
          <w:rFonts w:ascii="Calibri" w:eastAsia="Calibri" w:hAnsi="Calibri" w:cs="Calibri"/>
          <w:color w:val="E91D62"/>
        </w:rPr>
        <w:t xml:space="preserve">Marper (2008) </w:t>
      </w:r>
      <w:r>
        <w:rPr>
          <w:rFonts w:ascii="Calibri" w:eastAsia="Calibri" w:hAnsi="Calibri" w:cs="Calibri"/>
          <w:color w:val="1A1A1A"/>
        </w:rPr>
        <w:t>; fichier STIC : durée de conservation et impossibilité d’effacement (</w:t>
      </w:r>
      <w:r>
        <w:rPr>
          <w:rFonts w:ascii="Calibri" w:eastAsia="Calibri" w:hAnsi="Calibri" w:cs="Calibri"/>
          <w:color w:val="E91E63"/>
        </w:rPr>
        <w:t>CEDH, 18 septembre 2014, Brunet c. France</w:t>
      </w:r>
      <w:r>
        <w:rPr>
          <w:rFonts w:ascii="Calibri" w:eastAsia="Calibri" w:hAnsi="Calibri" w:cs="Calibri"/>
          <w:color w:val="1A1A1A"/>
        </w:rPr>
        <w:t>) ; confidentialité des données de santé (</w:t>
      </w:r>
      <w:r>
        <w:rPr>
          <w:rFonts w:ascii="Calibri" w:eastAsia="Calibri" w:hAnsi="Calibri" w:cs="Calibri"/>
          <w:color w:val="E91E63"/>
        </w:rPr>
        <w:t>CEDH, 17 juillet 2008, I. c. Finlande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 xml:space="preserve">Avilkina c. </w:t>
      </w:r>
      <w:r w:rsidRPr="007A140E">
        <w:rPr>
          <w:rFonts w:ascii="Calibri" w:eastAsia="Calibri" w:hAnsi="Calibri" w:cs="Calibri"/>
          <w:color w:val="E91D62"/>
        </w:rPr>
        <w:t>Russie, 2013</w:t>
      </w:r>
      <w:r>
        <w:rPr>
          <w:rFonts w:ascii="Calibri" w:eastAsia="Calibri" w:hAnsi="Calibri" w:cs="Calibri"/>
          <w:color w:val="1A1A1A"/>
        </w:rPr>
        <w:t>).</w:t>
      </w:r>
    </w:p>
    <w:p w14:paraId="6E525F17" w14:textId="77777777" w:rsidR="00C05C80" w:rsidRDefault="00000000">
      <w:pPr>
        <w:pStyle w:val="Titre2"/>
        <w:spacing w:before="280" w:after="12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4. Données, intelligence artificielle et surveillance</w:t>
      </w:r>
    </w:p>
    <w:p w14:paraId="6916D6FC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color w:val="1A1A1A"/>
        </w:rPr>
        <w:t xml:space="preserve">★ </w:t>
      </w:r>
      <w:r w:rsidRPr="007A140E">
        <w:rPr>
          <w:rFonts w:ascii="Calibri" w:eastAsia="Calibri" w:hAnsi="Calibri" w:cs="Calibri"/>
          <w:b/>
          <w:bCs/>
          <w:color w:val="1A1A1A"/>
          <w:highlight w:val="yellow"/>
        </w:rPr>
        <w:t>Règlement (UE) 2024/1689 sur l’IA</w:t>
      </w:r>
      <w:r>
        <w:rPr>
          <w:rFonts w:ascii="Calibri" w:eastAsia="Calibri" w:hAnsi="Calibri" w:cs="Calibri"/>
          <w:color w:val="1A1A1A"/>
        </w:rPr>
        <w:t xml:space="preserve"> : approche par les risques ; </w:t>
      </w:r>
      <w:r>
        <w:rPr>
          <w:rFonts w:ascii="Calibri" w:eastAsia="Calibri" w:hAnsi="Calibri" w:cs="Calibri"/>
          <w:b/>
          <w:bCs/>
          <w:color w:val="1A1A1A"/>
        </w:rPr>
        <w:t>pratiques interdites</w:t>
      </w:r>
      <w:r>
        <w:rPr>
          <w:rFonts w:ascii="Calibri" w:eastAsia="Calibri" w:hAnsi="Calibri" w:cs="Calibri"/>
          <w:color w:val="1A1A1A"/>
        </w:rPr>
        <w:t xml:space="preserve"> depuis le 2 février 2025 (</w:t>
      </w:r>
      <w:r>
        <w:rPr>
          <w:rFonts w:ascii="Calibri" w:eastAsia="Calibri" w:hAnsi="Calibri" w:cs="Calibri"/>
          <w:color w:val="1E88E5"/>
        </w:rPr>
        <w:t>art. 5</w:t>
      </w:r>
      <w:r>
        <w:rPr>
          <w:rFonts w:ascii="Calibri" w:eastAsia="Calibri" w:hAnsi="Calibri" w:cs="Calibri"/>
          <w:color w:val="1A1A1A"/>
        </w:rPr>
        <w:t xml:space="preserve"> : notation sociale, moissonnage non ciblé d’images faciales, reconnaissance des émotions au travail et à l’école, catégorisation biométrique fondée sur des caractéristiques sensibles, identification biométrique à distance en temps réel dans l’espace public à des fins répressives sauf exceptions — victimes, menace imminente, suspects d’infractions graves) ; systèmes à </w:t>
      </w:r>
      <w:r>
        <w:rPr>
          <w:rFonts w:ascii="Calibri" w:eastAsia="Calibri" w:hAnsi="Calibri" w:cs="Calibri"/>
          <w:b/>
          <w:bCs/>
          <w:color w:val="1A1A1A"/>
        </w:rPr>
        <w:t>haut risque</w:t>
      </w:r>
      <w:r>
        <w:rPr>
          <w:rFonts w:ascii="Calibri" w:eastAsia="Calibri" w:hAnsi="Calibri" w:cs="Calibri"/>
          <w:color w:val="1A1A1A"/>
        </w:rPr>
        <w:t xml:space="preserve"> (biométrie, justice, police — annexe III) ; </w:t>
      </w:r>
      <w:r>
        <w:rPr>
          <w:rFonts w:ascii="Calibri" w:eastAsia="Calibri" w:hAnsi="Calibri" w:cs="Calibri"/>
          <w:b/>
          <w:bCs/>
          <w:color w:val="1A1A1A"/>
        </w:rPr>
        <w:t>transparence</w:t>
      </w:r>
      <w:r>
        <w:rPr>
          <w:rFonts w:ascii="Calibri" w:eastAsia="Calibri" w:hAnsi="Calibri" w:cs="Calibri"/>
          <w:color w:val="1A1A1A"/>
        </w:rPr>
        <w:t xml:space="preserve"> des hypertrucages depuis le 2 août 2026 (</w:t>
      </w:r>
      <w:r>
        <w:rPr>
          <w:rFonts w:ascii="Calibri" w:eastAsia="Calibri" w:hAnsi="Calibri" w:cs="Calibri"/>
          <w:color w:val="1E88E5"/>
        </w:rPr>
        <w:t>art. 50</w:t>
      </w:r>
      <w:r>
        <w:rPr>
          <w:rFonts w:ascii="Calibri" w:eastAsia="Calibri" w:hAnsi="Calibri" w:cs="Calibri"/>
          <w:color w:val="1A1A1A"/>
        </w:rPr>
        <w:t>).</w:t>
      </w:r>
    </w:p>
    <w:p w14:paraId="2C427576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lastRenderedPageBreak/>
        <w:t>Le juge, premier régulateur</w:t>
      </w:r>
      <w:r>
        <w:rPr>
          <w:rFonts w:ascii="Calibri" w:eastAsia="Calibri" w:hAnsi="Calibri" w:cs="Calibri"/>
          <w:color w:val="1A1A1A"/>
        </w:rPr>
        <w:t xml:space="preserve"> : annulation de la reconnaissance faciale à l’entrée de lycées — consentement non libre dans une relation d’autorité, moyens moins attentatoires disponibles (</w:t>
      </w:r>
      <w:r>
        <w:rPr>
          <w:rFonts w:ascii="Calibri" w:eastAsia="Calibri" w:hAnsi="Calibri" w:cs="Calibri"/>
          <w:color w:val="E91E63"/>
        </w:rPr>
        <w:t>TA Marseille, 27 février 2020, La Quadrature du Net, n° 1901249</w:t>
      </w:r>
      <w:r>
        <w:rPr>
          <w:rFonts w:ascii="Calibri" w:eastAsia="Calibri" w:hAnsi="Calibri" w:cs="Calibri"/>
          <w:color w:val="1A1A1A"/>
        </w:rPr>
        <w:t>) ; logiciel BriefCam sans base légale : atteinte grave et manifestement illégale, effacement ordonné (</w:t>
      </w:r>
      <w:r>
        <w:rPr>
          <w:rFonts w:ascii="Calibri" w:eastAsia="Calibri" w:hAnsi="Calibri" w:cs="Calibri"/>
          <w:color w:val="E91E63"/>
        </w:rPr>
        <w:t>TA Caen, ord., 22 novembre 2023</w:t>
      </w:r>
      <w:r>
        <w:rPr>
          <w:rFonts w:ascii="Calibri" w:eastAsia="Calibri" w:hAnsi="Calibri" w:cs="Calibri"/>
          <w:color w:val="1A1A1A"/>
        </w:rPr>
        <w:t>).</w:t>
      </w:r>
    </w:p>
    <w:p w14:paraId="0CA109A2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« Chat Control »</w:t>
      </w:r>
      <w:r>
        <w:rPr>
          <w:rFonts w:ascii="Calibri" w:eastAsia="Calibri" w:hAnsi="Calibri" w:cs="Calibri"/>
          <w:color w:val="1A1A1A"/>
        </w:rPr>
        <w:t xml:space="preserve"> : proposition de règlement de 2022 imposant des ordres de détection des contenus pédocriminels ; alertes du Comité et du Contrôleur européens de la protection des données (surveillance généralisée des communications) ; position restrictive du Parlement européen (dernier recours, utilisateurs ciblés, exclusion du chiffrement de bout en bout) ; prorogation du régime temporaire de détection </w:t>
      </w:r>
      <w:r>
        <w:rPr>
          <w:rFonts w:ascii="Calibri" w:eastAsia="Calibri" w:hAnsi="Calibri" w:cs="Calibri"/>
          <w:b/>
          <w:bCs/>
          <w:color w:val="1A1A1A"/>
        </w:rPr>
        <w:t>volontaire</w:t>
      </w:r>
      <w:r>
        <w:rPr>
          <w:rFonts w:ascii="Calibri" w:eastAsia="Calibri" w:hAnsi="Calibri" w:cs="Calibri"/>
          <w:color w:val="1A1A1A"/>
        </w:rPr>
        <w:t xml:space="preserve"> jusqu’au </w:t>
      </w:r>
      <w:r>
        <w:rPr>
          <w:rFonts w:ascii="Calibri" w:eastAsia="Calibri" w:hAnsi="Calibri" w:cs="Calibri"/>
          <w:b/>
          <w:bCs/>
          <w:color w:val="1A1A1A"/>
        </w:rPr>
        <w:t>3 avril 2028</w:t>
      </w:r>
      <w:r>
        <w:rPr>
          <w:rFonts w:ascii="Calibri" w:eastAsia="Calibri" w:hAnsi="Calibri" w:cs="Calibri"/>
          <w:color w:val="1A1A1A"/>
        </w:rPr>
        <w:t>, chiffrement de bout en bout et communications audio exclus (</w:t>
      </w:r>
      <w:r>
        <w:rPr>
          <w:rFonts w:ascii="Calibri" w:eastAsia="Calibri" w:hAnsi="Calibri" w:cs="Calibri"/>
          <w:color w:val="1E88E5"/>
        </w:rPr>
        <w:t>règlement (UE) 2026/1881 du 24 juillet 2026</w:t>
      </w:r>
      <w:r>
        <w:rPr>
          <w:rFonts w:ascii="Calibri" w:eastAsia="Calibri" w:hAnsi="Calibri" w:cs="Calibri"/>
          <w:color w:val="1A1A1A"/>
        </w:rPr>
        <w:t>) ; règlement permanent toujours en trilogue à l’automne 2026.</w:t>
      </w:r>
    </w:p>
    <w:p w14:paraId="18FB568F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Police prédictive</w:t>
      </w:r>
      <w:r>
        <w:rPr>
          <w:rFonts w:ascii="Calibri" w:eastAsia="Calibri" w:hAnsi="Calibri" w:cs="Calibri"/>
          <w:color w:val="1A1A1A"/>
        </w:rPr>
        <w:t xml:space="preserve"> : outils de prévision fondés sur des variables sociodémographiques (exemple de l’outil PAVED de la gendarmerie, relevé par le fascicule) — risque de discrimination indirecte et d’opacité ; l’</w:t>
      </w:r>
      <w:r>
        <w:rPr>
          <w:rFonts w:ascii="Calibri" w:eastAsia="Calibri" w:hAnsi="Calibri" w:cs="Calibri"/>
          <w:color w:val="1E88E5"/>
        </w:rPr>
        <w:t>art. 5</w:t>
      </w:r>
      <w:r>
        <w:rPr>
          <w:rFonts w:ascii="Calibri" w:eastAsia="Calibri" w:hAnsi="Calibri" w:cs="Calibri"/>
          <w:color w:val="1A1A1A"/>
        </w:rPr>
        <w:t xml:space="preserve"> du règlement sur l’IA interdit l’évaluation du risque qu’une personne commette une infraction </w:t>
      </w:r>
      <w:r>
        <w:rPr>
          <w:rFonts w:ascii="Calibri" w:eastAsia="Calibri" w:hAnsi="Calibri" w:cs="Calibri"/>
          <w:b/>
          <w:bCs/>
          <w:color w:val="1A1A1A"/>
        </w:rPr>
        <w:t>fondée uniquement sur son profilage</w:t>
      </w:r>
      <w:r>
        <w:rPr>
          <w:rFonts w:ascii="Calibri" w:eastAsia="Calibri" w:hAnsi="Calibri" w:cs="Calibri"/>
          <w:color w:val="1A1A1A"/>
        </w:rPr>
        <w:t>.</w:t>
      </w:r>
    </w:p>
    <w:p w14:paraId="7D346318" w14:textId="77777777" w:rsidR="00C05C80" w:rsidRDefault="00000000">
      <w:pPr>
        <w:pStyle w:val="Titre2"/>
        <w:spacing w:before="280" w:after="12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5. Débats doctrinaux et critiques</w:t>
      </w:r>
    </w:p>
    <w:p w14:paraId="5DCA83EE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Droit autonome ou vie privée « numérique » ?</w:t>
      </w:r>
      <w:r>
        <w:rPr>
          <w:rFonts w:ascii="Calibri" w:eastAsia="Calibri" w:hAnsi="Calibri" w:cs="Calibri"/>
          <w:color w:val="1A1A1A"/>
        </w:rPr>
        <w:t xml:space="preserve"> — </w:t>
      </w:r>
      <w:r w:rsidRPr="000E2199">
        <w:rPr>
          <w:rFonts w:ascii="Calibri" w:eastAsia="Calibri" w:hAnsi="Calibri" w:cs="Calibri"/>
          <w:color w:val="1A1A1A"/>
          <w:highlight w:val="yellow"/>
        </w:rPr>
        <w:t>L’Union a fait de la protection des données un droit autonome</w:t>
      </w:r>
      <w:r>
        <w:rPr>
          <w:rFonts w:ascii="Calibri" w:eastAsia="Calibri" w:hAnsi="Calibri" w:cs="Calibri"/>
          <w:color w:val="1A1A1A"/>
        </w:rPr>
        <w:t xml:space="preserve"> (</w:t>
      </w:r>
      <w:r>
        <w:rPr>
          <w:rFonts w:ascii="Calibri" w:eastAsia="Calibri" w:hAnsi="Calibri" w:cs="Calibri"/>
          <w:color w:val="1E88E5"/>
        </w:rPr>
        <w:t>art. 8 CDFUE</w:t>
      </w:r>
      <w:r>
        <w:rPr>
          <w:rFonts w:ascii="Calibri" w:eastAsia="Calibri" w:hAnsi="Calibri" w:cs="Calibri"/>
          <w:color w:val="1A1A1A"/>
        </w:rPr>
        <w:t xml:space="preserve">), parce qu’une donnée banale peut, par agrégation, révéler l’intime. Strasbourg et le Conseil constitutionnel restent sur le terrain de la vie privée. </w:t>
      </w:r>
      <w:r>
        <w:rPr>
          <w:rFonts w:ascii="Calibri" w:eastAsia="Calibri" w:hAnsi="Calibri" w:cs="Calibri"/>
          <w:b/>
          <w:bCs/>
          <w:color w:val="1A1A1A"/>
        </w:rPr>
        <w:t>L’autonomie du droit européen explique la sévérité de la Cour de justice.</w:t>
      </w:r>
    </w:p>
    <w:p w14:paraId="3D34372C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Capitalisme de surveillance</w:t>
      </w:r>
      <w:r>
        <w:rPr>
          <w:rFonts w:ascii="Calibri" w:eastAsia="Calibri" w:hAnsi="Calibri" w:cs="Calibri"/>
          <w:color w:val="1A1A1A"/>
        </w:rPr>
        <w:t xml:space="preserve"> — </w:t>
      </w:r>
      <w:r>
        <w:rPr>
          <w:rFonts w:ascii="Calibri" w:eastAsia="Calibri" w:hAnsi="Calibri" w:cs="Calibri"/>
          <w:color w:val="2E7D32"/>
        </w:rPr>
        <w:t>Shoshana Zuboff</w:t>
      </w:r>
      <w:r>
        <w:rPr>
          <w:rFonts w:ascii="Calibri" w:eastAsia="Calibri" w:hAnsi="Calibri" w:cs="Calibri"/>
          <w:color w:val="1A1A1A"/>
        </w:rPr>
        <w:t xml:space="preserve"> décrit l’extraction de « surplus comportemental » à des fins prédictives ; la </w:t>
      </w:r>
      <w:r>
        <w:rPr>
          <w:rFonts w:ascii="Calibri" w:eastAsia="Calibri" w:hAnsi="Calibri" w:cs="Calibri"/>
          <w:color w:val="2E7D32"/>
        </w:rPr>
        <w:t>doctrine</w:t>
      </w:r>
      <w:r>
        <w:rPr>
          <w:rFonts w:ascii="Calibri" w:eastAsia="Calibri" w:hAnsi="Calibri" w:cs="Calibri"/>
          <w:color w:val="1A1A1A"/>
        </w:rPr>
        <w:t xml:space="preserve"> pointe le paradoxe d’un RGPD qui protège la donnée, non l’usage : la régulation par le consentement suppose un individu informé, alors que les traitements sont opaques et massifs.</w:t>
      </w:r>
    </w:p>
    <w:p w14:paraId="17357A8A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Souveraineté et primauté</w:t>
      </w:r>
      <w:r>
        <w:rPr>
          <w:rFonts w:ascii="Calibri" w:eastAsia="Calibri" w:hAnsi="Calibri" w:cs="Calibri"/>
          <w:color w:val="1A1A1A"/>
        </w:rPr>
        <w:t xml:space="preserve"> — </w:t>
      </w:r>
      <w:r>
        <w:rPr>
          <w:rFonts w:ascii="Calibri" w:eastAsia="Calibri" w:hAnsi="Calibri" w:cs="Calibri"/>
          <w:color w:val="E91E63"/>
        </w:rPr>
        <w:t>French Data Network</w:t>
      </w:r>
      <w:r>
        <w:rPr>
          <w:rFonts w:ascii="Calibri" w:eastAsia="Calibri" w:hAnsi="Calibri" w:cs="Calibri"/>
          <w:color w:val="1A1A1A"/>
        </w:rPr>
        <w:t xml:space="preserve"> est l’exemple type de la </w:t>
      </w:r>
      <w:r>
        <w:rPr>
          <w:rFonts w:ascii="Calibri" w:eastAsia="Calibri" w:hAnsi="Calibri" w:cs="Calibri"/>
          <w:b/>
          <w:bCs/>
          <w:color w:val="1A1A1A"/>
        </w:rPr>
        <w:t>réserve d’identité constitutionnelle</w:t>
      </w:r>
      <w:r>
        <w:rPr>
          <w:rFonts w:ascii="Calibri" w:eastAsia="Calibri" w:hAnsi="Calibri" w:cs="Calibri"/>
          <w:color w:val="1A1A1A"/>
        </w:rPr>
        <w:t xml:space="preserve"> pratiquée par le juge administratif : une résistance sans rupture, qui préfère l’interprétation conciliatrice au conflit ouvert.</w:t>
      </w:r>
    </w:p>
    <w:p w14:paraId="79AAB4A8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Sécurité ou liberté : un faux dilemme ?</w:t>
      </w:r>
      <w:r>
        <w:rPr>
          <w:rFonts w:ascii="Calibri" w:eastAsia="Calibri" w:hAnsi="Calibri" w:cs="Calibri"/>
          <w:color w:val="1A1A1A"/>
        </w:rPr>
        <w:t xml:space="preserve"> — La Cour de justice ne refuse pas la conservation des données ; elle refuse la conservation </w:t>
      </w:r>
      <w:r>
        <w:rPr>
          <w:rFonts w:ascii="Calibri" w:eastAsia="Calibri" w:hAnsi="Calibri" w:cs="Calibri"/>
          <w:b/>
          <w:bCs/>
          <w:color w:val="1A1A1A"/>
        </w:rPr>
        <w:t>indifférenciée</w:t>
      </w:r>
      <w:r>
        <w:rPr>
          <w:rFonts w:ascii="Calibri" w:eastAsia="Calibri" w:hAnsi="Calibri" w:cs="Calibri"/>
          <w:color w:val="1A1A1A"/>
        </w:rPr>
        <w:t>. La question n’est pas « surveiller ou non », mais « qui, combien de temps, sous quel contrôle ».</w:t>
      </w:r>
    </w:p>
    <w:p w14:paraId="24E17789" w14:textId="77777777" w:rsidR="00C05C80" w:rsidRDefault="00000000">
      <w:pPr>
        <w:pStyle w:val="Titre2"/>
        <w:spacing w:before="280" w:after="12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6. Dispositif « Grand Oral »</w:t>
      </w:r>
    </w:p>
    <w:p w14:paraId="78B388D3" w14:textId="77777777" w:rsidR="00C05C80" w:rsidRDefault="00000000">
      <w:pPr>
        <w:pStyle w:val="Titre3"/>
        <w:spacing w:before="200" w:after="90"/>
      </w:pPr>
      <w:r>
        <w:rPr>
          <w:rFonts w:ascii="Calibri" w:eastAsia="Calibri" w:hAnsi="Calibri" w:cs="Calibri"/>
          <w:b/>
          <w:bCs/>
          <w:i/>
          <w:iCs/>
          <w:color w:val="5A5A5A"/>
          <w:sz w:val="21"/>
          <w:szCs w:val="21"/>
        </w:rPr>
        <w:t>6.1. Trois relances / questions pièges</w:t>
      </w:r>
    </w:p>
    <w:p w14:paraId="1A95007D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« Un traitement sans consentement est-il illicite ? »</w:t>
      </w:r>
      <w:r>
        <w:rPr>
          <w:rFonts w:ascii="Calibri" w:eastAsia="Calibri" w:hAnsi="Calibri" w:cs="Calibri"/>
          <w:color w:val="1A1A1A"/>
        </w:rPr>
        <w:t xml:space="preserve"> — Non : six bases légales (</w:t>
      </w:r>
      <w:r>
        <w:rPr>
          <w:rFonts w:ascii="Calibri" w:eastAsia="Calibri" w:hAnsi="Calibri" w:cs="Calibri"/>
          <w:color w:val="1E88E5"/>
        </w:rPr>
        <w:t>art. 6 RGPD</w:t>
      </w:r>
      <w:r>
        <w:rPr>
          <w:rFonts w:ascii="Calibri" w:eastAsia="Calibri" w:hAnsi="Calibri" w:cs="Calibri"/>
          <w:color w:val="1A1A1A"/>
        </w:rPr>
        <w:t xml:space="preserve">). </w:t>
      </w:r>
      <w:r w:rsidRPr="006D0330">
        <w:rPr>
          <w:rFonts w:ascii="Calibri" w:eastAsia="Calibri" w:hAnsi="Calibri" w:cs="Calibri"/>
          <w:color w:val="1A1A1A"/>
          <w:highlight w:val="yellow"/>
        </w:rPr>
        <w:t>Le consentement n’est requis que pour certains traitements</w:t>
      </w:r>
      <w:r>
        <w:rPr>
          <w:rFonts w:ascii="Calibri" w:eastAsia="Calibri" w:hAnsi="Calibri" w:cs="Calibri"/>
          <w:color w:val="1A1A1A"/>
        </w:rPr>
        <w:t xml:space="preserve"> (cookies non essentiels, données sensibles en l’absence d’autre dérogation) ; il n’est pas « libre » dans une relation d’autorité (</w:t>
      </w:r>
      <w:r>
        <w:rPr>
          <w:rFonts w:ascii="Calibri" w:eastAsia="Calibri" w:hAnsi="Calibri" w:cs="Calibri"/>
          <w:color w:val="E91E63"/>
        </w:rPr>
        <w:t>TA Marseille, 2020</w:t>
      </w:r>
      <w:r>
        <w:rPr>
          <w:rFonts w:ascii="Calibri" w:eastAsia="Calibri" w:hAnsi="Calibri" w:cs="Calibri"/>
          <w:color w:val="1A1A1A"/>
        </w:rPr>
        <w:t>).</w:t>
      </w:r>
    </w:p>
    <w:p w14:paraId="61407C39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« La France peut-elle imposer aux opérateurs de conserver toutes les données de connexion ? »</w:t>
      </w:r>
      <w:r>
        <w:rPr>
          <w:rFonts w:ascii="Calibri" w:eastAsia="Calibri" w:hAnsi="Calibri" w:cs="Calibri"/>
          <w:color w:val="1A1A1A"/>
        </w:rPr>
        <w:t xml:space="preserve"> — En principe non (</w:t>
      </w:r>
      <w:r>
        <w:rPr>
          <w:rFonts w:ascii="Calibri" w:eastAsia="Calibri" w:hAnsi="Calibri" w:cs="Calibri"/>
          <w:color w:val="E91E63"/>
        </w:rPr>
        <w:t>Tele2</w:t>
      </w:r>
      <w:r>
        <w:rPr>
          <w:rFonts w:ascii="Calibri" w:eastAsia="Calibri" w:hAnsi="Calibri" w:cs="Calibri"/>
          <w:color w:val="1A1A1A"/>
        </w:rPr>
        <w:t xml:space="preserve">, </w:t>
      </w:r>
      <w:r>
        <w:rPr>
          <w:rFonts w:ascii="Calibri" w:eastAsia="Calibri" w:hAnsi="Calibri" w:cs="Calibri"/>
          <w:color w:val="E91E63"/>
        </w:rPr>
        <w:t>La Quadrature du Net</w:t>
      </w:r>
      <w:r>
        <w:rPr>
          <w:rFonts w:ascii="Calibri" w:eastAsia="Calibri" w:hAnsi="Calibri" w:cs="Calibri"/>
          <w:color w:val="1A1A1A"/>
        </w:rPr>
        <w:t xml:space="preserve">) ; le Conseil d’État l’admet tant qu’une </w:t>
      </w:r>
      <w:r>
        <w:rPr>
          <w:rFonts w:ascii="Calibri" w:eastAsia="Calibri" w:hAnsi="Calibri" w:cs="Calibri"/>
          <w:b/>
          <w:bCs/>
          <w:color w:val="1A1A1A"/>
        </w:rPr>
        <w:t>menace grave pour la sécurité nationale</w:t>
      </w:r>
      <w:r>
        <w:rPr>
          <w:rFonts w:ascii="Calibri" w:eastAsia="Calibri" w:hAnsi="Calibri" w:cs="Calibri"/>
          <w:color w:val="1A1A1A"/>
        </w:rPr>
        <w:t xml:space="preserve"> est constatée et réexaminée (</w:t>
      </w:r>
      <w:r>
        <w:rPr>
          <w:rFonts w:ascii="Calibri" w:eastAsia="Calibri" w:hAnsi="Calibri" w:cs="Calibri"/>
          <w:color w:val="E91E63"/>
        </w:rPr>
        <w:t xml:space="preserve">French Data </w:t>
      </w:r>
      <w:r w:rsidRPr="006D0330">
        <w:rPr>
          <w:rFonts w:ascii="Calibri" w:eastAsia="Calibri" w:hAnsi="Calibri" w:cs="Calibri"/>
          <w:color w:val="E91D62"/>
        </w:rPr>
        <w:t>Network, 2021</w:t>
      </w:r>
      <w:r>
        <w:rPr>
          <w:rFonts w:ascii="Calibri" w:eastAsia="Calibri" w:hAnsi="Calibri" w:cs="Calibri"/>
          <w:color w:val="1A1A1A"/>
        </w:rPr>
        <w:t>). Pour la criminalité ordinaire, seule une conservation ciblée ou rapide est possible — sauf les adresses IP, plus largement admises depuis 2024.</w:t>
      </w:r>
    </w:p>
    <w:p w14:paraId="01EA751F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« Le droit à l’oubli est-il un droit à effacer le passé ? »</w:t>
      </w:r>
      <w:r>
        <w:rPr>
          <w:rFonts w:ascii="Calibri" w:eastAsia="Calibri" w:hAnsi="Calibri" w:cs="Calibri"/>
          <w:color w:val="1A1A1A"/>
        </w:rPr>
        <w:t xml:space="preserve"> — Non : c’est un droit au </w:t>
      </w:r>
      <w:r>
        <w:rPr>
          <w:rFonts w:ascii="Calibri" w:eastAsia="Calibri" w:hAnsi="Calibri" w:cs="Calibri"/>
          <w:b/>
          <w:bCs/>
          <w:color w:val="1A1A1A"/>
        </w:rPr>
        <w:t>déréférencement</w:t>
      </w:r>
      <w:r>
        <w:rPr>
          <w:rFonts w:ascii="Calibri" w:eastAsia="Calibri" w:hAnsi="Calibri" w:cs="Calibri"/>
          <w:color w:val="1A1A1A"/>
        </w:rPr>
        <w:t xml:space="preserve"> sur demande, soumis à une balance avec l’intérêt du public ; l’information demeure sur le site source, et la portée est européenne, non mondiale (</w:t>
      </w:r>
      <w:r>
        <w:rPr>
          <w:rFonts w:ascii="Calibri" w:eastAsia="Calibri" w:hAnsi="Calibri" w:cs="Calibri"/>
          <w:color w:val="E91E63"/>
        </w:rPr>
        <w:t xml:space="preserve">Google c. </w:t>
      </w:r>
      <w:r w:rsidRPr="006D0330">
        <w:rPr>
          <w:rFonts w:ascii="Calibri" w:eastAsia="Calibri" w:hAnsi="Calibri" w:cs="Calibri"/>
          <w:color w:val="E91D62"/>
        </w:rPr>
        <w:t>CNIL, 2019</w:t>
      </w:r>
      <w:r>
        <w:rPr>
          <w:rFonts w:ascii="Calibri" w:eastAsia="Calibri" w:hAnsi="Calibri" w:cs="Calibri"/>
          <w:color w:val="1A1A1A"/>
        </w:rPr>
        <w:t>).</w:t>
      </w:r>
    </w:p>
    <w:p w14:paraId="1A9BD4A5" w14:textId="77777777" w:rsidR="00C05C80" w:rsidRDefault="00000000">
      <w:pPr>
        <w:pStyle w:val="Titre3"/>
        <w:spacing w:before="200" w:after="90"/>
      </w:pPr>
      <w:r>
        <w:rPr>
          <w:rFonts w:ascii="Calibri" w:eastAsia="Calibri" w:hAnsi="Calibri" w:cs="Calibri"/>
          <w:b/>
          <w:bCs/>
          <w:i/>
          <w:iCs/>
          <w:color w:val="5A5A5A"/>
          <w:sz w:val="21"/>
          <w:szCs w:val="21"/>
        </w:rPr>
        <w:t>6.2. Sujets d’exposé rattachables</w:t>
      </w:r>
    </w:p>
    <w:p w14:paraId="67398220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color w:val="1A1A1A"/>
        </w:rPr>
        <w:t xml:space="preserve">Systèmes biométriques et protection des droits humains (sujet « Pour s’entraîner ») — Données personnelles et sécurité — Le droit à l’oubli — La CNIL — L’intelligence artificielle et les droits fondamentaux — La surveillance de masse — Le consentement en droit des données — Commentaire : </w:t>
      </w:r>
      <w:r>
        <w:rPr>
          <w:rFonts w:ascii="Calibri" w:eastAsia="Calibri" w:hAnsi="Calibri" w:cs="Calibri"/>
          <w:color w:val="E91E63"/>
        </w:rPr>
        <w:t>French Data Network</w:t>
      </w:r>
      <w:r>
        <w:rPr>
          <w:rFonts w:ascii="Calibri" w:eastAsia="Calibri" w:hAnsi="Calibri" w:cs="Calibri"/>
          <w:color w:val="1A1A1A"/>
        </w:rPr>
        <w:t xml:space="preserve"> — Commentaire : </w:t>
      </w:r>
      <w:r>
        <w:rPr>
          <w:rFonts w:ascii="Calibri" w:eastAsia="Calibri" w:hAnsi="Calibri" w:cs="Calibri"/>
          <w:color w:val="E91E63"/>
        </w:rPr>
        <w:t>Dun &amp; Bradstreet Austria</w:t>
      </w:r>
      <w:r>
        <w:rPr>
          <w:rFonts w:ascii="Calibri" w:eastAsia="Calibri" w:hAnsi="Calibri" w:cs="Calibri"/>
          <w:color w:val="1A1A1A"/>
        </w:rPr>
        <w:t>.</w:t>
      </w:r>
    </w:p>
    <w:p w14:paraId="244201B5" w14:textId="77777777" w:rsidR="00C05C80" w:rsidRDefault="00000000">
      <w:pPr>
        <w:pStyle w:val="Titre3"/>
        <w:spacing w:before="200" w:after="90"/>
      </w:pPr>
      <w:r>
        <w:rPr>
          <w:rFonts w:ascii="Calibri" w:eastAsia="Calibri" w:hAnsi="Calibri" w:cs="Calibri"/>
          <w:b/>
          <w:bCs/>
          <w:i/>
          <w:iCs/>
          <w:color w:val="5A5A5A"/>
          <w:sz w:val="21"/>
          <w:szCs w:val="21"/>
        </w:rPr>
        <w:t>6.3. Angles morts — en question / réponse</w:t>
      </w:r>
    </w:p>
    <w:p w14:paraId="13484ECE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Q. Quel scandale est à l’origine de la loi de 1978 ?</w:t>
      </w:r>
      <w:r>
        <w:rPr>
          <w:rFonts w:ascii="Calibri" w:eastAsia="Calibri" w:hAnsi="Calibri" w:cs="Calibri"/>
          <w:color w:val="1A1A1A"/>
        </w:rPr>
        <w:t xml:space="preserve"> — Le projet </w:t>
      </w:r>
      <w:r>
        <w:rPr>
          <w:rFonts w:ascii="Calibri" w:eastAsia="Calibri" w:hAnsi="Calibri" w:cs="Calibri"/>
          <w:b/>
          <w:bCs/>
          <w:color w:val="1A1A1A"/>
        </w:rPr>
        <w:t>SAFARI</w:t>
      </w:r>
      <w:r>
        <w:rPr>
          <w:rFonts w:ascii="Calibri" w:eastAsia="Calibri" w:hAnsi="Calibri" w:cs="Calibri"/>
          <w:color w:val="1A1A1A"/>
        </w:rPr>
        <w:t xml:space="preserve"> (« Système automatisé pour les fichiers administratifs et le répertoire des individus »), révélé par </w:t>
      </w:r>
      <w:r>
        <w:rPr>
          <w:rFonts w:ascii="Calibri" w:eastAsia="Calibri" w:hAnsi="Calibri" w:cs="Calibri"/>
          <w:i/>
          <w:iCs/>
          <w:color w:val="1A1A1A"/>
        </w:rPr>
        <w:t>Le Monde</w:t>
      </w:r>
      <w:r>
        <w:rPr>
          <w:rFonts w:ascii="Calibri" w:eastAsia="Calibri" w:hAnsi="Calibri" w:cs="Calibri"/>
          <w:color w:val="1A1A1A"/>
        </w:rPr>
        <w:t xml:space="preserve"> le 21 mars 1974.</w:t>
      </w:r>
    </w:p>
    <w:p w14:paraId="5803E457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lastRenderedPageBreak/>
        <w:t>Q. Une adresse IP est-elle une donnée personnelle ?</w:t>
      </w:r>
      <w:r>
        <w:rPr>
          <w:rFonts w:ascii="Calibri" w:eastAsia="Calibri" w:hAnsi="Calibri" w:cs="Calibri"/>
          <w:color w:val="1A1A1A"/>
        </w:rPr>
        <w:t xml:space="preserve"> — Oui (</w:t>
      </w:r>
      <w:r>
        <w:rPr>
          <w:rFonts w:ascii="Calibri" w:eastAsia="Calibri" w:hAnsi="Calibri" w:cs="Calibri"/>
          <w:color w:val="E91E63"/>
        </w:rPr>
        <w:t>Cass. 1re civ., 3 novembre 2016</w:t>
      </w:r>
      <w:r>
        <w:rPr>
          <w:rFonts w:ascii="Calibri" w:eastAsia="Calibri" w:hAnsi="Calibri" w:cs="Calibri"/>
          <w:color w:val="1A1A1A"/>
        </w:rPr>
        <w:t xml:space="preserve"> ; jurisprudence de la Cour de justice).</w:t>
      </w:r>
    </w:p>
    <w:p w14:paraId="285BBD97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Q. Combien de membres compte la CNIL ?</w:t>
      </w:r>
      <w:r>
        <w:rPr>
          <w:rFonts w:ascii="Calibri" w:eastAsia="Calibri" w:hAnsi="Calibri" w:cs="Calibri"/>
          <w:color w:val="1A1A1A"/>
        </w:rPr>
        <w:t xml:space="preserve"> — </w:t>
      </w:r>
      <w:r>
        <w:rPr>
          <w:rFonts w:ascii="Calibri" w:eastAsia="Calibri" w:hAnsi="Calibri" w:cs="Calibri"/>
          <w:b/>
          <w:bCs/>
          <w:color w:val="1A1A1A"/>
        </w:rPr>
        <w:t>Dix-huit</w:t>
      </w:r>
      <w:r>
        <w:rPr>
          <w:rFonts w:ascii="Calibri" w:eastAsia="Calibri" w:hAnsi="Calibri" w:cs="Calibri"/>
          <w:color w:val="1A1A1A"/>
        </w:rPr>
        <w:t>, pour un mandat de cinq ans ; la formation restreinte prononce les sanctions.</w:t>
      </w:r>
    </w:p>
    <w:p w14:paraId="6285177B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Q. Quel est le plafond des amendes du RGPD ?</w:t>
      </w:r>
      <w:r>
        <w:rPr>
          <w:rFonts w:ascii="Calibri" w:eastAsia="Calibri" w:hAnsi="Calibri" w:cs="Calibri"/>
          <w:color w:val="1A1A1A"/>
        </w:rPr>
        <w:t xml:space="preserve"> — </w:t>
      </w:r>
      <w:r>
        <w:rPr>
          <w:rFonts w:ascii="Calibri" w:eastAsia="Calibri" w:hAnsi="Calibri" w:cs="Calibri"/>
          <w:b/>
          <w:bCs/>
          <w:color w:val="1A1A1A"/>
        </w:rPr>
        <w:t>20 millions d’euros ou 4 %</w:t>
      </w:r>
      <w:r>
        <w:rPr>
          <w:rFonts w:ascii="Calibri" w:eastAsia="Calibri" w:hAnsi="Calibri" w:cs="Calibri"/>
          <w:color w:val="1A1A1A"/>
        </w:rPr>
        <w:t xml:space="preserve"> du chiffre d’affaires annuel mondial, le montant le plus élevé étant retenu (</w:t>
      </w:r>
      <w:r>
        <w:rPr>
          <w:rFonts w:ascii="Calibri" w:eastAsia="Calibri" w:hAnsi="Calibri" w:cs="Calibri"/>
          <w:color w:val="1E88E5"/>
        </w:rPr>
        <w:t>art. 83.5</w:t>
      </w:r>
      <w:r>
        <w:rPr>
          <w:rFonts w:ascii="Calibri" w:eastAsia="Calibri" w:hAnsi="Calibri" w:cs="Calibri"/>
          <w:color w:val="1A1A1A"/>
        </w:rPr>
        <w:t>).</w:t>
      </w:r>
    </w:p>
    <w:p w14:paraId="26E2AA6B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Q. Quelle est la Convention 108 ?</w:t>
      </w:r>
      <w:r>
        <w:rPr>
          <w:rFonts w:ascii="Calibri" w:eastAsia="Calibri" w:hAnsi="Calibri" w:cs="Calibri"/>
          <w:color w:val="1A1A1A"/>
        </w:rPr>
        <w:t xml:space="preserve"> — La Convention du Conseil de l’Europe du 28 janvier 1981, premier instrument international contraignant en matière de données, modernisée par le Protocole STCE n° 223.</w:t>
      </w:r>
    </w:p>
    <w:p w14:paraId="60B09174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 xml:space="preserve">Q. Qu’a jugé </w:t>
      </w:r>
      <w:r w:rsidRPr="006D0330">
        <w:rPr>
          <w:rFonts w:ascii="Calibri" w:eastAsia="Calibri" w:hAnsi="Calibri" w:cs="Calibri"/>
          <w:b/>
          <w:bCs/>
          <w:color w:val="E91D62"/>
        </w:rPr>
        <w:t xml:space="preserve">Schrems II </w:t>
      </w:r>
      <w:r>
        <w:rPr>
          <w:rFonts w:ascii="Calibri" w:eastAsia="Calibri" w:hAnsi="Calibri" w:cs="Calibri"/>
          <w:b/>
          <w:bCs/>
          <w:color w:val="1A1A1A"/>
        </w:rPr>
        <w:t>?</w:t>
      </w:r>
      <w:r>
        <w:rPr>
          <w:rFonts w:ascii="Calibri" w:eastAsia="Calibri" w:hAnsi="Calibri" w:cs="Calibri"/>
          <w:color w:val="1A1A1A"/>
        </w:rPr>
        <w:t xml:space="preserve"> — L’invalidation du « Privacy Shield » (16 juillet 2020), les clauses contractuelles types restant valables sous vérification au cas par cas.</w:t>
      </w:r>
    </w:p>
    <w:p w14:paraId="70C8ED06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Q. Le règlement sur l’IA est-il pleinement applicable ?</w:t>
      </w:r>
      <w:r>
        <w:rPr>
          <w:rFonts w:ascii="Calibri" w:eastAsia="Calibri" w:hAnsi="Calibri" w:cs="Calibri"/>
          <w:color w:val="1A1A1A"/>
        </w:rPr>
        <w:t xml:space="preserve"> — Par étapes : interdictions au 2 février 2025, obligations des modèles d’IA à usage général en août 2025, transparence de l’</w:t>
      </w:r>
      <w:r>
        <w:rPr>
          <w:rFonts w:ascii="Calibri" w:eastAsia="Calibri" w:hAnsi="Calibri" w:cs="Calibri"/>
          <w:color w:val="1E88E5"/>
        </w:rPr>
        <w:t>art. 50</w:t>
      </w:r>
      <w:r>
        <w:rPr>
          <w:rFonts w:ascii="Calibri" w:eastAsia="Calibri" w:hAnsi="Calibri" w:cs="Calibri"/>
          <w:color w:val="1A1A1A"/>
        </w:rPr>
        <w:t xml:space="preserve"> au 2 août 2026, systèmes à haut risque ensuite.</w:t>
      </w:r>
    </w:p>
    <w:p w14:paraId="6739EFDF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Q. Qu’est-ce que la directive « police-justice » ?</w:t>
      </w:r>
      <w:r>
        <w:rPr>
          <w:rFonts w:ascii="Calibri" w:eastAsia="Calibri" w:hAnsi="Calibri" w:cs="Calibri"/>
          <w:color w:val="1A1A1A"/>
        </w:rPr>
        <w:t xml:space="preserve"> — La </w:t>
      </w:r>
      <w:r>
        <w:rPr>
          <w:rFonts w:ascii="Calibri" w:eastAsia="Calibri" w:hAnsi="Calibri" w:cs="Calibri"/>
          <w:color w:val="1E88E5"/>
        </w:rPr>
        <w:t>directive (UE) 2016/680</w:t>
      </w:r>
      <w:r>
        <w:rPr>
          <w:rFonts w:ascii="Calibri" w:eastAsia="Calibri" w:hAnsi="Calibri" w:cs="Calibri"/>
          <w:color w:val="1A1A1A"/>
        </w:rPr>
        <w:t>, qui régit les traitements des autorités compétentes à des fins de prévention et de détection des infractions pénales ; elle échappe au RGPD.</w:t>
      </w:r>
    </w:p>
    <w:p w14:paraId="34B41F0B" w14:textId="77777777" w:rsidR="00C05C80" w:rsidRDefault="00000000">
      <w:r>
        <w:br w:type="page"/>
      </w:r>
    </w:p>
    <w:p w14:paraId="7D17CB73" w14:textId="77777777" w:rsidR="00C05C80" w:rsidRDefault="00000000">
      <w:pPr>
        <w:pStyle w:val="Titre1"/>
        <w:pBdr>
          <w:bottom w:val="single" w:sz="12" w:space="6" w:color="8C1C2B"/>
        </w:pBdr>
        <w:spacing w:before="240" w:after="200"/>
      </w:pPr>
      <w:r>
        <w:rPr>
          <w:rFonts w:ascii="Calibri" w:eastAsia="Calibri" w:hAnsi="Calibri" w:cs="Calibri"/>
          <w:b/>
          <w:bCs/>
          <w:color w:val="8C1C2B"/>
          <w:sz w:val="30"/>
          <w:szCs w:val="30"/>
        </w:rPr>
        <w:lastRenderedPageBreak/>
        <w:t>ANNEXE — COMPLÉMENTS À LA CHRONOLOGIE ET À L’INDEX (Partie VI-C)</w:t>
      </w:r>
    </w:p>
    <w:p w14:paraId="14E4EE8B" w14:textId="77777777" w:rsidR="00C05C80" w:rsidRDefault="00000000">
      <w:pPr>
        <w:pStyle w:val="Titre2"/>
        <w:spacing w:before="280" w:after="12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I. Ajouts à la chronologie transversale</w:t>
      </w:r>
    </w:p>
    <w:p w14:paraId="2DA01666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1890</w:t>
      </w:r>
      <w:r>
        <w:rPr>
          <w:rFonts w:ascii="Calibri" w:eastAsia="Calibri" w:hAnsi="Calibri" w:cs="Calibri"/>
          <w:color w:val="1A1A1A"/>
        </w:rPr>
        <w:t xml:space="preserve"> </w:t>
      </w:r>
      <w:r>
        <w:rPr>
          <w:rFonts w:ascii="Calibri" w:eastAsia="Calibri" w:hAnsi="Calibri" w:cs="Calibri"/>
          <w:color w:val="2E7D32"/>
        </w:rPr>
        <w:t>Warren et Brandeis, « The Right to Privacy »</w:t>
      </w:r>
      <w:r>
        <w:rPr>
          <w:rFonts w:ascii="Calibri" w:eastAsia="Calibri" w:hAnsi="Calibri" w:cs="Calibri"/>
          <w:color w:val="1A1A1A"/>
        </w:rPr>
        <w:t xml:space="preserve"> — </w:t>
      </w:r>
      <w:r>
        <w:rPr>
          <w:rFonts w:ascii="Calibri" w:eastAsia="Calibri" w:hAnsi="Calibri" w:cs="Calibri"/>
          <w:b/>
          <w:bCs/>
          <w:color w:val="1A1A1A"/>
        </w:rPr>
        <w:t>1970</w:t>
      </w:r>
      <w:r>
        <w:rPr>
          <w:rFonts w:ascii="Calibri" w:eastAsia="Calibri" w:hAnsi="Calibri" w:cs="Calibri"/>
          <w:color w:val="1A1A1A"/>
        </w:rPr>
        <w:t xml:space="preserve"> </w:t>
      </w:r>
      <w:r>
        <w:rPr>
          <w:rFonts w:ascii="Calibri" w:eastAsia="Calibri" w:hAnsi="Calibri" w:cs="Calibri"/>
          <w:color w:val="1E88E5"/>
        </w:rPr>
        <w:t>loi du 17 juillet</w:t>
      </w:r>
      <w:r>
        <w:rPr>
          <w:rFonts w:ascii="Calibri" w:eastAsia="Calibri" w:hAnsi="Calibri" w:cs="Calibri"/>
          <w:color w:val="1A1A1A"/>
        </w:rPr>
        <w:t xml:space="preserve"> (art. 9 C. civ.) — </w:t>
      </w:r>
      <w:r>
        <w:rPr>
          <w:rFonts w:ascii="Calibri" w:eastAsia="Calibri" w:hAnsi="Calibri" w:cs="Calibri"/>
          <w:b/>
          <w:bCs/>
          <w:color w:val="1A1A1A"/>
        </w:rPr>
        <w:t>1974</w:t>
      </w:r>
      <w:r>
        <w:rPr>
          <w:rFonts w:ascii="Calibri" w:eastAsia="Calibri" w:hAnsi="Calibri" w:cs="Calibri"/>
          <w:color w:val="1A1A1A"/>
        </w:rPr>
        <w:t xml:space="preserve"> affaire SAFARI — </w:t>
      </w:r>
      <w:r>
        <w:rPr>
          <w:rFonts w:ascii="Calibri" w:eastAsia="Calibri" w:hAnsi="Calibri" w:cs="Calibri"/>
          <w:b/>
          <w:bCs/>
          <w:color w:val="1A1A1A"/>
        </w:rPr>
        <w:t>1977</w:t>
      </w:r>
      <w:r>
        <w:rPr>
          <w:rFonts w:ascii="Calibri" w:eastAsia="Calibri" w:hAnsi="Calibri" w:cs="Calibri"/>
          <w:color w:val="1A1A1A"/>
        </w:rPr>
        <w:t xml:space="preserve"> </w:t>
      </w:r>
      <w:r>
        <w:rPr>
          <w:rFonts w:ascii="Calibri" w:eastAsia="Calibri" w:hAnsi="Calibri" w:cs="Calibri"/>
          <w:color w:val="E91E63"/>
        </w:rPr>
        <w:t>Cons. const., 76-75 DC</w:t>
      </w:r>
      <w:r>
        <w:rPr>
          <w:rFonts w:ascii="Calibri" w:eastAsia="Calibri" w:hAnsi="Calibri" w:cs="Calibri"/>
          <w:color w:val="1A1A1A"/>
        </w:rPr>
        <w:t xml:space="preserve"> — </w:t>
      </w:r>
      <w:r>
        <w:rPr>
          <w:rFonts w:ascii="Calibri" w:eastAsia="Calibri" w:hAnsi="Calibri" w:cs="Calibri"/>
          <w:b/>
          <w:bCs/>
          <w:color w:val="1A1A1A"/>
        </w:rPr>
        <w:t>1978</w:t>
      </w:r>
      <w:r>
        <w:rPr>
          <w:rFonts w:ascii="Calibri" w:eastAsia="Calibri" w:hAnsi="Calibri" w:cs="Calibri"/>
          <w:color w:val="1A1A1A"/>
        </w:rPr>
        <w:t xml:space="preserve"> </w:t>
      </w:r>
      <w:r>
        <w:rPr>
          <w:rFonts w:ascii="Calibri" w:eastAsia="Calibri" w:hAnsi="Calibri" w:cs="Calibri"/>
          <w:color w:val="1E88E5"/>
        </w:rPr>
        <w:t>loi du 6 janvier</w:t>
      </w:r>
      <w:r>
        <w:rPr>
          <w:rFonts w:ascii="Calibri" w:eastAsia="Calibri" w:hAnsi="Calibri" w:cs="Calibri"/>
          <w:color w:val="1A1A1A"/>
        </w:rPr>
        <w:t xml:space="preserve"> (CNIL) ; </w:t>
      </w:r>
      <w:r>
        <w:rPr>
          <w:rFonts w:ascii="Calibri" w:eastAsia="Calibri" w:hAnsi="Calibri" w:cs="Calibri"/>
          <w:color w:val="E91E63"/>
        </w:rPr>
        <w:t>CEDH, Klass c. Allemagne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CE, ass., GISTI</w:t>
      </w:r>
      <w:r>
        <w:rPr>
          <w:rFonts w:ascii="Calibri" w:eastAsia="Calibri" w:hAnsi="Calibri" w:cs="Calibri"/>
          <w:color w:val="1A1A1A"/>
        </w:rPr>
        <w:t xml:space="preserve"> — </w:t>
      </w:r>
      <w:r>
        <w:rPr>
          <w:rFonts w:ascii="Calibri" w:eastAsia="Calibri" w:hAnsi="Calibri" w:cs="Calibri"/>
          <w:b/>
          <w:bCs/>
          <w:color w:val="1A1A1A"/>
        </w:rPr>
        <w:t>1979</w:t>
      </w:r>
      <w:r>
        <w:rPr>
          <w:rFonts w:ascii="Calibri" w:eastAsia="Calibri" w:hAnsi="Calibri" w:cs="Calibri"/>
          <w:color w:val="1A1A1A"/>
        </w:rPr>
        <w:t xml:space="preserve"> </w:t>
      </w:r>
      <w:r>
        <w:rPr>
          <w:rFonts w:ascii="Calibri" w:eastAsia="Calibri" w:hAnsi="Calibri" w:cs="Calibri"/>
          <w:color w:val="E91E63"/>
        </w:rPr>
        <w:t>CEDH, Marckx c. Belgique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CEDH, Airey c. Irlande</w:t>
      </w:r>
      <w:r>
        <w:rPr>
          <w:rFonts w:ascii="Calibri" w:eastAsia="Calibri" w:hAnsi="Calibri" w:cs="Calibri"/>
          <w:color w:val="1A1A1A"/>
        </w:rPr>
        <w:t xml:space="preserve"> — </w:t>
      </w:r>
      <w:r>
        <w:rPr>
          <w:rFonts w:ascii="Calibri" w:eastAsia="Calibri" w:hAnsi="Calibri" w:cs="Calibri"/>
          <w:b/>
          <w:bCs/>
          <w:color w:val="1A1A1A"/>
        </w:rPr>
        <w:t>1981</w:t>
      </w:r>
      <w:r>
        <w:rPr>
          <w:rFonts w:ascii="Calibri" w:eastAsia="Calibri" w:hAnsi="Calibri" w:cs="Calibri"/>
          <w:color w:val="1A1A1A"/>
        </w:rPr>
        <w:t xml:space="preserve"> </w:t>
      </w:r>
      <w:r>
        <w:rPr>
          <w:rFonts w:ascii="Calibri" w:eastAsia="Calibri" w:hAnsi="Calibri" w:cs="Calibri"/>
          <w:color w:val="1E88E5"/>
        </w:rPr>
        <w:t>Convention 108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CEDH, Dudgeon c. Royaume-Uni</w:t>
      </w:r>
      <w:r>
        <w:rPr>
          <w:rFonts w:ascii="Calibri" w:eastAsia="Calibri" w:hAnsi="Calibri" w:cs="Calibri"/>
          <w:color w:val="1A1A1A"/>
        </w:rPr>
        <w:t xml:space="preserve"> — </w:t>
      </w:r>
      <w:r>
        <w:rPr>
          <w:rFonts w:ascii="Calibri" w:eastAsia="Calibri" w:hAnsi="Calibri" w:cs="Calibri"/>
          <w:b/>
          <w:bCs/>
          <w:color w:val="1A1A1A"/>
        </w:rPr>
        <w:t>1983</w:t>
      </w:r>
      <w:r>
        <w:rPr>
          <w:rFonts w:ascii="Calibri" w:eastAsia="Calibri" w:hAnsi="Calibri" w:cs="Calibri"/>
          <w:color w:val="1A1A1A"/>
        </w:rPr>
        <w:t xml:space="preserve"> </w:t>
      </w:r>
      <w:r>
        <w:rPr>
          <w:rFonts w:ascii="Calibri" w:eastAsia="Calibri" w:hAnsi="Calibri" w:cs="Calibri"/>
          <w:color w:val="E91E63"/>
        </w:rPr>
        <w:t>Cons. const., 83-164 DC</w:t>
      </w:r>
      <w:r>
        <w:rPr>
          <w:rFonts w:ascii="Calibri" w:eastAsia="Calibri" w:hAnsi="Calibri" w:cs="Calibri"/>
          <w:color w:val="1A1A1A"/>
        </w:rPr>
        <w:t xml:space="preserve"> — </w:t>
      </w:r>
      <w:r>
        <w:rPr>
          <w:rFonts w:ascii="Calibri" w:eastAsia="Calibri" w:hAnsi="Calibri" w:cs="Calibri"/>
          <w:b/>
          <w:bCs/>
          <w:color w:val="1A1A1A"/>
        </w:rPr>
        <w:t>1985</w:t>
      </w:r>
      <w:r>
        <w:rPr>
          <w:rFonts w:ascii="Calibri" w:eastAsia="Calibri" w:hAnsi="Calibri" w:cs="Calibri"/>
          <w:color w:val="1A1A1A"/>
        </w:rPr>
        <w:t xml:space="preserve"> </w:t>
      </w:r>
      <w:r>
        <w:rPr>
          <w:rFonts w:ascii="Calibri" w:eastAsia="Calibri" w:hAnsi="Calibri" w:cs="Calibri"/>
          <w:color w:val="E91E63"/>
        </w:rPr>
        <w:t>CEDH, Abdulaziz</w:t>
      </w:r>
      <w:r>
        <w:rPr>
          <w:rFonts w:ascii="Calibri" w:eastAsia="Calibri" w:hAnsi="Calibri" w:cs="Calibri"/>
          <w:color w:val="1A1A1A"/>
        </w:rPr>
        <w:t xml:space="preserve"> — </w:t>
      </w:r>
      <w:r>
        <w:rPr>
          <w:rFonts w:ascii="Calibri" w:eastAsia="Calibri" w:hAnsi="Calibri" w:cs="Calibri"/>
          <w:b/>
          <w:bCs/>
          <w:color w:val="1A1A1A"/>
        </w:rPr>
        <w:t>1986</w:t>
      </w:r>
      <w:r>
        <w:rPr>
          <w:rFonts w:ascii="Calibri" w:eastAsia="Calibri" w:hAnsi="Calibri" w:cs="Calibri"/>
          <w:color w:val="1A1A1A"/>
        </w:rPr>
        <w:t xml:space="preserve"> </w:t>
      </w:r>
      <w:r>
        <w:rPr>
          <w:rFonts w:ascii="Calibri" w:eastAsia="Calibri" w:hAnsi="Calibri" w:cs="Calibri"/>
          <w:color w:val="E91E63"/>
        </w:rPr>
        <w:t>CEDH, Johnston c. Irlande</w:t>
      </w:r>
      <w:r>
        <w:rPr>
          <w:rFonts w:ascii="Calibri" w:eastAsia="Calibri" w:hAnsi="Calibri" w:cs="Calibri"/>
          <w:color w:val="1A1A1A"/>
        </w:rPr>
        <w:t xml:space="preserve"> — </w:t>
      </w:r>
      <w:r>
        <w:rPr>
          <w:rFonts w:ascii="Calibri" w:eastAsia="Calibri" w:hAnsi="Calibri" w:cs="Calibri"/>
          <w:b/>
          <w:bCs/>
          <w:color w:val="1A1A1A"/>
        </w:rPr>
        <w:t>1987</w:t>
      </w:r>
      <w:r>
        <w:rPr>
          <w:rFonts w:ascii="Calibri" w:eastAsia="Calibri" w:hAnsi="Calibri" w:cs="Calibri"/>
          <w:color w:val="1A1A1A"/>
        </w:rPr>
        <w:t xml:space="preserve"> </w:t>
      </w:r>
      <w:r>
        <w:rPr>
          <w:rFonts w:ascii="Calibri" w:eastAsia="Calibri" w:hAnsi="Calibri" w:cs="Calibri"/>
          <w:color w:val="E91E63"/>
        </w:rPr>
        <w:t>CEDH, Leander c. Suède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CEDH, F. c. Suisse</w:t>
      </w:r>
      <w:r>
        <w:rPr>
          <w:rFonts w:ascii="Calibri" w:eastAsia="Calibri" w:hAnsi="Calibri" w:cs="Calibri"/>
          <w:color w:val="1A1A1A"/>
        </w:rPr>
        <w:t xml:space="preserve"> — </w:t>
      </w:r>
      <w:r>
        <w:rPr>
          <w:rFonts w:ascii="Calibri" w:eastAsia="Calibri" w:hAnsi="Calibri" w:cs="Calibri"/>
          <w:b/>
          <w:bCs/>
          <w:color w:val="1A1A1A"/>
        </w:rPr>
        <w:t>1988</w:t>
      </w:r>
      <w:r>
        <w:rPr>
          <w:rFonts w:ascii="Calibri" w:eastAsia="Calibri" w:hAnsi="Calibri" w:cs="Calibri"/>
          <w:color w:val="1A1A1A"/>
        </w:rPr>
        <w:t xml:space="preserve"> </w:t>
      </w:r>
      <w:r>
        <w:rPr>
          <w:rFonts w:ascii="Calibri" w:eastAsia="Calibri" w:hAnsi="Calibri" w:cs="Calibri"/>
          <w:color w:val="E91E63"/>
        </w:rPr>
        <w:t>CEDH, Olsson c. Suède</w:t>
      </w:r>
      <w:r>
        <w:rPr>
          <w:rFonts w:ascii="Calibri" w:eastAsia="Calibri" w:hAnsi="Calibri" w:cs="Calibri"/>
          <w:color w:val="1A1A1A"/>
        </w:rPr>
        <w:t xml:space="preserve"> — </w:t>
      </w:r>
      <w:r>
        <w:rPr>
          <w:rFonts w:ascii="Calibri" w:eastAsia="Calibri" w:hAnsi="Calibri" w:cs="Calibri"/>
          <w:b/>
          <w:bCs/>
          <w:color w:val="1A1A1A"/>
        </w:rPr>
        <w:t>1989</w:t>
      </w:r>
      <w:r>
        <w:rPr>
          <w:rFonts w:ascii="Calibri" w:eastAsia="Calibri" w:hAnsi="Calibri" w:cs="Calibri"/>
          <w:color w:val="1A1A1A"/>
        </w:rPr>
        <w:t xml:space="preserve"> </w:t>
      </w:r>
      <w:r>
        <w:rPr>
          <w:rFonts w:ascii="Calibri" w:eastAsia="Calibri" w:hAnsi="Calibri" w:cs="Calibri"/>
          <w:color w:val="E91E63"/>
        </w:rPr>
        <w:t>CEDH, Gaskin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1E88E5"/>
        </w:rPr>
        <w:t>CIDE</w:t>
      </w:r>
      <w:r>
        <w:rPr>
          <w:rFonts w:ascii="Calibri" w:eastAsia="Calibri" w:hAnsi="Calibri" w:cs="Calibri"/>
          <w:color w:val="1A1A1A"/>
        </w:rPr>
        <w:t xml:space="preserve"> — </w:t>
      </w:r>
      <w:r>
        <w:rPr>
          <w:rFonts w:ascii="Calibri" w:eastAsia="Calibri" w:hAnsi="Calibri" w:cs="Calibri"/>
          <w:b/>
          <w:bCs/>
          <w:color w:val="1A1A1A"/>
        </w:rPr>
        <w:t>1990</w:t>
      </w:r>
      <w:r>
        <w:rPr>
          <w:rFonts w:ascii="Calibri" w:eastAsia="Calibri" w:hAnsi="Calibri" w:cs="Calibri"/>
          <w:color w:val="1A1A1A"/>
        </w:rPr>
        <w:t xml:space="preserve"> </w:t>
      </w:r>
      <w:r>
        <w:rPr>
          <w:rFonts w:ascii="Calibri" w:eastAsia="Calibri" w:hAnsi="Calibri" w:cs="Calibri"/>
          <w:color w:val="E91E63"/>
        </w:rPr>
        <w:t>CEDH, Kruslin et Huvig c. France</w:t>
      </w:r>
      <w:r>
        <w:rPr>
          <w:rFonts w:ascii="Calibri" w:eastAsia="Calibri" w:hAnsi="Calibri" w:cs="Calibri"/>
          <w:color w:val="1A1A1A"/>
        </w:rPr>
        <w:t xml:space="preserve"> — </w:t>
      </w:r>
      <w:r>
        <w:rPr>
          <w:rFonts w:ascii="Calibri" w:eastAsia="Calibri" w:hAnsi="Calibri" w:cs="Calibri"/>
          <w:b/>
          <w:bCs/>
          <w:color w:val="1A1A1A"/>
        </w:rPr>
        <w:t>1991</w:t>
      </w:r>
      <w:r>
        <w:rPr>
          <w:rFonts w:ascii="Calibri" w:eastAsia="Calibri" w:hAnsi="Calibri" w:cs="Calibri"/>
          <w:color w:val="1A1A1A"/>
        </w:rPr>
        <w:t xml:space="preserve"> </w:t>
      </w:r>
      <w:r>
        <w:rPr>
          <w:rFonts w:ascii="Calibri" w:eastAsia="Calibri" w:hAnsi="Calibri" w:cs="Calibri"/>
          <w:color w:val="1E88E5"/>
        </w:rPr>
        <w:t>loi du 10 juillet</w:t>
      </w:r>
      <w:r>
        <w:rPr>
          <w:rFonts w:ascii="Calibri" w:eastAsia="Calibri" w:hAnsi="Calibri" w:cs="Calibri"/>
          <w:color w:val="1A1A1A"/>
        </w:rPr>
        <w:t xml:space="preserve"> (interceptions) — </w:t>
      </w:r>
      <w:r>
        <w:rPr>
          <w:rFonts w:ascii="Calibri" w:eastAsia="Calibri" w:hAnsi="Calibri" w:cs="Calibri"/>
          <w:b/>
          <w:bCs/>
          <w:color w:val="1A1A1A"/>
        </w:rPr>
        <w:t>1992</w:t>
      </w:r>
      <w:r>
        <w:rPr>
          <w:rFonts w:ascii="Calibri" w:eastAsia="Calibri" w:hAnsi="Calibri" w:cs="Calibri"/>
          <w:color w:val="1A1A1A"/>
        </w:rPr>
        <w:t xml:space="preserve"> </w:t>
      </w:r>
      <w:r>
        <w:rPr>
          <w:rFonts w:ascii="Calibri" w:eastAsia="Calibri" w:hAnsi="Calibri" w:cs="Calibri"/>
          <w:color w:val="E91E63"/>
        </w:rPr>
        <w:t>CEDH, Niemietz c. Allemagne</w:t>
      </w:r>
      <w:r>
        <w:rPr>
          <w:rFonts w:ascii="Calibri" w:eastAsia="Calibri" w:hAnsi="Calibri" w:cs="Calibri"/>
          <w:color w:val="1A1A1A"/>
        </w:rPr>
        <w:t xml:space="preserve"> — </w:t>
      </w:r>
      <w:r>
        <w:rPr>
          <w:rFonts w:ascii="Calibri" w:eastAsia="Calibri" w:hAnsi="Calibri" w:cs="Calibri"/>
          <w:b/>
          <w:bCs/>
          <w:color w:val="1A1A1A"/>
        </w:rPr>
        <w:t>1993</w:t>
      </w:r>
      <w:r>
        <w:rPr>
          <w:rFonts w:ascii="Calibri" w:eastAsia="Calibri" w:hAnsi="Calibri" w:cs="Calibri"/>
          <w:color w:val="1A1A1A"/>
        </w:rPr>
        <w:t xml:space="preserve"> </w:t>
      </w:r>
      <w:r>
        <w:rPr>
          <w:rFonts w:ascii="Calibri" w:eastAsia="Calibri" w:hAnsi="Calibri" w:cs="Calibri"/>
          <w:color w:val="E91E63"/>
        </w:rPr>
        <w:t>Cons. const., 93-325 DC</w:t>
      </w:r>
      <w:r>
        <w:rPr>
          <w:rFonts w:ascii="Calibri" w:eastAsia="Calibri" w:hAnsi="Calibri" w:cs="Calibri"/>
          <w:color w:val="1A1A1A"/>
        </w:rPr>
        <w:t xml:space="preserve"> — </w:t>
      </w:r>
      <w:r>
        <w:rPr>
          <w:rFonts w:ascii="Calibri" w:eastAsia="Calibri" w:hAnsi="Calibri" w:cs="Calibri"/>
          <w:b/>
          <w:bCs/>
          <w:color w:val="1A1A1A"/>
        </w:rPr>
        <w:t>1994</w:t>
      </w:r>
      <w:r>
        <w:rPr>
          <w:rFonts w:ascii="Calibri" w:eastAsia="Calibri" w:hAnsi="Calibri" w:cs="Calibri"/>
          <w:color w:val="1A1A1A"/>
        </w:rPr>
        <w:t xml:space="preserve"> </w:t>
      </w:r>
      <w:r>
        <w:rPr>
          <w:rFonts w:ascii="Calibri" w:eastAsia="Calibri" w:hAnsi="Calibri" w:cs="Calibri"/>
          <w:color w:val="E91E63"/>
        </w:rPr>
        <w:t>CEDH, López Ostra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 xml:space="preserve">CEDH, </w:t>
      </w:r>
      <w:proofErr w:type="spellStart"/>
      <w:r>
        <w:rPr>
          <w:rFonts w:ascii="Calibri" w:eastAsia="Calibri" w:hAnsi="Calibri" w:cs="Calibri"/>
          <w:color w:val="E91E63"/>
        </w:rPr>
        <w:t>Burghartz</w:t>
      </w:r>
      <w:proofErr w:type="spellEnd"/>
      <w:r>
        <w:rPr>
          <w:rFonts w:ascii="Calibri" w:eastAsia="Calibri" w:hAnsi="Calibri" w:cs="Calibri"/>
          <w:color w:val="1A1A1A"/>
        </w:rPr>
        <w:t xml:space="preserve"> — </w:t>
      </w:r>
      <w:r>
        <w:rPr>
          <w:rFonts w:ascii="Calibri" w:eastAsia="Calibri" w:hAnsi="Calibri" w:cs="Calibri"/>
          <w:b/>
          <w:bCs/>
          <w:color w:val="1A1A1A"/>
        </w:rPr>
        <w:t>1995</w:t>
      </w:r>
      <w:r>
        <w:rPr>
          <w:rFonts w:ascii="Calibri" w:eastAsia="Calibri" w:hAnsi="Calibri" w:cs="Calibri"/>
          <w:color w:val="1A1A1A"/>
        </w:rPr>
        <w:t xml:space="preserve"> </w:t>
      </w:r>
      <w:r>
        <w:rPr>
          <w:rFonts w:ascii="Calibri" w:eastAsia="Calibri" w:hAnsi="Calibri" w:cs="Calibri"/>
          <w:color w:val="E91E63"/>
        </w:rPr>
        <w:t>Cons. const., 94-352 DC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1E88E5"/>
        </w:rPr>
        <w:t>loi du 21 janvier</w:t>
      </w:r>
      <w:r>
        <w:rPr>
          <w:rFonts w:ascii="Calibri" w:eastAsia="Calibri" w:hAnsi="Calibri" w:cs="Calibri"/>
          <w:color w:val="1A1A1A"/>
        </w:rPr>
        <w:t xml:space="preserve"> (vidéoprotection).</w:t>
      </w:r>
    </w:p>
    <w:p w14:paraId="718820F7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1997</w:t>
      </w:r>
      <w:r>
        <w:rPr>
          <w:rFonts w:ascii="Calibri" w:eastAsia="Calibri" w:hAnsi="Calibri" w:cs="Calibri"/>
          <w:color w:val="1A1A1A"/>
        </w:rPr>
        <w:t xml:space="preserve"> </w:t>
      </w:r>
      <w:r>
        <w:rPr>
          <w:rFonts w:ascii="Calibri" w:eastAsia="Calibri" w:hAnsi="Calibri" w:cs="Calibri"/>
          <w:color w:val="E91E63"/>
        </w:rPr>
        <w:t>CEDH, X, Y et Z c. Royaume-Uni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CEDH, Laskey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CE, Cinar</w:t>
      </w:r>
      <w:r>
        <w:rPr>
          <w:rFonts w:ascii="Calibri" w:eastAsia="Calibri" w:hAnsi="Calibri" w:cs="Calibri"/>
          <w:color w:val="1A1A1A"/>
        </w:rPr>
        <w:t xml:space="preserve"> — </w:t>
      </w:r>
      <w:r>
        <w:rPr>
          <w:rFonts w:ascii="Calibri" w:eastAsia="Calibri" w:hAnsi="Calibri" w:cs="Calibri"/>
          <w:b/>
          <w:bCs/>
          <w:color w:val="1A1A1A"/>
        </w:rPr>
        <w:t>1999</w:t>
      </w:r>
      <w:r>
        <w:rPr>
          <w:rFonts w:ascii="Calibri" w:eastAsia="Calibri" w:hAnsi="Calibri" w:cs="Calibri"/>
          <w:color w:val="1A1A1A"/>
        </w:rPr>
        <w:t xml:space="preserve"> </w:t>
      </w:r>
      <w:r>
        <w:rPr>
          <w:rFonts w:ascii="Calibri" w:eastAsia="Calibri" w:hAnsi="Calibri" w:cs="Calibri"/>
          <w:color w:val="E91E63"/>
        </w:rPr>
        <w:t>Cons. const., 99-416 DC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CEDH, Smith et Grady</w:t>
      </w:r>
      <w:r>
        <w:rPr>
          <w:rFonts w:ascii="Calibri" w:eastAsia="Calibri" w:hAnsi="Calibri" w:cs="Calibri"/>
          <w:color w:val="1A1A1A"/>
        </w:rPr>
        <w:t xml:space="preserve"> — </w:t>
      </w:r>
      <w:r>
        <w:rPr>
          <w:rFonts w:ascii="Calibri" w:eastAsia="Calibri" w:hAnsi="Calibri" w:cs="Calibri"/>
          <w:b/>
          <w:bCs/>
          <w:color w:val="1A1A1A"/>
        </w:rPr>
        <w:t>2000</w:t>
      </w:r>
      <w:r>
        <w:rPr>
          <w:rFonts w:ascii="Calibri" w:eastAsia="Calibri" w:hAnsi="Calibri" w:cs="Calibri"/>
          <w:color w:val="1A1A1A"/>
        </w:rPr>
        <w:t xml:space="preserve"> </w:t>
      </w:r>
      <w:r>
        <w:rPr>
          <w:rFonts w:ascii="Calibri" w:eastAsia="Calibri" w:hAnsi="Calibri" w:cs="Calibri"/>
          <w:color w:val="E91E63"/>
        </w:rPr>
        <w:t>CEDH, Mazurek c. France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CEDH, Rotaru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Cass. 1re civ., Érignac</w:t>
      </w:r>
      <w:r>
        <w:rPr>
          <w:rFonts w:ascii="Calibri" w:eastAsia="Calibri" w:hAnsi="Calibri" w:cs="Calibri"/>
          <w:color w:val="1A1A1A"/>
        </w:rPr>
        <w:t xml:space="preserve"> — </w:t>
      </w:r>
      <w:r>
        <w:rPr>
          <w:rFonts w:ascii="Calibri" w:eastAsia="Calibri" w:hAnsi="Calibri" w:cs="Calibri"/>
          <w:b/>
          <w:bCs/>
          <w:color w:val="1A1A1A"/>
        </w:rPr>
        <w:t>2001</w:t>
      </w:r>
      <w:r>
        <w:rPr>
          <w:rFonts w:ascii="Calibri" w:eastAsia="Calibri" w:hAnsi="Calibri" w:cs="Calibri"/>
          <w:color w:val="1A1A1A"/>
        </w:rPr>
        <w:t xml:space="preserve"> </w:t>
      </w:r>
      <w:r>
        <w:rPr>
          <w:rFonts w:ascii="Calibri" w:eastAsia="Calibri" w:hAnsi="Calibri" w:cs="Calibri"/>
          <w:color w:val="1E88E5"/>
        </w:rPr>
        <w:t>loi du 3 décembre</w:t>
      </w:r>
      <w:r>
        <w:rPr>
          <w:rFonts w:ascii="Calibri" w:eastAsia="Calibri" w:hAnsi="Calibri" w:cs="Calibri"/>
          <w:color w:val="1A1A1A"/>
        </w:rPr>
        <w:t xml:space="preserve"> (égalité successorale) — </w:t>
      </w:r>
      <w:r>
        <w:rPr>
          <w:rFonts w:ascii="Calibri" w:eastAsia="Calibri" w:hAnsi="Calibri" w:cs="Calibri"/>
          <w:b/>
          <w:bCs/>
          <w:color w:val="1A1A1A"/>
        </w:rPr>
        <w:t>2002</w:t>
      </w:r>
      <w:r>
        <w:rPr>
          <w:rFonts w:ascii="Calibri" w:eastAsia="Calibri" w:hAnsi="Calibri" w:cs="Calibri"/>
          <w:color w:val="1A1A1A"/>
        </w:rPr>
        <w:t xml:space="preserve"> </w:t>
      </w:r>
      <w:r>
        <w:rPr>
          <w:rFonts w:ascii="Calibri" w:eastAsia="Calibri" w:hAnsi="Calibri" w:cs="Calibri"/>
          <w:color w:val="E91E63"/>
        </w:rPr>
        <w:t>CEDH, Goodwin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CEDH, Pretty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CEDH, Fretté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CEDH, Colas Est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1E88E5"/>
        </w:rPr>
        <w:t>loi du 22 janvier</w:t>
      </w:r>
      <w:r>
        <w:rPr>
          <w:rFonts w:ascii="Calibri" w:eastAsia="Calibri" w:hAnsi="Calibri" w:cs="Calibri"/>
          <w:color w:val="1A1A1A"/>
        </w:rPr>
        <w:t xml:space="preserve"> (CNAOP) — </w:t>
      </w:r>
      <w:r>
        <w:rPr>
          <w:rFonts w:ascii="Calibri" w:eastAsia="Calibri" w:hAnsi="Calibri" w:cs="Calibri"/>
          <w:b/>
          <w:bCs/>
          <w:color w:val="1A1A1A"/>
        </w:rPr>
        <w:t>2003</w:t>
      </w:r>
      <w:r>
        <w:rPr>
          <w:rFonts w:ascii="Calibri" w:eastAsia="Calibri" w:hAnsi="Calibri" w:cs="Calibri"/>
          <w:color w:val="1A1A1A"/>
        </w:rPr>
        <w:t xml:space="preserve"> </w:t>
      </w:r>
      <w:r>
        <w:rPr>
          <w:rFonts w:ascii="Calibri" w:eastAsia="Calibri" w:hAnsi="Calibri" w:cs="Calibri"/>
          <w:color w:val="E91E63"/>
        </w:rPr>
        <w:t>CEDH, Odièvre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CEDH, Hatton (GC)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Cons. const., 2003-484 DC</w:t>
      </w:r>
      <w:r>
        <w:rPr>
          <w:rFonts w:ascii="Calibri" w:eastAsia="Calibri" w:hAnsi="Calibri" w:cs="Calibri"/>
          <w:color w:val="1A1A1A"/>
        </w:rPr>
        <w:t xml:space="preserve"> — </w:t>
      </w:r>
      <w:r>
        <w:rPr>
          <w:rFonts w:ascii="Calibri" w:eastAsia="Calibri" w:hAnsi="Calibri" w:cs="Calibri"/>
          <w:b/>
          <w:bCs/>
          <w:color w:val="1A1A1A"/>
        </w:rPr>
        <w:t>2004</w:t>
      </w:r>
      <w:r>
        <w:rPr>
          <w:rFonts w:ascii="Calibri" w:eastAsia="Calibri" w:hAnsi="Calibri" w:cs="Calibri"/>
          <w:color w:val="1A1A1A"/>
        </w:rPr>
        <w:t xml:space="preserve"> </w:t>
      </w:r>
      <w:r>
        <w:rPr>
          <w:rFonts w:ascii="Calibri" w:eastAsia="Calibri" w:hAnsi="Calibri" w:cs="Calibri"/>
          <w:color w:val="E91E63"/>
        </w:rPr>
        <w:t>CEDH, Von Hannover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Cons. const., 2004-492 DC</w:t>
      </w:r>
      <w:r>
        <w:rPr>
          <w:rFonts w:ascii="Calibri" w:eastAsia="Calibri" w:hAnsi="Calibri" w:cs="Calibri"/>
          <w:color w:val="1A1A1A"/>
        </w:rPr>
        <w:t xml:space="preserve"> — </w:t>
      </w:r>
      <w:r>
        <w:rPr>
          <w:rFonts w:ascii="Calibri" w:eastAsia="Calibri" w:hAnsi="Calibri" w:cs="Calibri"/>
          <w:b/>
          <w:bCs/>
          <w:color w:val="1A1A1A"/>
        </w:rPr>
        <w:t>2005</w:t>
      </w:r>
      <w:r>
        <w:rPr>
          <w:rFonts w:ascii="Calibri" w:eastAsia="Calibri" w:hAnsi="Calibri" w:cs="Calibri"/>
          <w:color w:val="1A1A1A"/>
        </w:rPr>
        <w:t xml:space="preserve"> </w:t>
      </w:r>
      <w:r>
        <w:rPr>
          <w:rFonts w:ascii="Calibri" w:eastAsia="Calibri" w:hAnsi="Calibri" w:cs="Calibri"/>
          <w:color w:val="E91E63"/>
        </w:rPr>
        <w:t>CEDH, K.A. et A.D. c. Belgique</w:t>
      </w:r>
      <w:r>
        <w:rPr>
          <w:rFonts w:ascii="Calibri" w:eastAsia="Calibri" w:hAnsi="Calibri" w:cs="Calibri"/>
          <w:color w:val="1A1A1A"/>
        </w:rPr>
        <w:t xml:space="preserve"> — </w:t>
      </w:r>
      <w:r>
        <w:rPr>
          <w:rFonts w:ascii="Calibri" w:eastAsia="Calibri" w:hAnsi="Calibri" w:cs="Calibri"/>
          <w:b/>
          <w:bCs/>
          <w:color w:val="1A1A1A"/>
        </w:rPr>
        <w:t>2006</w:t>
      </w:r>
      <w:r>
        <w:rPr>
          <w:rFonts w:ascii="Calibri" w:eastAsia="Calibri" w:hAnsi="Calibri" w:cs="Calibri"/>
          <w:color w:val="1A1A1A"/>
        </w:rPr>
        <w:t xml:space="preserve"> </w:t>
      </w:r>
      <w:r>
        <w:rPr>
          <w:rFonts w:ascii="Calibri" w:eastAsia="Calibri" w:hAnsi="Calibri" w:cs="Calibri"/>
          <w:color w:val="E91E63"/>
        </w:rPr>
        <w:t xml:space="preserve">CEDH, </w:t>
      </w:r>
      <w:proofErr w:type="spellStart"/>
      <w:r>
        <w:rPr>
          <w:rFonts w:ascii="Calibri" w:eastAsia="Calibri" w:hAnsi="Calibri" w:cs="Calibri"/>
          <w:color w:val="E91E63"/>
        </w:rPr>
        <w:t>Jäggi</w:t>
      </w:r>
      <w:proofErr w:type="spellEnd"/>
      <w:r>
        <w:rPr>
          <w:rFonts w:ascii="Calibri" w:eastAsia="Calibri" w:hAnsi="Calibri" w:cs="Calibri"/>
          <w:color w:val="1A1A1A"/>
        </w:rPr>
        <w:t xml:space="preserve"> — </w:t>
      </w:r>
      <w:r>
        <w:rPr>
          <w:rFonts w:ascii="Calibri" w:eastAsia="Calibri" w:hAnsi="Calibri" w:cs="Calibri"/>
          <w:b/>
          <w:bCs/>
          <w:color w:val="1A1A1A"/>
        </w:rPr>
        <w:t>2007</w:t>
      </w:r>
      <w:r>
        <w:rPr>
          <w:rFonts w:ascii="Calibri" w:eastAsia="Calibri" w:hAnsi="Calibri" w:cs="Calibri"/>
          <w:color w:val="1A1A1A"/>
        </w:rPr>
        <w:t xml:space="preserve"> </w:t>
      </w:r>
      <w:r>
        <w:rPr>
          <w:rFonts w:ascii="Calibri" w:eastAsia="Calibri" w:hAnsi="Calibri" w:cs="Calibri"/>
          <w:color w:val="E91E63"/>
        </w:rPr>
        <w:t>CEDH, Wagner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CE, ord., 25 octobre</w:t>
      </w:r>
      <w:r>
        <w:rPr>
          <w:rFonts w:ascii="Calibri" w:eastAsia="Calibri" w:hAnsi="Calibri" w:cs="Calibri"/>
          <w:color w:val="1A1A1A"/>
        </w:rPr>
        <w:t xml:space="preserve"> — </w:t>
      </w:r>
      <w:r>
        <w:rPr>
          <w:rFonts w:ascii="Calibri" w:eastAsia="Calibri" w:hAnsi="Calibri" w:cs="Calibri"/>
          <w:b/>
          <w:bCs/>
          <w:color w:val="1A1A1A"/>
        </w:rPr>
        <w:t>2008</w:t>
      </w:r>
      <w:r>
        <w:rPr>
          <w:rFonts w:ascii="Calibri" w:eastAsia="Calibri" w:hAnsi="Calibri" w:cs="Calibri"/>
          <w:color w:val="1A1A1A"/>
        </w:rPr>
        <w:t xml:space="preserve"> </w:t>
      </w:r>
      <w:r>
        <w:rPr>
          <w:rFonts w:ascii="Calibri" w:eastAsia="Calibri" w:hAnsi="Calibri" w:cs="Calibri"/>
          <w:color w:val="E91E63"/>
        </w:rPr>
        <w:t>CEDH, S. et Marper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CEDH, E.B. c. France</w:t>
      </w:r>
      <w:r>
        <w:rPr>
          <w:rFonts w:ascii="Calibri" w:eastAsia="Calibri" w:hAnsi="Calibri" w:cs="Calibri"/>
          <w:color w:val="1A1A1A"/>
        </w:rPr>
        <w:t xml:space="preserve"> — </w:t>
      </w:r>
      <w:r>
        <w:rPr>
          <w:rFonts w:ascii="Calibri" w:eastAsia="Calibri" w:hAnsi="Calibri" w:cs="Calibri"/>
          <w:b/>
          <w:bCs/>
          <w:color w:val="1A1A1A"/>
        </w:rPr>
        <w:t>2011</w:t>
      </w:r>
      <w:r>
        <w:rPr>
          <w:rFonts w:ascii="Calibri" w:eastAsia="Calibri" w:hAnsi="Calibri" w:cs="Calibri"/>
          <w:color w:val="1A1A1A"/>
        </w:rPr>
        <w:t xml:space="preserve"> </w:t>
      </w:r>
      <w:r>
        <w:rPr>
          <w:rFonts w:ascii="Calibri" w:eastAsia="Calibri" w:hAnsi="Calibri" w:cs="Calibri"/>
          <w:color w:val="E91E63"/>
        </w:rPr>
        <w:t>Cons. const., 2010-92 QPC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CEDH, S.H. c. Autriche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CEDH, Haas c. Suisse</w:t>
      </w:r>
      <w:r>
        <w:rPr>
          <w:rFonts w:ascii="Calibri" w:eastAsia="Calibri" w:hAnsi="Calibri" w:cs="Calibri"/>
          <w:color w:val="1A1A1A"/>
        </w:rPr>
        <w:t>.</w:t>
      </w:r>
    </w:p>
    <w:p w14:paraId="0E65A2BD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2012</w:t>
      </w:r>
      <w:r>
        <w:rPr>
          <w:rFonts w:ascii="Calibri" w:eastAsia="Calibri" w:hAnsi="Calibri" w:cs="Calibri"/>
          <w:color w:val="1A1A1A"/>
        </w:rPr>
        <w:t xml:space="preserve"> </w:t>
      </w:r>
      <w:r>
        <w:rPr>
          <w:rFonts w:ascii="Calibri" w:eastAsia="Calibri" w:hAnsi="Calibri" w:cs="Calibri"/>
          <w:color w:val="E91E63"/>
        </w:rPr>
        <w:t>CEDH, Von Hannover n° 2 et Axel Springer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CEDH, Godelli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CEDH, Gas et Dubois</w:t>
      </w:r>
      <w:r>
        <w:rPr>
          <w:rFonts w:ascii="Calibri" w:eastAsia="Calibri" w:hAnsi="Calibri" w:cs="Calibri"/>
          <w:color w:val="1A1A1A"/>
        </w:rPr>
        <w:t xml:space="preserve"> — </w:t>
      </w:r>
      <w:r>
        <w:rPr>
          <w:rFonts w:ascii="Calibri" w:eastAsia="Calibri" w:hAnsi="Calibri" w:cs="Calibri"/>
          <w:b/>
          <w:bCs/>
          <w:color w:val="1A1A1A"/>
        </w:rPr>
        <w:t>2013</w:t>
      </w:r>
      <w:r>
        <w:rPr>
          <w:rFonts w:ascii="Calibri" w:eastAsia="Calibri" w:hAnsi="Calibri" w:cs="Calibri"/>
          <w:color w:val="1A1A1A"/>
        </w:rPr>
        <w:t xml:space="preserve"> </w:t>
      </w:r>
      <w:r>
        <w:rPr>
          <w:rFonts w:ascii="Calibri" w:eastAsia="Calibri" w:hAnsi="Calibri" w:cs="Calibri"/>
          <w:color w:val="1E88E5"/>
        </w:rPr>
        <w:t>loi du 17 mai</w:t>
      </w:r>
      <w:r>
        <w:rPr>
          <w:rFonts w:ascii="Calibri" w:eastAsia="Calibri" w:hAnsi="Calibri" w:cs="Calibri"/>
          <w:color w:val="1A1A1A"/>
        </w:rPr>
        <w:t xml:space="preserve"> (mariage pour tous) ; </w:t>
      </w:r>
      <w:r>
        <w:rPr>
          <w:rFonts w:ascii="Calibri" w:eastAsia="Calibri" w:hAnsi="Calibri" w:cs="Calibri"/>
          <w:color w:val="E91E63"/>
        </w:rPr>
        <w:t>Cons. const., 2013-669 DC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2013-353 QPC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Cass. 1re civ., 4 décembre</w:t>
      </w:r>
      <w:r>
        <w:rPr>
          <w:rFonts w:ascii="Calibri" w:eastAsia="Calibri" w:hAnsi="Calibri" w:cs="Calibri"/>
          <w:color w:val="1A1A1A"/>
        </w:rPr>
        <w:t xml:space="preserve"> — </w:t>
      </w:r>
      <w:r>
        <w:rPr>
          <w:rFonts w:ascii="Calibri" w:eastAsia="Calibri" w:hAnsi="Calibri" w:cs="Calibri"/>
          <w:b/>
          <w:bCs/>
          <w:color w:val="1A1A1A"/>
        </w:rPr>
        <w:t>2014</w:t>
      </w:r>
      <w:r>
        <w:rPr>
          <w:rFonts w:ascii="Calibri" w:eastAsia="Calibri" w:hAnsi="Calibri" w:cs="Calibri"/>
          <w:color w:val="1A1A1A"/>
        </w:rPr>
        <w:t xml:space="preserve"> </w:t>
      </w:r>
      <w:r>
        <w:rPr>
          <w:rFonts w:ascii="Calibri" w:eastAsia="Calibri" w:hAnsi="Calibri" w:cs="Calibri"/>
          <w:color w:val="E91E63"/>
        </w:rPr>
        <w:t>CJUE, Digital Rights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CJUE, Google Spain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CEDH, Mennesson et Labassee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CEDH, Jeunesse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CEDH, Dzemyuk</w:t>
      </w:r>
      <w:r>
        <w:rPr>
          <w:rFonts w:ascii="Calibri" w:eastAsia="Calibri" w:hAnsi="Calibri" w:cs="Calibri"/>
          <w:color w:val="1A1A1A"/>
        </w:rPr>
        <w:t xml:space="preserve"> — </w:t>
      </w:r>
      <w:r>
        <w:rPr>
          <w:rFonts w:ascii="Calibri" w:eastAsia="Calibri" w:hAnsi="Calibri" w:cs="Calibri"/>
          <w:b/>
          <w:bCs/>
          <w:color w:val="1A1A1A"/>
        </w:rPr>
        <w:t>2015</w:t>
      </w:r>
      <w:r>
        <w:rPr>
          <w:rFonts w:ascii="Calibri" w:eastAsia="Calibri" w:hAnsi="Calibri" w:cs="Calibri"/>
          <w:color w:val="1A1A1A"/>
        </w:rPr>
        <w:t xml:space="preserve"> </w:t>
      </w:r>
      <w:r>
        <w:rPr>
          <w:rFonts w:ascii="Calibri" w:eastAsia="Calibri" w:hAnsi="Calibri" w:cs="Calibri"/>
          <w:color w:val="1E88E5"/>
        </w:rPr>
        <w:t>loi du 24 juillet</w:t>
      </w:r>
      <w:r>
        <w:rPr>
          <w:rFonts w:ascii="Calibri" w:eastAsia="Calibri" w:hAnsi="Calibri" w:cs="Calibri"/>
          <w:color w:val="1A1A1A"/>
        </w:rPr>
        <w:t xml:space="preserve"> (renseignement) ; </w:t>
      </w:r>
      <w:r>
        <w:rPr>
          <w:rFonts w:ascii="Calibri" w:eastAsia="Calibri" w:hAnsi="Calibri" w:cs="Calibri"/>
          <w:color w:val="E91E63"/>
        </w:rPr>
        <w:t>Cons. const., 2015-713 DC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CJUE, Schrems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CEDH, Oliari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CEDH, Couderc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Cass. ass. plén., 3 juillet</w:t>
      </w:r>
      <w:r>
        <w:rPr>
          <w:rFonts w:ascii="Calibri" w:eastAsia="Calibri" w:hAnsi="Calibri" w:cs="Calibri"/>
          <w:color w:val="1A1A1A"/>
        </w:rPr>
        <w:t xml:space="preserve"> — </w:t>
      </w:r>
      <w:r>
        <w:rPr>
          <w:rFonts w:ascii="Calibri" w:eastAsia="Calibri" w:hAnsi="Calibri" w:cs="Calibri"/>
          <w:b/>
          <w:bCs/>
          <w:color w:val="1A1A1A"/>
        </w:rPr>
        <w:t>2016</w:t>
      </w:r>
      <w:r>
        <w:rPr>
          <w:rFonts w:ascii="Calibri" w:eastAsia="Calibri" w:hAnsi="Calibri" w:cs="Calibri"/>
          <w:color w:val="1A1A1A"/>
        </w:rPr>
        <w:t xml:space="preserve"> </w:t>
      </w:r>
      <w:r>
        <w:rPr>
          <w:rFonts w:ascii="Calibri" w:eastAsia="Calibri" w:hAnsi="Calibri" w:cs="Calibri"/>
          <w:color w:val="E91E63"/>
        </w:rPr>
        <w:t>CE, ass., Gonzalez-Gomez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Cons. const., 2016-552 QPC</w:t>
      </w:r>
      <w:r>
        <w:rPr>
          <w:rFonts w:ascii="Calibri" w:eastAsia="Calibri" w:hAnsi="Calibri" w:cs="Calibri"/>
          <w:color w:val="1A1A1A"/>
        </w:rPr>
        <w:t xml:space="preserve"> et </w:t>
      </w:r>
      <w:r>
        <w:rPr>
          <w:rFonts w:ascii="Calibri" w:eastAsia="Calibri" w:hAnsi="Calibri" w:cs="Calibri"/>
          <w:color w:val="E91E63"/>
        </w:rPr>
        <w:t>2016-591 QPC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1E88E5"/>
        </w:rPr>
        <w:t>RGPD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CJUE, Tele2</w:t>
      </w:r>
      <w:r>
        <w:rPr>
          <w:rFonts w:ascii="Calibri" w:eastAsia="Calibri" w:hAnsi="Calibri" w:cs="Calibri"/>
          <w:color w:val="1A1A1A"/>
        </w:rPr>
        <w:t xml:space="preserve"> — </w:t>
      </w:r>
      <w:r>
        <w:rPr>
          <w:rFonts w:ascii="Calibri" w:eastAsia="Calibri" w:hAnsi="Calibri" w:cs="Calibri"/>
          <w:b/>
          <w:bCs/>
          <w:color w:val="1A1A1A"/>
        </w:rPr>
        <w:t>2017</w:t>
      </w:r>
      <w:r>
        <w:rPr>
          <w:rFonts w:ascii="Calibri" w:eastAsia="Calibri" w:hAnsi="Calibri" w:cs="Calibri"/>
          <w:color w:val="1A1A1A"/>
        </w:rPr>
        <w:t xml:space="preserve"> </w:t>
      </w:r>
      <w:r>
        <w:rPr>
          <w:rFonts w:ascii="Calibri" w:eastAsia="Calibri" w:hAnsi="Calibri" w:cs="Calibri"/>
          <w:color w:val="E91E63"/>
        </w:rPr>
        <w:t>CEDH, Paradiso et Campanelli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CEDH, Bărbulescu</w:t>
      </w:r>
      <w:r>
        <w:rPr>
          <w:rFonts w:ascii="Calibri" w:eastAsia="Calibri" w:hAnsi="Calibri" w:cs="Calibri"/>
          <w:color w:val="1A1A1A"/>
        </w:rPr>
        <w:t xml:space="preserve"> — </w:t>
      </w:r>
      <w:r>
        <w:rPr>
          <w:rFonts w:ascii="Calibri" w:eastAsia="Calibri" w:hAnsi="Calibri" w:cs="Calibri"/>
          <w:b/>
          <w:bCs/>
          <w:color w:val="1A1A1A"/>
        </w:rPr>
        <w:t>2018</w:t>
      </w:r>
      <w:r>
        <w:rPr>
          <w:rFonts w:ascii="Calibri" w:eastAsia="Calibri" w:hAnsi="Calibri" w:cs="Calibri"/>
          <w:color w:val="1A1A1A"/>
        </w:rPr>
        <w:t xml:space="preserve"> application du RGPD (25 mai).</w:t>
      </w:r>
    </w:p>
    <w:p w14:paraId="6C20DBA3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2019</w:t>
      </w:r>
      <w:r>
        <w:rPr>
          <w:rFonts w:ascii="Calibri" w:eastAsia="Calibri" w:hAnsi="Calibri" w:cs="Calibri"/>
          <w:color w:val="1A1A1A"/>
        </w:rPr>
        <w:t xml:space="preserve"> </w:t>
      </w:r>
      <w:r>
        <w:rPr>
          <w:rFonts w:ascii="Calibri" w:eastAsia="Calibri" w:hAnsi="Calibri" w:cs="Calibri"/>
          <w:color w:val="E91E63"/>
        </w:rPr>
        <w:t>CEDH, avis consultatif (GC, 10 avril)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Cass. ass. plén., 4 octobre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Cons. const., 2018-768 QPC</w:t>
      </w:r>
      <w:r>
        <w:rPr>
          <w:rFonts w:ascii="Calibri" w:eastAsia="Calibri" w:hAnsi="Calibri" w:cs="Calibri"/>
          <w:color w:val="1A1A1A"/>
        </w:rPr>
        <w:t xml:space="preserve"> et </w:t>
      </w:r>
      <w:r>
        <w:rPr>
          <w:rFonts w:ascii="Calibri" w:eastAsia="Calibri" w:hAnsi="Calibri" w:cs="Calibri"/>
          <w:color w:val="E91E63"/>
        </w:rPr>
        <w:t>2019-778 DC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CJUE, Planet49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CJUE, GC e.a.</w:t>
      </w:r>
      <w:r>
        <w:rPr>
          <w:rFonts w:ascii="Calibri" w:eastAsia="Calibri" w:hAnsi="Calibri" w:cs="Calibri"/>
          <w:color w:val="1A1A1A"/>
        </w:rPr>
        <w:t xml:space="preserve"> et </w:t>
      </w:r>
      <w:r>
        <w:rPr>
          <w:rFonts w:ascii="Calibri" w:eastAsia="Calibri" w:hAnsi="Calibri" w:cs="Calibri"/>
          <w:color w:val="E91E63"/>
        </w:rPr>
        <w:t>Google c. CNIL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CEDH, Strand Lobben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CE, 6 décembre</w:t>
      </w:r>
      <w:r>
        <w:rPr>
          <w:rFonts w:ascii="Calibri" w:eastAsia="Calibri" w:hAnsi="Calibri" w:cs="Calibri"/>
          <w:color w:val="1A1A1A"/>
        </w:rPr>
        <w:t xml:space="preserve"> (déréférencement) — </w:t>
      </w:r>
      <w:r>
        <w:rPr>
          <w:rFonts w:ascii="Calibri" w:eastAsia="Calibri" w:hAnsi="Calibri" w:cs="Calibri"/>
          <w:b/>
          <w:bCs/>
          <w:color w:val="1A1A1A"/>
        </w:rPr>
        <w:t>2020</w:t>
      </w:r>
      <w:r>
        <w:rPr>
          <w:rFonts w:ascii="Calibri" w:eastAsia="Calibri" w:hAnsi="Calibri" w:cs="Calibri"/>
          <w:color w:val="1A1A1A"/>
        </w:rPr>
        <w:t xml:space="preserve"> </w:t>
      </w:r>
      <w:r>
        <w:rPr>
          <w:rFonts w:ascii="Calibri" w:eastAsia="Calibri" w:hAnsi="Calibri" w:cs="Calibri"/>
          <w:color w:val="E91E63"/>
        </w:rPr>
        <w:t>CJUE, Schrems II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CJUE, La Quadrature du Net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Cons. const., 2020-800 DC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TA Marseille</w:t>
      </w:r>
      <w:r>
        <w:rPr>
          <w:rFonts w:ascii="Calibri" w:eastAsia="Calibri" w:hAnsi="Calibri" w:cs="Calibri"/>
          <w:color w:val="1A1A1A"/>
        </w:rPr>
        <w:t xml:space="preserve"> — </w:t>
      </w:r>
      <w:r>
        <w:rPr>
          <w:rFonts w:ascii="Calibri" w:eastAsia="Calibri" w:hAnsi="Calibri" w:cs="Calibri"/>
          <w:b/>
          <w:bCs/>
          <w:color w:val="1A1A1A"/>
        </w:rPr>
        <w:t>2021</w:t>
      </w:r>
      <w:r>
        <w:rPr>
          <w:rFonts w:ascii="Calibri" w:eastAsia="Calibri" w:hAnsi="Calibri" w:cs="Calibri"/>
          <w:color w:val="1A1A1A"/>
        </w:rPr>
        <w:t xml:space="preserve"> </w:t>
      </w:r>
      <w:r>
        <w:rPr>
          <w:rFonts w:ascii="Calibri" w:eastAsia="Calibri" w:hAnsi="Calibri" w:cs="Calibri"/>
          <w:color w:val="E91E63"/>
        </w:rPr>
        <w:t>CE, ass., French Data Network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CEDH, Big Brother Watch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CEDH, Vavřička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CEDH, M.A. c. Danemark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1E88E5"/>
        </w:rPr>
        <w:t>loi du 2 août</w:t>
      </w:r>
      <w:r>
        <w:rPr>
          <w:rFonts w:ascii="Calibri" w:eastAsia="Calibri" w:hAnsi="Calibri" w:cs="Calibri"/>
          <w:color w:val="1A1A1A"/>
        </w:rPr>
        <w:t xml:space="preserve"> (bioéthique) — </w:t>
      </w:r>
      <w:r>
        <w:rPr>
          <w:rFonts w:ascii="Calibri" w:eastAsia="Calibri" w:hAnsi="Calibri" w:cs="Calibri"/>
          <w:b/>
          <w:bCs/>
          <w:color w:val="1A1A1A"/>
        </w:rPr>
        <w:t>2022</w:t>
      </w:r>
      <w:r>
        <w:rPr>
          <w:rFonts w:ascii="Calibri" w:eastAsia="Calibri" w:hAnsi="Calibri" w:cs="Calibri"/>
          <w:color w:val="1A1A1A"/>
        </w:rPr>
        <w:t xml:space="preserve"> </w:t>
      </w:r>
      <w:r>
        <w:rPr>
          <w:rFonts w:ascii="Calibri" w:eastAsia="Calibri" w:hAnsi="Calibri" w:cs="Calibri"/>
          <w:color w:val="1E88E5"/>
        </w:rPr>
        <w:t>loi du 21 février</w:t>
      </w:r>
      <w:r>
        <w:rPr>
          <w:rFonts w:ascii="Calibri" w:eastAsia="Calibri" w:hAnsi="Calibri" w:cs="Calibri"/>
          <w:color w:val="1A1A1A"/>
        </w:rPr>
        <w:t xml:space="preserve"> (adoption) — </w:t>
      </w:r>
      <w:r>
        <w:rPr>
          <w:rFonts w:ascii="Calibri" w:eastAsia="Calibri" w:hAnsi="Calibri" w:cs="Calibri"/>
          <w:b/>
          <w:bCs/>
          <w:color w:val="1A1A1A"/>
        </w:rPr>
        <w:t>2023</w:t>
      </w:r>
      <w:r>
        <w:rPr>
          <w:rFonts w:ascii="Calibri" w:eastAsia="Calibri" w:hAnsi="Calibri" w:cs="Calibri"/>
          <w:color w:val="1A1A1A"/>
        </w:rPr>
        <w:t xml:space="preserve"> </w:t>
      </w:r>
      <w:r>
        <w:rPr>
          <w:rFonts w:ascii="Calibri" w:eastAsia="Calibri" w:hAnsi="Calibri" w:cs="Calibri"/>
          <w:color w:val="E91E63"/>
        </w:rPr>
        <w:t>Cons. const., 2023-850 DC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CEDH, Fedotova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CEDH, Baret et Caballero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CJUE, SCHUFA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Cass. ass. plén., 22 décembre</w:t>
      </w:r>
      <w:r>
        <w:rPr>
          <w:rFonts w:ascii="Calibri" w:eastAsia="Calibri" w:hAnsi="Calibri" w:cs="Calibri"/>
          <w:color w:val="1A1A1A"/>
        </w:rPr>
        <w:t xml:space="preserve"> (preuve) ; </w:t>
      </w:r>
      <w:r>
        <w:rPr>
          <w:rFonts w:ascii="Calibri" w:eastAsia="Calibri" w:hAnsi="Calibri" w:cs="Calibri"/>
          <w:color w:val="E91E63"/>
        </w:rPr>
        <w:t>TA Caen, BriefCam</w:t>
      </w:r>
      <w:r>
        <w:rPr>
          <w:rFonts w:ascii="Calibri" w:eastAsia="Calibri" w:hAnsi="Calibri" w:cs="Calibri"/>
          <w:color w:val="1A1A1A"/>
        </w:rPr>
        <w:t xml:space="preserve"> — </w:t>
      </w:r>
      <w:r>
        <w:rPr>
          <w:rFonts w:ascii="Calibri" w:eastAsia="Calibri" w:hAnsi="Calibri" w:cs="Calibri"/>
          <w:b/>
          <w:bCs/>
          <w:color w:val="1A1A1A"/>
        </w:rPr>
        <w:t>2024</w:t>
      </w:r>
      <w:r>
        <w:rPr>
          <w:rFonts w:ascii="Calibri" w:eastAsia="Calibri" w:hAnsi="Calibri" w:cs="Calibri"/>
          <w:color w:val="1A1A1A"/>
        </w:rPr>
        <w:t xml:space="preserve"> </w:t>
      </w:r>
      <w:r>
        <w:rPr>
          <w:rFonts w:ascii="Calibri" w:eastAsia="Calibri" w:hAnsi="Calibri" w:cs="Calibri"/>
          <w:color w:val="1E88E5"/>
        </w:rPr>
        <w:t>règlement (UE) 2024/1689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CJUE, La Quadrature du Net II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CE, ROPA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Cass. 1re civ., 14 novembre</w:t>
      </w:r>
      <w:r>
        <w:rPr>
          <w:rFonts w:ascii="Calibri" w:eastAsia="Calibri" w:hAnsi="Calibri" w:cs="Calibri"/>
          <w:color w:val="1A1A1A"/>
        </w:rPr>
        <w:t xml:space="preserve"> (GPA).</w:t>
      </w:r>
    </w:p>
    <w:p w14:paraId="4396F825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2025</w:t>
      </w:r>
      <w:r>
        <w:rPr>
          <w:rFonts w:ascii="Calibri" w:eastAsia="Calibri" w:hAnsi="Calibri" w:cs="Calibri"/>
          <w:color w:val="1A1A1A"/>
        </w:rPr>
        <w:t xml:space="preserve"> </w:t>
      </w:r>
      <w:r>
        <w:rPr>
          <w:rFonts w:ascii="Calibri" w:eastAsia="Calibri" w:hAnsi="Calibri" w:cs="Calibri"/>
          <w:color w:val="E91E63"/>
        </w:rPr>
        <w:t>CEDH, H.W. c. France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CJUE, Dun &amp; Bradstreet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Cons. const., 2025-878 DC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CE, 24 avril</w:t>
      </w:r>
      <w:r>
        <w:rPr>
          <w:rFonts w:ascii="Calibri" w:eastAsia="Calibri" w:hAnsi="Calibri" w:cs="Calibri"/>
          <w:color w:val="1A1A1A"/>
        </w:rPr>
        <w:t xml:space="preserve"> (égalité parentale) ; </w:t>
      </w:r>
      <w:r>
        <w:rPr>
          <w:rFonts w:ascii="Calibri" w:eastAsia="Calibri" w:hAnsi="Calibri" w:cs="Calibri"/>
          <w:color w:val="E91E63"/>
        </w:rPr>
        <w:t>Cass. 1re civ., 12 juin</w:t>
      </w:r>
      <w:r>
        <w:rPr>
          <w:rFonts w:ascii="Calibri" w:eastAsia="Calibri" w:hAnsi="Calibri" w:cs="Calibri"/>
          <w:color w:val="1A1A1A"/>
        </w:rPr>
        <w:t xml:space="preserve"> (audition de l’enfant) ; </w:t>
      </w:r>
      <w:r>
        <w:rPr>
          <w:rFonts w:ascii="Calibri" w:eastAsia="Calibri" w:hAnsi="Calibri" w:cs="Calibri"/>
          <w:color w:val="E91E63"/>
        </w:rPr>
        <w:t>Trib. UE, Latombe</w:t>
      </w:r>
      <w:r>
        <w:rPr>
          <w:rFonts w:ascii="Calibri" w:eastAsia="Calibri" w:hAnsi="Calibri" w:cs="Calibri"/>
          <w:color w:val="1A1A1A"/>
        </w:rPr>
        <w:t xml:space="preserve"> — </w:t>
      </w:r>
      <w:r>
        <w:rPr>
          <w:rFonts w:ascii="Calibri" w:eastAsia="Calibri" w:hAnsi="Calibri" w:cs="Calibri"/>
          <w:b/>
          <w:bCs/>
          <w:color w:val="1A1A1A"/>
        </w:rPr>
        <w:t>2026</w:t>
      </w:r>
      <w:r>
        <w:rPr>
          <w:rFonts w:ascii="Calibri" w:eastAsia="Calibri" w:hAnsi="Calibri" w:cs="Calibri"/>
          <w:color w:val="1A1A1A"/>
        </w:rPr>
        <w:t xml:space="preserve"> </w:t>
      </w:r>
      <w:r>
        <w:rPr>
          <w:rFonts w:ascii="Calibri" w:eastAsia="Calibri" w:hAnsi="Calibri" w:cs="Calibri"/>
          <w:color w:val="E91E63"/>
        </w:rPr>
        <w:t>Cass. 1re civ., 24 juin</w:t>
      </w:r>
      <w:r>
        <w:rPr>
          <w:rFonts w:ascii="Calibri" w:eastAsia="Calibri" w:hAnsi="Calibri" w:cs="Calibri"/>
          <w:color w:val="1A1A1A"/>
        </w:rPr>
        <w:t xml:space="preserve"> (voix) ; </w:t>
      </w:r>
      <w:r>
        <w:rPr>
          <w:rFonts w:ascii="Calibri" w:eastAsia="Calibri" w:hAnsi="Calibri" w:cs="Calibri"/>
          <w:color w:val="E91E63"/>
        </w:rPr>
        <w:t>Cass. ass. plén., 3 juillet</w:t>
      </w:r>
      <w:r>
        <w:rPr>
          <w:rFonts w:ascii="Calibri" w:eastAsia="Calibri" w:hAnsi="Calibri" w:cs="Calibri"/>
          <w:color w:val="1A1A1A"/>
        </w:rPr>
        <w:t xml:space="preserve"> (GPA) ; </w:t>
      </w:r>
      <w:r>
        <w:rPr>
          <w:rFonts w:ascii="Calibri" w:eastAsia="Calibri" w:hAnsi="Calibri" w:cs="Calibri"/>
          <w:color w:val="1E88E5"/>
        </w:rPr>
        <w:t>règlement (UE) 2026/1881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Cons. const., 2026-911 DC</w:t>
      </w:r>
      <w:r>
        <w:rPr>
          <w:rFonts w:ascii="Calibri" w:eastAsia="Calibri" w:hAnsi="Calibri" w:cs="Calibri"/>
          <w:color w:val="1A1A1A"/>
        </w:rPr>
        <w:t xml:space="preserve"> et </w:t>
      </w:r>
      <w:r>
        <w:rPr>
          <w:rFonts w:ascii="Calibri" w:eastAsia="Calibri" w:hAnsi="Calibri" w:cs="Calibri"/>
          <w:color w:val="E91E63"/>
        </w:rPr>
        <w:t>2026-915 DC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1E88E5"/>
        </w:rPr>
        <w:t>loi n° 2026-798 du 18 août</w:t>
      </w:r>
      <w:r>
        <w:rPr>
          <w:rFonts w:ascii="Calibri" w:eastAsia="Calibri" w:hAnsi="Calibri" w:cs="Calibri"/>
          <w:color w:val="1A1A1A"/>
        </w:rPr>
        <w:t xml:space="preserve"> ; </w:t>
      </w:r>
      <w:r>
        <w:rPr>
          <w:rFonts w:ascii="Calibri" w:eastAsia="Calibri" w:hAnsi="Calibri" w:cs="Calibri"/>
          <w:color w:val="E91E63"/>
        </w:rPr>
        <w:t>CEDH, A.A. c. Pays-Bas</w:t>
      </w:r>
      <w:r>
        <w:rPr>
          <w:rFonts w:ascii="Calibri" w:eastAsia="Calibri" w:hAnsi="Calibri" w:cs="Calibri"/>
          <w:color w:val="1A1A1A"/>
        </w:rPr>
        <w:t xml:space="preserve"> (8 septembre).</w:t>
      </w:r>
    </w:p>
    <w:p w14:paraId="11BA8DEB" w14:textId="77777777" w:rsidR="00C05C80" w:rsidRDefault="00000000">
      <w:pPr>
        <w:pStyle w:val="Titre2"/>
        <w:spacing w:before="280" w:after="12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II. Ajouts à l’index transversal</w:t>
      </w:r>
    </w:p>
    <w:p w14:paraId="3CE3281E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Vie privée (fondement constitutionnel)</w:t>
      </w:r>
      <w:r>
        <w:rPr>
          <w:rFonts w:ascii="Calibri" w:eastAsia="Calibri" w:hAnsi="Calibri" w:cs="Calibri"/>
          <w:color w:val="1A1A1A"/>
        </w:rPr>
        <w:t xml:space="preserve"> → fiches 1 (liberté personnelle), 9 (bloc de constitutionnalité), 33 (</w:t>
      </w:r>
      <w:r>
        <w:rPr>
          <w:rFonts w:ascii="Calibri" w:eastAsia="Calibri" w:hAnsi="Calibri" w:cs="Calibri"/>
          <w:color w:val="1E88E5"/>
        </w:rPr>
        <w:t>art. 2 DDHC</w:t>
      </w:r>
      <w:r>
        <w:rPr>
          <w:rFonts w:ascii="Calibri" w:eastAsia="Calibri" w:hAnsi="Calibri" w:cs="Calibri"/>
          <w:color w:val="1A1A1A"/>
        </w:rPr>
        <w:t xml:space="preserve">, </w:t>
      </w:r>
      <w:r>
        <w:rPr>
          <w:rFonts w:ascii="Calibri" w:eastAsia="Calibri" w:hAnsi="Calibri" w:cs="Calibri"/>
          <w:color w:val="E91E63"/>
        </w:rPr>
        <w:t>99-416 DC</w:t>
      </w:r>
      <w:r>
        <w:rPr>
          <w:rFonts w:ascii="Calibri" w:eastAsia="Calibri" w:hAnsi="Calibri" w:cs="Calibri"/>
          <w:color w:val="1A1A1A"/>
        </w:rPr>
        <w:t>), 35 (données).</w:t>
      </w:r>
    </w:p>
    <w:p w14:paraId="7186E621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Autonomie personnelle</w:t>
      </w:r>
      <w:r>
        <w:rPr>
          <w:rFonts w:ascii="Calibri" w:eastAsia="Calibri" w:hAnsi="Calibri" w:cs="Calibri"/>
          <w:color w:val="1A1A1A"/>
        </w:rPr>
        <w:t xml:space="preserve"> → fiches 26 (fin de vie, </w:t>
      </w:r>
      <w:r>
        <w:rPr>
          <w:rFonts w:ascii="Calibri" w:eastAsia="Calibri" w:hAnsi="Calibri" w:cs="Calibri"/>
          <w:color w:val="E91E63"/>
        </w:rPr>
        <w:t>Pretty</w:t>
      </w:r>
      <w:r>
        <w:rPr>
          <w:rFonts w:ascii="Calibri" w:eastAsia="Calibri" w:hAnsi="Calibri" w:cs="Calibri"/>
          <w:color w:val="1A1A1A"/>
        </w:rPr>
        <w:t xml:space="preserve">, </w:t>
      </w:r>
      <w:r>
        <w:rPr>
          <w:rFonts w:ascii="Calibri" w:eastAsia="Calibri" w:hAnsi="Calibri" w:cs="Calibri"/>
          <w:color w:val="E91E63"/>
        </w:rPr>
        <w:t>Karsai</w:t>
      </w:r>
      <w:r>
        <w:rPr>
          <w:rFonts w:ascii="Calibri" w:eastAsia="Calibri" w:hAnsi="Calibri" w:cs="Calibri"/>
          <w:color w:val="1A1A1A"/>
        </w:rPr>
        <w:t>), 27 (intégrité), 33 (identité, sexualité), 34 (</w:t>
      </w:r>
      <w:r>
        <w:rPr>
          <w:rFonts w:ascii="Calibri" w:eastAsia="Calibri" w:hAnsi="Calibri" w:cs="Calibri"/>
          <w:color w:val="E91E63"/>
        </w:rPr>
        <w:t>H.W. c. France</w:t>
      </w:r>
      <w:r>
        <w:rPr>
          <w:rFonts w:ascii="Calibri" w:eastAsia="Calibri" w:hAnsi="Calibri" w:cs="Calibri"/>
          <w:color w:val="1A1A1A"/>
        </w:rPr>
        <w:t>).</w:t>
      </w:r>
    </w:p>
    <w:p w14:paraId="5F377B05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GPA et filiation</w:t>
      </w:r>
      <w:r>
        <w:rPr>
          <w:rFonts w:ascii="Calibri" w:eastAsia="Calibri" w:hAnsi="Calibri" w:cs="Calibri"/>
          <w:color w:val="1A1A1A"/>
        </w:rPr>
        <w:t xml:space="preserve"> → fiches 26 (actualité, </w:t>
      </w:r>
      <w:r>
        <w:rPr>
          <w:rFonts w:ascii="Calibri" w:eastAsia="Calibri" w:hAnsi="Calibri" w:cs="Calibri"/>
          <w:color w:val="E91E63"/>
        </w:rPr>
        <w:t>Cass. ass. plén., 3 juillet 2026</w:t>
      </w:r>
      <w:r>
        <w:rPr>
          <w:rFonts w:ascii="Calibri" w:eastAsia="Calibri" w:hAnsi="Calibri" w:cs="Calibri"/>
          <w:color w:val="1A1A1A"/>
        </w:rPr>
        <w:t>), 27 (indisponibilité du corps humain), 34 (trajectoire contentieuse complète), 22 (premier avis consultatif du Protocole n° 16).</w:t>
      </w:r>
    </w:p>
    <w:p w14:paraId="6E775265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Intérêt supérieur de l’enfant</w:t>
      </w:r>
      <w:r>
        <w:rPr>
          <w:rFonts w:ascii="Calibri" w:eastAsia="Calibri" w:hAnsi="Calibri" w:cs="Calibri"/>
          <w:color w:val="1A1A1A"/>
        </w:rPr>
        <w:t xml:space="preserve"> → fiches 28 (examens osseux), 30 (enfermement des mineurs), 34 (</w:t>
      </w:r>
      <w:r>
        <w:rPr>
          <w:rFonts w:ascii="Calibri" w:eastAsia="Calibri" w:hAnsi="Calibri" w:cs="Calibri"/>
          <w:color w:val="1E88E5"/>
        </w:rPr>
        <w:t>art. 3-1 CIDE</w:t>
      </w:r>
      <w:r>
        <w:rPr>
          <w:rFonts w:ascii="Calibri" w:eastAsia="Calibri" w:hAnsi="Calibri" w:cs="Calibri"/>
          <w:color w:val="1A1A1A"/>
        </w:rPr>
        <w:t xml:space="preserve">, </w:t>
      </w:r>
      <w:r>
        <w:rPr>
          <w:rFonts w:ascii="Calibri" w:eastAsia="Calibri" w:hAnsi="Calibri" w:cs="Calibri"/>
          <w:color w:val="E91E63"/>
        </w:rPr>
        <w:t>2018-768 QPC</w:t>
      </w:r>
      <w:r>
        <w:rPr>
          <w:rFonts w:ascii="Calibri" w:eastAsia="Calibri" w:hAnsi="Calibri" w:cs="Calibri"/>
          <w:color w:val="1A1A1A"/>
        </w:rPr>
        <w:t xml:space="preserve">, audition de l’enfant), 37 (réseaux sociaux, </w:t>
      </w:r>
      <w:r>
        <w:rPr>
          <w:rFonts w:ascii="Calibri" w:eastAsia="Calibri" w:hAnsi="Calibri" w:cs="Calibri"/>
          <w:color w:val="E91E63"/>
        </w:rPr>
        <w:t>2026-911 DC</w:t>
      </w:r>
      <w:r>
        <w:rPr>
          <w:rFonts w:ascii="Calibri" w:eastAsia="Calibri" w:hAnsi="Calibri" w:cs="Calibri"/>
          <w:color w:val="1A1A1A"/>
        </w:rPr>
        <w:t>).</w:t>
      </w:r>
    </w:p>
    <w:p w14:paraId="72A0D5E3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Surveillance et renseignement</w:t>
      </w:r>
      <w:r>
        <w:rPr>
          <w:rFonts w:ascii="Calibri" w:eastAsia="Calibri" w:hAnsi="Calibri" w:cs="Calibri"/>
          <w:color w:val="1A1A1A"/>
        </w:rPr>
        <w:t xml:space="preserve"> → fiches 7 (régimes d’exception), 20 (CNCTR, AAI), 33 (</w:t>
      </w:r>
      <w:r>
        <w:rPr>
          <w:rFonts w:ascii="Calibri" w:eastAsia="Calibri" w:hAnsi="Calibri" w:cs="Calibri"/>
          <w:color w:val="E91E63"/>
        </w:rPr>
        <w:t>Klass</w:t>
      </w:r>
      <w:r>
        <w:rPr>
          <w:rFonts w:ascii="Calibri" w:eastAsia="Calibri" w:hAnsi="Calibri" w:cs="Calibri"/>
          <w:color w:val="1A1A1A"/>
        </w:rPr>
        <w:t xml:space="preserve">, </w:t>
      </w:r>
      <w:r>
        <w:rPr>
          <w:rFonts w:ascii="Calibri" w:eastAsia="Calibri" w:hAnsi="Calibri" w:cs="Calibri"/>
          <w:color w:val="E91E63"/>
        </w:rPr>
        <w:t>Kruslin</w:t>
      </w:r>
      <w:r>
        <w:rPr>
          <w:rFonts w:ascii="Calibri" w:eastAsia="Calibri" w:hAnsi="Calibri" w:cs="Calibri"/>
          <w:color w:val="1A1A1A"/>
        </w:rPr>
        <w:t xml:space="preserve">, </w:t>
      </w:r>
      <w:r>
        <w:rPr>
          <w:rFonts w:ascii="Calibri" w:eastAsia="Calibri" w:hAnsi="Calibri" w:cs="Calibri"/>
          <w:color w:val="E91E63"/>
        </w:rPr>
        <w:t>Big Brother Watch</w:t>
      </w:r>
      <w:r>
        <w:rPr>
          <w:rFonts w:ascii="Calibri" w:eastAsia="Calibri" w:hAnsi="Calibri" w:cs="Calibri"/>
          <w:color w:val="1A1A1A"/>
        </w:rPr>
        <w:t xml:space="preserve">), 35 (conservation des données, </w:t>
      </w:r>
      <w:r>
        <w:rPr>
          <w:rFonts w:ascii="Calibri" w:eastAsia="Calibri" w:hAnsi="Calibri" w:cs="Calibri"/>
          <w:color w:val="E91E63"/>
        </w:rPr>
        <w:t>French Data Network</w:t>
      </w:r>
      <w:r>
        <w:rPr>
          <w:rFonts w:ascii="Calibri" w:eastAsia="Calibri" w:hAnsi="Calibri" w:cs="Calibri"/>
          <w:color w:val="1A1A1A"/>
        </w:rPr>
        <w:t>).</w:t>
      </w:r>
    </w:p>
    <w:p w14:paraId="1F3A6692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Vidéosurveillance algorithmique</w:t>
      </w:r>
      <w:r>
        <w:rPr>
          <w:rFonts w:ascii="Calibri" w:eastAsia="Calibri" w:hAnsi="Calibri" w:cs="Calibri"/>
          <w:color w:val="1A1A1A"/>
        </w:rPr>
        <w:t xml:space="preserve"> → fiches 33 (cadre : </w:t>
      </w:r>
      <w:r>
        <w:rPr>
          <w:rFonts w:ascii="Calibri" w:eastAsia="Calibri" w:hAnsi="Calibri" w:cs="Calibri"/>
          <w:color w:val="E91E63"/>
        </w:rPr>
        <w:t>2023-850 DC</w:t>
      </w:r>
      <w:r>
        <w:rPr>
          <w:rFonts w:ascii="Calibri" w:eastAsia="Calibri" w:hAnsi="Calibri" w:cs="Calibri"/>
          <w:color w:val="1A1A1A"/>
        </w:rPr>
        <w:t xml:space="preserve">, </w:t>
      </w:r>
      <w:r>
        <w:rPr>
          <w:rFonts w:ascii="Calibri" w:eastAsia="Calibri" w:hAnsi="Calibri" w:cs="Calibri"/>
          <w:color w:val="E91E63"/>
        </w:rPr>
        <w:t>2025-878 DC</w:t>
      </w:r>
      <w:r>
        <w:rPr>
          <w:rFonts w:ascii="Calibri" w:eastAsia="Calibri" w:hAnsi="Calibri" w:cs="Calibri"/>
          <w:color w:val="1A1A1A"/>
        </w:rPr>
        <w:t xml:space="preserve">, </w:t>
      </w:r>
      <w:r>
        <w:rPr>
          <w:rFonts w:ascii="Calibri" w:eastAsia="Calibri" w:hAnsi="Calibri" w:cs="Calibri"/>
          <w:color w:val="1E88E5"/>
        </w:rPr>
        <w:t>loi du 18 août 2026</w:t>
      </w:r>
      <w:r>
        <w:rPr>
          <w:rFonts w:ascii="Calibri" w:eastAsia="Calibri" w:hAnsi="Calibri" w:cs="Calibri"/>
          <w:color w:val="1A1A1A"/>
        </w:rPr>
        <w:t xml:space="preserve">), 35 (IA, </w:t>
      </w:r>
      <w:r>
        <w:rPr>
          <w:rFonts w:ascii="Calibri" w:eastAsia="Calibri" w:hAnsi="Calibri" w:cs="Calibri"/>
          <w:color w:val="E91E63"/>
        </w:rPr>
        <w:t>TA Caen</w:t>
      </w:r>
      <w:r>
        <w:rPr>
          <w:rFonts w:ascii="Calibri" w:eastAsia="Calibri" w:hAnsi="Calibri" w:cs="Calibri"/>
          <w:color w:val="1A1A1A"/>
        </w:rPr>
        <w:t>), 38 (manifestations).</w:t>
      </w:r>
    </w:p>
    <w:p w14:paraId="1E7DA151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Dialogue des juges / identité constitutionnelle</w:t>
      </w:r>
      <w:r>
        <w:rPr>
          <w:rFonts w:ascii="Calibri" w:eastAsia="Calibri" w:hAnsi="Calibri" w:cs="Calibri"/>
          <w:color w:val="1A1A1A"/>
        </w:rPr>
        <w:t xml:space="preserve"> → fiches 12 (articulation des ordres), 22 (avis consultatif), 34 (GPA), 35 (</w:t>
      </w:r>
      <w:r>
        <w:rPr>
          <w:rFonts w:ascii="Calibri" w:eastAsia="Calibri" w:hAnsi="Calibri" w:cs="Calibri"/>
          <w:color w:val="E91E63"/>
        </w:rPr>
        <w:t>French Data Network</w:t>
      </w:r>
      <w:r>
        <w:rPr>
          <w:rFonts w:ascii="Calibri" w:eastAsia="Calibri" w:hAnsi="Calibri" w:cs="Calibri"/>
          <w:color w:val="1A1A1A"/>
        </w:rPr>
        <w:t>).</w:t>
      </w:r>
    </w:p>
    <w:p w14:paraId="54A275B1" w14:textId="77777777" w:rsidR="00C05C80" w:rsidRDefault="00000000">
      <w:pPr>
        <w:pStyle w:val="Paragraphedeliste"/>
        <w:numPr>
          <w:ilvl w:val="0"/>
          <w:numId w:val="2"/>
        </w:numPr>
        <w:spacing w:after="70" w:line="264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lastRenderedPageBreak/>
        <w:t>Environnement par ricochet</w:t>
      </w:r>
      <w:r>
        <w:rPr>
          <w:rFonts w:ascii="Calibri" w:eastAsia="Calibri" w:hAnsi="Calibri" w:cs="Calibri"/>
          <w:color w:val="1A1A1A"/>
        </w:rPr>
        <w:t xml:space="preserve"> → fiches 26 (</w:t>
      </w:r>
      <w:r>
        <w:rPr>
          <w:rFonts w:ascii="Calibri" w:eastAsia="Calibri" w:hAnsi="Calibri" w:cs="Calibri"/>
          <w:color w:val="1E88E5"/>
        </w:rPr>
        <w:t>art. 2</w:t>
      </w:r>
      <w:r>
        <w:rPr>
          <w:rFonts w:ascii="Calibri" w:eastAsia="Calibri" w:hAnsi="Calibri" w:cs="Calibri"/>
          <w:color w:val="1A1A1A"/>
        </w:rPr>
        <w:t xml:space="preserve">, </w:t>
      </w:r>
      <w:r>
        <w:rPr>
          <w:rFonts w:ascii="Calibri" w:eastAsia="Calibri" w:hAnsi="Calibri" w:cs="Calibri"/>
          <w:color w:val="E91E63"/>
        </w:rPr>
        <w:t>Cannavacciuolo</w:t>
      </w:r>
      <w:r>
        <w:rPr>
          <w:rFonts w:ascii="Calibri" w:eastAsia="Calibri" w:hAnsi="Calibri" w:cs="Calibri"/>
          <w:color w:val="1A1A1A"/>
        </w:rPr>
        <w:t>), 33 (</w:t>
      </w:r>
      <w:r>
        <w:rPr>
          <w:rFonts w:ascii="Calibri" w:eastAsia="Calibri" w:hAnsi="Calibri" w:cs="Calibri"/>
          <w:color w:val="1E88E5"/>
        </w:rPr>
        <w:t>art. 8</w:t>
      </w:r>
      <w:r>
        <w:rPr>
          <w:rFonts w:ascii="Calibri" w:eastAsia="Calibri" w:hAnsi="Calibri" w:cs="Calibri"/>
          <w:color w:val="1A1A1A"/>
        </w:rPr>
        <w:t xml:space="preserve">, </w:t>
      </w:r>
      <w:r>
        <w:rPr>
          <w:rFonts w:ascii="Calibri" w:eastAsia="Calibri" w:hAnsi="Calibri" w:cs="Calibri"/>
          <w:color w:val="E91E63"/>
        </w:rPr>
        <w:t>López Ostra</w:t>
      </w:r>
      <w:r>
        <w:rPr>
          <w:rFonts w:ascii="Calibri" w:eastAsia="Calibri" w:hAnsi="Calibri" w:cs="Calibri"/>
          <w:color w:val="1A1A1A"/>
        </w:rPr>
        <w:t xml:space="preserve">, </w:t>
      </w:r>
      <w:r>
        <w:rPr>
          <w:rFonts w:ascii="Calibri" w:eastAsia="Calibri" w:hAnsi="Calibri" w:cs="Calibri"/>
          <w:color w:val="E91E63"/>
        </w:rPr>
        <w:t>Hatton</w:t>
      </w:r>
      <w:r>
        <w:rPr>
          <w:rFonts w:ascii="Calibri" w:eastAsia="Calibri" w:hAnsi="Calibri" w:cs="Calibri"/>
          <w:color w:val="1A1A1A"/>
        </w:rPr>
        <w:t xml:space="preserve">, </w:t>
      </w:r>
      <w:r>
        <w:rPr>
          <w:rFonts w:ascii="Calibri" w:eastAsia="Calibri" w:hAnsi="Calibri" w:cs="Calibri"/>
          <w:color w:val="E91E63"/>
        </w:rPr>
        <w:t>Dzemyuk</w:t>
      </w:r>
      <w:r>
        <w:rPr>
          <w:rFonts w:ascii="Calibri" w:eastAsia="Calibri" w:hAnsi="Calibri" w:cs="Calibri"/>
          <w:color w:val="1A1A1A"/>
        </w:rPr>
        <w:t>), 49 (droit à un environnement sain).</w:t>
      </w:r>
    </w:p>
    <w:sectPr w:rsidR="00C05C80">
      <w:footerReference w:type="default" r:id="rId7"/>
      <w:pgSz w:w="11906" w:h="16838"/>
      <w:pgMar w:top="1020" w:right="1077" w:bottom="1020" w:left="107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A752919" w14:textId="77777777" w:rsidR="00475593" w:rsidRDefault="00475593">
      <w:r>
        <w:separator/>
      </w:r>
    </w:p>
  </w:endnote>
  <w:endnote w:type="continuationSeparator" w:id="0">
    <w:p w14:paraId="13FB0D8C" w14:textId="77777777" w:rsidR="00475593" w:rsidRDefault="00475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79C75B" w14:textId="77777777" w:rsidR="00C05C80" w:rsidRDefault="00000000">
    <w:pPr>
      <w:jc w:val="center"/>
    </w:pPr>
    <w:r>
      <w:rPr>
        <w:rFonts w:ascii="Calibri" w:eastAsia="Calibri" w:hAnsi="Calibri" w:cs="Calibri"/>
        <w:color w:val="5A5A5A"/>
        <w:sz w:val="15"/>
        <w:szCs w:val="15"/>
      </w:rPr>
      <w:t xml:space="preserve">Grand Oral CRFPA — Libertés publiques et droits fondamentaux — Partie VI-C   |   </w:t>
    </w:r>
    <w:r>
      <w:rPr>
        <w:rFonts w:ascii="Calibri" w:eastAsia="Calibri" w:hAnsi="Calibri" w:cs="Calibri"/>
        <w:color w:val="5A5A5A"/>
        <w:sz w:val="15"/>
        <w:szCs w:val="15"/>
      </w:rPr>
      <w:fldChar w:fldCharType="begin"/>
    </w:r>
    <w:r>
      <w:rPr>
        <w:rFonts w:ascii="Calibri" w:eastAsia="Calibri" w:hAnsi="Calibri" w:cs="Calibri"/>
        <w:color w:val="5A5A5A"/>
        <w:sz w:val="15"/>
        <w:szCs w:val="15"/>
      </w:rPr>
      <w:instrText>PAGE</w:instrText>
    </w:r>
    <w:r>
      <w:rPr>
        <w:rFonts w:ascii="Calibri" w:eastAsia="Calibri" w:hAnsi="Calibri" w:cs="Calibri"/>
        <w:color w:val="5A5A5A"/>
        <w:sz w:val="15"/>
        <w:szCs w:val="15"/>
      </w:rPr>
      <w:fldChar w:fldCharType="separate"/>
    </w:r>
    <w:r w:rsidR="006539FF">
      <w:rPr>
        <w:rFonts w:ascii="Calibri" w:eastAsia="Calibri" w:hAnsi="Calibri" w:cs="Calibri"/>
        <w:noProof/>
        <w:color w:val="5A5A5A"/>
        <w:sz w:val="15"/>
        <w:szCs w:val="15"/>
      </w:rPr>
      <w:t>1</w:t>
    </w:r>
    <w:r>
      <w:rPr>
        <w:rFonts w:ascii="Calibri" w:eastAsia="Calibri" w:hAnsi="Calibri" w:cs="Calibri"/>
        <w:color w:val="5A5A5A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11DD006" w14:textId="77777777" w:rsidR="00475593" w:rsidRDefault="00475593">
      <w:r>
        <w:separator/>
      </w:r>
    </w:p>
  </w:footnote>
  <w:footnote w:type="continuationSeparator" w:id="0">
    <w:p w14:paraId="2945E6DD" w14:textId="77777777" w:rsidR="00475593" w:rsidRDefault="004755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1F61DE"/>
    <w:multiLevelType w:val="hybridMultilevel"/>
    <w:tmpl w:val="BE3A3BDE"/>
    <w:lvl w:ilvl="0" w:tplc="2A962890">
      <w:start w:val="1"/>
      <w:numFmt w:val="bullet"/>
      <w:lvlText w:val="●"/>
      <w:lvlJc w:val="left"/>
      <w:pPr>
        <w:ind w:left="720" w:hanging="360"/>
      </w:pPr>
    </w:lvl>
    <w:lvl w:ilvl="1" w:tplc="77E62966">
      <w:start w:val="1"/>
      <w:numFmt w:val="bullet"/>
      <w:lvlText w:val="○"/>
      <w:lvlJc w:val="left"/>
      <w:pPr>
        <w:ind w:left="1440" w:hanging="360"/>
      </w:pPr>
    </w:lvl>
    <w:lvl w:ilvl="2" w:tplc="9A4E2AA4">
      <w:start w:val="1"/>
      <w:numFmt w:val="bullet"/>
      <w:lvlText w:val="■"/>
      <w:lvlJc w:val="left"/>
      <w:pPr>
        <w:ind w:left="2160" w:hanging="360"/>
      </w:pPr>
    </w:lvl>
    <w:lvl w:ilvl="3" w:tplc="3332658C">
      <w:start w:val="1"/>
      <w:numFmt w:val="bullet"/>
      <w:lvlText w:val="●"/>
      <w:lvlJc w:val="left"/>
      <w:pPr>
        <w:ind w:left="2880" w:hanging="360"/>
      </w:pPr>
    </w:lvl>
    <w:lvl w:ilvl="4" w:tplc="2B06D8A0">
      <w:start w:val="1"/>
      <w:numFmt w:val="bullet"/>
      <w:lvlText w:val="○"/>
      <w:lvlJc w:val="left"/>
      <w:pPr>
        <w:ind w:left="3600" w:hanging="360"/>
      </w:pPr>
    </w:lvl>
    <w:lvl w:ilvl="5" w:tplc="20A2352E">
      <w:start w:val="1"/>
      <w:numFmt w:val="bullet"/>
      <w:lvlText w:val="■"/>
      <w:lvlJc w:val="left"/>
      <w:pPr>
        <w:ind w:left="4320" w:hanging="360"/>
      </w:pPr>
    </w:lvl>
    <w:lvl w:ilvl="6" w:tplc="A1163818">
      <w:start w:val="1"/>
      <w:numFmt w:val="bullet"/>
      <w:lvlText w:val="●"/>
      <w:lvlJc w:val="left"/>
      <w:pPr>
        <w:ind w:left="5040" w:hanging="360"/>
      </w:pPr>
    </w:lvl>
    <w:lvl w:ilvl="7" w:tplc="5168628A">
      <w:start w:val="1"/>
      <w:numFmt w:val="bullet"/>
      <w:lvlText w:val="●"/>
      <w:lvlJc w:val="left"/>
      <w:pPr>
        <w:ind w:left="5760" w:hanging="360"/>
      </w:pPr>
    </w:lvl>
    <w:lvl w:ilvl="8" w:tplc="B01EF0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C56773"/>
    <w:multiLevelType w:val="hybridMultilevel"/>
    <w:tmpl w:val="D1F2E29A"/>
    <w:lvl w:ilvl="0" w:tplc="B16CF3B8">
      <w:start w:val="1"/>
      <w:numFmt w:val="bullet"/>
      <w:lvlText w:val="▪"/>
      <w:lvlJc w:val="left"/>
      <w:pPr>
        <w:ind w:left="340" w:hanging="200"/>
      </w:pPr>
    </w:lvl>
    <w:lvl w:ilvl="1" w:tplc="5D60C31C">
      <w:start w:val="1"/>
      <w:numFmt w:val="bullet"/>
      <w:lvlText w:val="–"/>
      <w:lvlJc w:val="left"/>
      <w:pPr>
        <w:ind w:left="700" w:hanging="200"/>
      </w:pPr>
    </w:lvl>
    <w:lvl w:ilvl="2" w:tplc="892A784A">
      <w:start w:val="1"/>
      <w:numFmt w:val="bullet"/>
      <w:lvlText w:val="·"/>
      <w:lvlJc w:val="left"/>
      <w:pPr>
        <w:ind w:left="1060" w:hanging="200"/>
      </w:pPr>
    </w:lvl>
    <w:lvl w:ilvl="3" w:tplc="16ECB0C8">
      <w:numFmt w:val="decimal"/>
      <w:lvlText w:val=""/>
      <w:lvlJc w:val="left"/>
    </w:lvl>
    <w:lvl w:ilvl="4" w:tplc="56BAAEAC">
      <w:numFmt w:val="decimal"/>
      <w:lvlText w:val=""/>
      <w:lvlJc w:val="left"/>
    </w:lvl>
    <w:lvl w:ilvl="5" w:tplc="B1F24218">
      <w:numFmt w:val="decimal"/>
      <w:lvlText w:val=""/>
      <w:lvlJc w:val="left"/>
    </w:lvl>
    <w:lvl w:ilvl="6" w:tplc="F282027E">
      <w:numFmt w:val="decimal"/>
      <w:lvlText w:val=""/>
      <w:lvlJc w:val="left"/>
    </w:lvl>
    <w:lvl w:ilvl="7" w:tplc="1F0ED410">
      <w:numFmt w:val="decimal"/>
      <w:lvlText w:val=""/>
      <w:lvlJc w:val="left"/>
    </w:lvl>
    <w:lvl w:ilvl="8" w:tplc="01964698">
      <w:numFmt w:val="decimal"/>
      <w:lvlText w:val=""/>
      <w:lvlJc w:val="left"/>
    </w:lvl>
  </w:abstractNum>
  <w:num w:numId="1" w16cid:durableId="275526561">
    <w:abstractNumId w:val="0"/>
    <w:lvlOverride w:ilvl="0">
      <w:startOverride w:val="1"/>
    </w:lvlOverride>
  </w:num>
  <w:num w:numId="2" w16cid:durableId="18111685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C80"/>
    <w:rsid w:val="000052DE"/>
    <w:rsid w:val="00013CFD"/>
    <w:rsid w:val="000E2199"/>
    <w:rsid w:val="00184F8F"/>
    <w:rsid w:val="002E1C89"/>
    <w:rsid w:val="00324965"/>
    <w:rsid w:val="0039584A"/>
    <w:rsid w:val="00475593"/>
    <w:rsid w:val="0064035B"/>
    <w:rsid w:val="006539FF"/>
    <w:rsid w:val="006D0330"/>
    <w:rsid w:val="007A140E"/>
    <w:rsid w:val="008C3AEB"/>
    <w:rsid w:val="008C4367"/>
    <w:rsid w:val="009806EA"/>
    <w:rsid w:val="00BB334D"/>
    <w:rsid w:val="00C05C80"/>
    <w:rsid w:val="00C52ECB"/>
    <w:rsid w:val="00D23A8D"/>
    <w:rsid w:val="00D456FD"/>
    <w:rsid w:val="00D91263"/>
    <w:rsid w:val="00EB2F39"/>
    <w:rsid w:val="00FE0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85853C"/>
  <w15:docId w15:val="{15FF7F06-0F65-3540-8178-5248E90D4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22</Pages>
  <Words>10186</Words>
  <Characters>56023</Characters>
  <Application>Microsoft Office Word</Application>
  <DocSecurity>0</DocSecurity>
  <Lines>466</Lines>
  <Paragraphs>132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Grand Oral CRFPA — Libertés publiques et droits fondamentaux — Partie VI-C</vt:lpstr>
    </vt:vector>
  </TitlesOfParts>
  <Company/>
  <LinksUpToDate>false</LinksUpToDate>
  <CharactersWithSpaces>66077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Grand Oral CRFPA — Libertés publiques et droits fondamentaux — Partie VI-C</dc:title>
  <dc:creator>Simon</dc:creator>
  <dc:description>Fiches de révision n° 33 à 35</dc:description>
  <cp:lastModifiedBy>Simon BERNINES</cp:lastModifiedBy>
  <cp:revision>3</cp:revision>
  <dcterms:created xsi:type="dcterms:W3CDTF">2026-10-04T14:56:00Z</dcterms:created>
  <dcterms:modified xsi:type="dcterms:W3CDTF">2026-10-25T09:42:00Z</dcterms:modified>
</cp:coreProperties>
</file>