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5A5A5A"/>
          <w:spacing w:val="60"/>
          <w:sz w:val="26"/>
          <w:szCs w:val="26"/>
        </w:rPr>
        <w:t xml:space="preserve">GRAND ORAL DU CRFPA</w:t>
      </w:r>
    </w:p>
    <w:p>
      <w:pPr>
        <w:spacing w:after="100"/>
        <w:jc w:val="center"/>
      </w:pPr>
      <w:r>
        <w:rPr>
          <w:rFonts w:ascii="Calibri" w:cs="Calibri" w:eastAsia="Calibri" w:hAnsi="Calibri"/>
          <w:b/>
          <w:bCs/>
          <w:color w:val="8C1C2B"/>
          <w:sz w:val="44"/>
          <w:szCs w:val="44"/>
        </w:rPr>
        <w:t xml:space="preserve">LIBERTÉS PUBLIQUES ET DROITS FONDAMENTAUX</w:t>
      </w:r>
    </w:p>
    <w:p>
      <w:pPr>
        <w:spacing w:after="600"/>
        <w:jc w:val="center"/>
      </w:pPr>
      <w:r>
        <w:rPr>
          <w:rFonts w:ascii="Calibri" w:cs="Calibri" w:eastAsia="Calibri" w:hAnsi="Calibri"/>
          <w:color w:val="1A1A1A"/>
          <w:sz w:val="26"/>
          <w:szCs w:val="26"/>
        </w:rPr>
        <w:t xml:space="preserve">Partie VI-E — Circulation, participation, autodétermination (fiches n° 40 à 44)</w:t>
      </w:r>
    </w:p>
    <w:p>
      <w:pPr>
        <w:spacing w:after="100"/>
        <w:jc w:val="center"/>
      </w:pPr>
      <w:r>
        <w:rPr>
          <w:rFonts w:ascii="Calibri" w:cs="Calibri" w:eastAsia="Calibri" w:hAnsi="Calibri"/>
          <w:i/>
          <w:iCs/>
          <w:color w:val="5A5A5A"/>
          <w:sz w:val="20"/>
          <w:szCs w:val="20"/>
        </w:rPr>
        <w:t xml:space="preserve">Fiches de révision exhaustives — exposé de 15 minutes et entretien avec le jury</w:t>
      </w:r>
    </w:p>
    <w:p>
      <w:pPr>
        <w:spacing w:after="700"/>
        <w:jc w:val="center"/>
      </w:pPr>
      <w:r>
        <w:rPr>
          <w:rFonts w:ascii="Calibri" w:cs="Calibri" w:eastAsia="Calibri" w:hAnsi="Calibri"/>
          <w:i/>
          <w:iCs/>
          <w:color w:val="5A5A5A"/>
          <w:sz w:val="18"/>
          <w:szCs w:val="18"/>
        </w:rPr>
        <w:t xml:space="preserve">D’après le fascicule Objectif Barreau 2026</w:t>
      </w:r>
    </w:p>
    <w:p>
      <w:pPr>
        <w:spacing w:after="120" w:before="200"/>
      </w:pPr>
      <w:r>
        <w:rPr>
          <w:rFonts w:ascii="Calibri" w:cs="Calibri" w:eastAsia="Calibri" w:hAnsi="Calibri"/>
          <w:b/>
          <w:bCs/>
          <w:color w:val="1A1A1A"/>
          <w:sz w:val="22"/>
          <w:szCs w:val="22"/>
        </w:rPr>
        <w:t xml:space="preserve">CODE COULEUR</w:t>
      </w:r>
    </w:p>
    <w:p>
      <w:pPr>
        <w:pStyle w:val="ListParagraph"/>
        <w:numPr>
          <w:ilvl w:val="0"/>
          <w:numId w:val="2"/>
        </w:numPr>
        <w:spacing w:after="60"/>
      </w:pPr>
      <w:r>
        <w:rPr>
          <w:rFonts w:ascii="Calibri" w:cs="Calibri" w:eastAsia="Calibri" w:hAnsi="Calibri"/>
          <w:color w:val="1E88E5"/>
          <w:sz w:val="20"/>
          <w:szCs w:val="20"/>
        </w:rPr>
        <w:t xml:space="preserve">Textes normatifs</w:t>
      </w:r>
      <w:r>
        <w:rPr>
          <w:rFonts w:ascii="Calibri" w:cs="Calibri" w:eastAsia="Calibri" w:hAnsi="Calibri"/>
          <w:color w:val="1A1A1A"/>
          <w:sz w:val="20"/>
          <w:szCs w:val="20"/>
        </w:rPr>
        <w:t xml:space="preserve"> — traités, conventions, Constitution, codes, lois, règlements.</w:t>
      </w:r>
    </w:p>
    <w:p>
      <w:pPr>
        <w:pStyle w:val="ListParagraph"/>
        <w:numPr>
          <w:ilvl w:val="0"/>
          <w:numId w:val="2"/>
        </w:numPr>
        <w:spacing w:after="60"/>
      </w:pPr>
      <w:r>
        <w:rPr>
          <w:rFonts w:ascii="Calibri" w:cs="Calibri" w:eastAsia="Calibri" w:hAnsi="Calibri"/>
          <w:color w:val="E91E63"/>
          <w:sz w:val="20"/>
          <w:szCs w:val="20"/>
        </w:rPr>
        <w:t xml:space="preserve">Jurisprudence</w:t>
      </w:r>
      <w:r>
        <w:rPr>
          <w:rFonts w:ascii="Calibri" w:cs="Calibri" w:eastAsia="Calibri" w:hAnsi="Calibri"/>
          <w:color w:val="1A1A1A"/>
          <w:sz w:val="20"/>
          <w:szCs w:val="20"/>
        </w:rPr>
        <w:t xml:space="preserve"> — Cass., CE, Cons. const., CEDH, CJUE, décisions QPC.</w:t>
      </w:r>
    </w:p>
    <w:p>
      <w:pPr>
        <w:pStyle w:val="ListParagraph"/>
        <w:numPr>
          <w:ilvl w:val="0"/>
          <w:numId w:val="2"/>
        </w:numPr>
        <w:spacing w:after="60"/>
      </w:pPr>
      <w:r>
        <w:rPr>
          <w:rFonts w:ascii="Calibri" w:cs="Calibri" w:eastAsia="Calibri" w:hAnsi="Calibri"/>
          <w:color w:val="2E7D32"/>
          <w:sz w:val="20"/>
          <w:szCs w:val="20"/>
        </w:rPr>
        <w:t xml:space="preserve">Doctrine</w:t>
      </w:r>
      <w:r>
        <w:rPr>
          <w:rFonts w:ascii="Calibri" w:cs="Calibri" w:eastAsia="Calibri" w:hAnsi="Calibri"/>
          <w:color w:val="1A1A1A"/>
          <w:sz w:val="20"/>
          <w:szCs w:val="20"/>
        </w:rPr>
        <w:t xml:space="preserve"> — auteurs, thèses, controverses universitaires, avis institutionnels.</w:t>
      </w:r>
    </w:p>
    <w:p>
      <w:pPr>
        <w:pStyle w:val="ListParagraph"/>
        <w:numPr>
          <w:ilvl w:val="0"/>
          <w:numId w:val="2"/>
        </w:numPr>
        <w:spacing w:after="60"/>
      </w:pPr>
      <w:r>
        <w:rPr>
          <w:rFonts w:ascii="Calibri" w:cs="Calibri" w:eastAsia="Calibri" w:hAnsi="Calibri"/>
          <w:b/>
          <w:bCs/>
          <w:color w:val="1A1A1A"/>
          <w:sz w:val="20"/>
          <w:szCs w:val="20"/>
        </w:rPr>
        <w:t xml:space="preserve">Gras</w:t>
      </w:r>
      <w:r>
        <w:rPr>
          <w:rFonts w:ascii="Calibri" w:cs="Calibri" w:eastAsia="Calibri" w:hAnsi="Calibri"/>
          <w:color w:val="1A1A1A"/>
          <w:sz w:val="20"/>
          <w:szCs w:val="20"/>
        </w:rPr>
        <w:t xml:space="preserve"> — réservé au seul apport à mémoriser. La couleur dit d’où vient la règle, le gras dit ce qu’il faut réciter.</w:t>
      </w:r>
    </w:p>
    <w:p>
      <w:pPr>
        <w:pStyle w:val="ListParagraph"/>
        <w:numPr>
          <w:ilvl w:val="0"/>
          <w:numId w:val="2"/>
        </w:numPr>
        <w:spacing w:after="300"/>
      </w:pPr>
      <w:r>
        <w:rPr>
          <w:rFonts w:ascii="Calibri" w:cs="Calibri" w:eastAsia="Calibri" w:hAnsi="Calibri"/>
          <w:color w:val="1A1A1A"/>
          <w:sz w:val="20"/>
          <w:szCs w:val="20"/>
        </w:rPr>
        <w:t xml:space="preserve">★</w:t>
      </w:r>
      <w:r>
        <w:rPr>
          <w:rFonts w:ascii="Calibri" w:cs="Calibri" w:eastAsia="Calibri" w:hAnsi="Calibri"/>
          <w:color w:val="1A1A1A"/>
          <w:sz w:val="20"/>
          <w:szCs w:val="20"/>
        </w:rPr>
        <w:t xml:space="preserve"> — référence incontournable, à citer de mémoire le jour J.</w:t>
      </w:r>
    </w:p>
    <w:p>
      <w:pPr>
        <w:spacing w:after="120" w:before="200"/>
      </w:pPr>
      <w:r>
        <w:rPr>
          <w:rFonts w:ascii="Calibri" w:cs="Calibri" w:eastAsia="Calibri" w:hAnsi="Calibri"/>
          <w:b/>
          <w:bCs/>
          <w:color w:val="1A1A1A"/>
          <w:sz w:val="22"/>
          <w:szCs w:val="22"/>
        </w:rPr>
        <w:t xml:space="preserve">SOMMAIRE</w:t>
      </w:r>
    </w:p>
    <w:p>
      <w:pPr>
        <w:pStyle w:val="ListParagraph"/>
        <w:numPr>
          <w:ilvl w:val="0"/>
          <w:numId w:val="2"/>
        </w:numPr>
        <w:spacing w:after="40"/>
      </w:pPr>
      <w:r>
        <w:rPr>
          <w:rFonts w:ascii="Calibri" w:cs="Calibri" w:eastAsia="Calibri" w:hAnsi="Calibri"/>
          <w:color w:val="1A1A1A"/>
          <w:sz w:val="20"/>
          <w:szCs w:val="20"/>
        </w:rPr>
        <w:t xml:space="preserve">Fiche n° 40 — La liberté d’aller et venir</w:t>
      </w:r>
    </w:p>
    <w:p>
      <w:pPr>
        <w:pStyle w:val="ListParagraph"/>
        <w:numPr>
          <w:ilvl w:val="0"/>
          <w:numId w:val="2"/>
        </w:numPr>
        <w:spacing w:after="40"/>
      </w:pPr>
      <w:r>
        <w:rPr>
          <w:rFonts w:ascii="Calibri" w:cs="Calibri" w:eastAsia="Calibri" w:hAnsi="Calibri"/>
          <w:color w:val="1A1A1A"/>
          <w:sz w:val="20"/>
          <w:szCs w:val="20"/>
        </w:rPr>
        <w:t xml:space="preserve">Fiche n° 41 — La liberté de l’enseignement</w:t>
      </w:r>
    </w:p>
    <w:p>
      <w:pPr>
        <w:pStyle w:val="ListParagraph"/>
        <w:numPr>
          <w:ilvl w:val="0"/>
          <w:numId w:val="2"/>
        </w:numPr>
        <w:spacing w:after="40"/>
      </w:pPr>
      <w:r>
        <w:rPr>
          <w:rFonts w:ascii="Calibri" w:cs="Calibri" w:eastAsia="Calibri" w:hAnsi="Calibri"/>
          <w:color w:val="1A1A1A"/>
          <w:sz w:val="20"/>
          <w:szCs w:val="20"/>
        </w:rPr>
        <w:t xml:space="preserve">Fiche n° 42 — Le droit à des élections libres</w:t>
      </w:r>
    </w:p>
    <w:p>
      <w:pPr>
        <w:pStyle w:val="ListParagraph"/>
        <w:numPr>
          <w:ilvl w:val="0"/>
          <w:numId w:val="2"/>
        </w:numPr>
        <w:spacing w:after="40"/>
      </w:pPr>
      <w:r>
        <w:rPr>
          <w:rFonts w:ascii="Calibri" w:cs="Calibri" w:eastAsia="Calibri" w:hAnsi="Calibri"/>
          <w:color w:val="1A1A1A"/>
          <w:sz w:val="20"/>
          <w:szCs w:val="20"/>
        </w:rPr>
        <w:t xml:space="preserve">Fiche n° 43 — Les protections fondamentales en cas d’éloignement, d’expulsion et d’extradition</w:t>
      </w:r>
    </w:p>
    <w:p>
      <w:pPr>
        <w:pStyle w:val="ListParagraph"/>
        <w:numPr>
          <w:ilvl w:val="0"/>
          <w:numId w:val="2"/>
        </w:numPr>
        <w:spacing w:after="40"/>
      </w:pPr>
      <w:r>
        <w:rPr>
          <w:rFonts w:ascii="Calibri" w:cs="Calibri" w:eastAsia="Calibri" w:hAnsi="Calibri"/>
          <w:color w:val="1A1A1A"/>
          <w:sz w:val="20"/>
          <w:szCs w:val="20"/>
        </w:rPr>
        <w:t xml:space="preserve">Fiche n° 44 — Le droit des peuples à disposer d’eux-mêmes</w:t>
      </w:r>
    </w:p>
    <w:p>
      <w:pPr>
        <w:pStyle w:val="ListParagraph"/>
        <w:numPr>
          <w:ilvl w:val="0"/>
          <w:numId w:val="2"/>
        </w:numPr>
        <w:spacing w:after="40"/>
      </w:pPr>
      <w:r>
        <w:rPr>
          <w:rFonts w:ascii="Calibri" w:cs="Calibri" w:eastAsia="Calibri" w:hAnsi="Calibri"/>
          <w:color w:val="1A1A1A"/>
          <w:sz w:val="20"/>
          <w:szCs w:val="20"/>
        </w:rPr>
        <w:t xml:space="preserve">Annexe — Compléments à la chronologie et à l’index</w:t>
      </w:r>
    </w:p>
    <w:p>
      <w:pPr>
        <w:spacing w:after="80" w:before="300"/>
      </w:pPr>
      <w:r>
        <w:rPr>
          <w:rFonts w:ascii="Calibri" w:cs="Calibri" w:eastAsia="Calibri" w:hAnsi="Calibri"/>
          <w:i/>
          <w:iCs/>
          <w:color w:val="5A5A5A"/>
          <w:sz w:val="18"/>
          <w:szCs w:val="18"/>
        </w:rPr>
        <w:t xml:space="preserve">Chaque fiche s’ouvre sur une FICHE-MÉMOIRE d’une page — accroche, définition en trois lignes, cinq références incontournables, deux matrices de plan, trois pièges. C’est elle que l’on relit ; les pages suivantes forment le dossier de consultation.</w:t>
      </w:r>
    </w:p>
    <w:p>
      <w:r>
        <w:rPr>
          <w:rFonts w:ascii="Calibri" w:cs="Calibri" w:eastAsia="Calibri" w:hAnsi="Calibri"/>
          <w:i/>
          <w:iCs/>
          <w:color w:val="5A5A5A"/>
          <w:sz w:val="18"/>
          <w:szCs w:val="18"/>
        </w:rPr>
        <w:t xml:space="preserve">Dossier : architecture textuelle — ligne prétorienne et évolutions — débats doctrinaux et critiques — dispositif « Grand Oral » (relances du jury, sujets d’exposé, angles morts formulés en question / réponse pour le rappel actif).</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40 — LA LIBERTÉ D’ALLER ET VENIR</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En 1539, le théologien </w:t>
      </w:r>
      <w:r>
        <w:rPr>
          <w:rFonts w:ascii="Calibri" w:cs="Calibri" w:eastAsia="Calibri" w:hAnsi="Calibri"/>
          <w:color w:val="2E7D32"/>
          <w:sz w:val="20"/>
          <w:szCs w:val="20"/>
        </w:rPr>
        <w:t xml:space="preserve">Francisco de Vitoria</w:t>
      </w:r>
      <w:r>
        <w:rPr>
          <w:rFonts w:ascii="Calibri" w:cs="Calibri" w:eastAsia="Calibri" w:hAnsi="Calibri"/>
          <w:color w:val="1A1A1A"/>
          <w:sz w:val="20"/>
          <w:szCs w:val="20"/>
        </w:rPr>
        <w:t xml:space="preserve"> affirme à Salamanque un </w:t>
      </w:r>
      <w:r>
        <w:rPr>
          <w:rFonts w:ascii="Calibri" w:cs="Calibri" w:eastAsia="Calibri" w:hAnsi="Calibri"/>
          <w:i/>
          <w:iCs/>
          <w:color w:val="1A1A1A"/>
          <w:sz w:val="20"/>
          <w:szCs w:val="20"/>
        </w:rPr>
        <w:t xml:space="preserve">jus communicationis</w:t>
      </w:r>
      <w:r>
        <w:rPr>
          <w:rFonts w:ascii="Calibri" w:cs="Calibri" w:eastAsia="Calibri" w:hAnsi="Calibri"/>
          <w:color w:val="1A1A1A"/>
          <w:sz w:val="20"/>
          <w:szCs w:val="20"/>
        </w:rPr>
        <w:t xml:space="preserve"> : tout homme a le droit naturel de circuler et de voyager. En mars 2020, soixante-sept millions de Français sont confinés par décret, et le Conseil constitutionnel doit fixer le seuil au-delà duquel rester chez soi devient une </w:t>
      </w:r>
      <w:r>
        <w:rPr>
          <w:rFonts w:ascii="Calibri" w:cs="Calibri" w:eastAsia="Calibri" w:hAnsi="Calibri"/>
          <w:b/>
          <w:bCs/>
          <w:color w:val="1A1A1A"/>
          <w:sz w:val="20"/>
          <w:szCs w:val="20"/>
        </w:rPr>
        <w:t xml:space="preserve">privation de liberté</w:t>
      </w:r>
      <w:r>
        <w:rPr>
          <w:rFonts w:ascii="Calibri" w:cs="Calibri" w:eastAsia="Calibri" w:hAnsi="Calibri"/>
          <w:color w:val="1A1A1A"/>
          <w:sz w:val="20"/>
          <w:szCs w:val="20"/>
        </w:rPr>
        <w:t xml:space="preserve"> : douze heures par jour (</w:t>
      </w:r>
      <w:r>
        <w:rPr>
          <w:rFonts w:ascii="Calibri" w:cs="Calibri" w:eastAsia="Calibri" w:hAnsi="Calibri"/>
          <w:color w:val="E91E63"/>
          <w:sz w:val="20"/>
          <w:szCs w:val="20"/>
        </w:rPr>
        <w:t xml:space="preserve">2020-800 DC</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La liberté d’aller et venir est la plus banale des libertés — jusqu’au jour où l’État la suspend.</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pour </w:t>
      </w:r>
      <w:r>
        <w:rPr>
          <w:rFonts w:ascii="Calibri" w:cs="Calibri" w:eastAsia="Calibri" w:hAnsi="Calibri"/>
          <w:color w:val="2E7D32"/>
          <w:sz w:val="20"/>
          <w:szCs w:val="20"/>
        </w:rPr>
        <w:t xml:space="preserve">Hobbes</w:t>
      </w:r>
      <w:r>
        <w:rPr>
          <w:rFonts w:ascii="Calibri" w:cs="Calibri" w:eastAsia="Calibri" w:hAnsi="Calibri"/>
          <w:color w:val="1A1A1A"/>
          <w:sz w:val="20"/>
          <w:szCs w:val="20"/>
        </w:rPr>
        <w:t xml:space="preserve">, la liberté est d’abord « l’absence d’obstacles extérieurs au mouvement » (</w:t>
      </w:r>
      <w:r>
        <w:rPr>
          <w:rFonts w:ascii="Calibri" w:cs="Calibri" w:eastAsia="Calibri" w:hAnsi="Calibri"/>
          <w:color w:val="2E7D32"/>
          <w:sz w:val="20"/>
          <w:szCs w:val="20"/>
        </w:rPr>
        <w:t xml:space="preserve">Léviathan</w:t>
      </w:r>
      <w:r>
        <w:rPr>
          <w:rFonts w:ascii="Calibri" w:cs="Calibri" w:eastAsia="Calibri" w:hAnsi="Calibri"/>
          <w:color w:val="1A1A1A"/>
          <w:sz w:val="20"/>
          <w:szCs w:val="20"/>
        </w:rPr>
        <w:t xml:space="preserve">, 1651, chap. XXI). Le contrôle d’identité « au faciès » sanctionné par la Cour européenne (</w:t>
      </w:r>
      <w:r>
        <w:rPr>
          <w:rFonts w:ascii="Calibri" w:cs="Calibri" w:eastAsia="Calibri" w:hAnsi="Calibri"/>
          <w:color w:val="E91E63"/>
          <w:sz w:val="20"/>
          <w:szCs w:val="20"/>
        </w:rPr>
        <w:t xml:space="preserve">Seydi et autres c. France</w:t>
      </w:r>
      <w:r>
        <w:rPr>
          <w:rFonts w:ascii="Calibri" w:cs="Calibri" w:eastAsia="Calibri" w:hAnsi="Calibri"/>
          <w:color w:val="1A1A1A"/>
          <w:sz w:val="20"/>
          <w:szCs w:val="20"/>
        </w:rPr>
        <w:t xml:space="preserve">, 26 juin 2025) montre que l’obstacle peut être aussi un </w:t>
      </w:r>
      <w:r>
        <w:rPr>
          <w:rFonts w:ascii="Calibri" w:cs="Calibri" w:eastAsia="Calibri" w:hAnsi="Calibri"/>
          <w:b/>
          <w:bCs/>
          <w:color w:val="1A1A1A"/>
          <w:sz w:val="20"/>
          <w:szCs w:val="20"/>
        </w:rPr>
        <w:t xml:space="preserve">regard</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La liberté d’aller et venir est la faculté de se déplacer librement sur le territoire, d’y choisir sa résidence, de le quitter et, pour les nationaux, d’y revenir. Composante de la </w:t>
      </w:r>
      <w:r>
        <w:rPr>
          <w:rFonts w:ascii="Calibri" w:cs="Calibri" w:eastAsia="Calibri" w:hAnsi="Calibri"/>
          <w:b/>
          <w:bCs/>
          <w:color w:val="1A1A1A"/>
          <w:sz w:val="20"/>
          <w:szCs w:val="20"/>
        </w:rPr>
        <w:t xml:space="preserve">liberté personnelle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 et 4 DDHC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2003-467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2010-13 QPC</w:t>
      </w:r>
      <w:r>
        <w:rPr>
          <w:rFonts w:ascii="Calibri" w:cs="Calibri" w:eastAsia="Calibri" w:hAnsi="Calibri"/>
          <w:color w:val="1A1A1A"/>
          <w:sz w:val="20"/>
          <w:szCs w:val="20"/>
        </w:rPr>
        <w:t xml:space="preserve">), elle relève du juge administratif lorsqu’elle est seulement </w:t>
      </w:r>
      <w:r>
        <w:rPr>
          <w:rFonts w:ascii="Calibri" w:cs="Calibri" w:eastAsia="Calibri" w:hAnsi="Calibri"/>
          <w:b/>
          <w:bCs/>
          <w:color w:val="1A1A1A"/>
          <w:sz w:val="20"/>
          <w:szCs w:val="20"/>
        </w:rPr>
        <w:t xml:space="preserve">restreinte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Elle se distingue de la </w:t>
      </w:r>
      <w:r>
        <w:rPr>
          <w:rFonts w:ascii="Calibri" w:cs="Calibri" w:eastAsia="Calibri" w:hAnsi="Calibri"/>
          <w:b/>
          <w:bCs/>
          <w:color w:val="1A1A1A"/>
          <w:sz w:val="20"/>
          <w:szCs w:val="20"/>
        </w:rPr>
        <w:t xml:space="preserve">liberté individuelle</w:t>
      </w:r>
      <w:r>
        <w:rPr>
          <w:rFonts w:ascii="Calibri" w:cs="Calibri" w:eastAsia="Calibri" w:hAnsi="Calibri"/>
          <w:color w:val="1A1A1A"/>
          <w:sz w:val="20"/>
          <w:szCs w:val="20"/>
        </w:rPr>
        <w:t xml:space="preserve"> de l’</w:t>
      </w:r>
      <w:r>
        <w:rPr>
          <w:rFonts w:ascii="Calibri" w:cs="Calibri" w:eastAsia="Calibri" w:hAnsi="Calibri"/>
          <w:color w:val="1E88E5"/>
          <w:sz w:val="20"/>
          <w:szCs w:val="20"/>
        </w:rPr>
        <w:t xml:space="preserve">art. 66 C.</w:t>
      </w:r>
      <w:r>
        <w:rPr>
          <w:rFonts w:ascii="Calibri" w:cs="Calibri" w:eastAsia="Calibri" w:hAnsi="Calibri"/>
          <w:color w:val="1A1A1A"/>
          <w:sz w:val="20"/>
          <w:szCs w:val="20"/>
        </w:rPr>
        <w:t xml:space="preserve"> — droit de ne pas être arbitrairement </w:t>
      </w:r>
      <w:r>
        <w:rPr>
          <w:rFonts w:ascii="Calibri" w:cs="Calibri" w:eastAsia="Calibri" w:hAnsi="Calibri"/>
          <w:b/>
          <w:bCs/>
          <w:color w:val="1A1A1A"/>
          <w:sz w:val="20"/>
          <w:szCs w:val="20"/>
        </w:rPr>
        <w:t xml:space="preserve">privé</w:t>
      </w:r>
      <w:r>
        <w:rPr>
          <w:rFonts w:ascii="Calibri" w:cs="Calibri" w:eastAsia="Calibri" w:hAnsi="Calibri"/>
          <w:color w:val="1A1A1A"/>
          <w:sz w:val="20"/>
          <w:szCs w:val="20"/>
        </w:rPr>
        <w:t xml:space="preserve"> de liberté — et la frontière entre restriction et privation est une question de </w:t>
      </w:r>
      <w:r>
        <w:rPr>
          <w:rFonts w:ascii="Calibri" w:cs="Calibri" w:eastAsia="Calibri" w:hAnsi="Calibri"/>
          <w:b/>
          <w:bCs/>
          <w:color w:val="1A1A1A"/>
          <w:sz w:val="20"/>
          <w:szCs w:val="20"/>
        </w:rPr>
        <w:t xml:space="preserve">degré et d’intensité</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Guzzardi c. Italie</w:t>
      </w:r>
      <w:r>
        <w:rPr>
          <w:rFonts w:ascii="Calibri" w:cs="Calibri" w:eastAsia="Calibri" w:hAnsi="Calibri"/>
          <w:color w:val="1A1A1A"/>
          <w:sz w:val="20"/>
          <w:szCs w:val="20"/>
        </w:rPr>
        <w:t xml:space="preserve">, 1980).</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 et 4 DDHC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 du Protocole n° 4 CEDH</w:t>
      </w:r>
      <w:r>
        <w:rPr>
          <w:rFonts w:ascii="Calibri" w:cs="Calibri" w:eastAsia="Calibri" w:hAnsi="Calibri"/>
          <w:color w:val="1A1A1A"/>
          <w:sz w:val="20"/>
          <w:szCs w:val="20"/>
        </w:rPr>
        <w:t xml:space="preserve"> (circuler, choisir sa résidence, quitter tout pays) ; </w:t>
      </w:r>
      <w:r>
        <w:rPr>
          <w:rFonts w:ascii="Calibri" w:cs="Calibri" w:eastAsia="Calibri" w:hAnsi="Calibri"/>
          <w:color w:val="1E88E5"/>
          <w:sz w:val="20"/>
          <w:szCs w:val="20"/>
        </w:rPr>
        <w:t xml:space="preserve">art. 3 du Protocole n° 4</w:t>
      </w:r>
      <w:r>
        <w:rPr>
          <w:rFonts w:ascii="Calibri" w:cs="Calibri" w:eastAsia="Calibri" w:hAnsi="Calibri"/>
          <w:color w:val="1A1A1A"/>
          <w:sz w:val="20"/>
          <w:szCs w:val="20"/>
        </w:rPr>
        <w:t xml:space="preserve"> (interdiction d’expulser ses nationaux) ; </w:t>
      </w:r>
      <w:r>
        <w:rPr>
          <w:rFonts w:ascii="Calibri" w:cs="Calibri" w:eastAsia="Calibri" w:hAnsi="Calibri"/>
          <w:color w:val="1E88E5"/>
          <w:sz w:val="20"/>
          <w:szCs w:val="20"/>
        </w:rPr>
        <w:t xml:space="preserve">art. 12 PIDCP</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45 CDFUE</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art. 21 TFUE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6 novembre 1980, Guzzardi c. Italie, n° 7367/76</w:t>
      </w:r>
      <w:r>
        <w:rPr>
          <w:rFonts w:ascii="Calibri" w:cs="Calibri" w:eastAsia="Calibri" w:hAnsi="Calibri"/>
          <w:color w:val="1A1A1A"/>
          <w:sz w:val="20"/>
          <w:szCs w:val="20"/>
        </w:rPr>
        <w:t xml:space="preserve"> : entre privation et restriction de liberté, une différence de </w:t>
      </w:r>
      <w:r>
        <w:rPr>
          <w:rFonts w:ascii="Calibri" w:cs="Calibri" w:eastAsia="Calibri" w:hAnsi="Calibri"/>
          <w:b/>
          <w:bCs/>
          <w:color w:val="1A1A1A"/>
          <w:sz w:val="20"/>
          <w:szCs w:val="20"/>
        </w:rPr>
        <w:t xml:space="preserve">degré ou d’intensité</w:t>
      </w:r>
      <w:r>
        <w:rPr>
          <w:rFonts w:ascii="Calibri" w:cs="Calibri" w:eastAsia="Calibri" w:hAnsi="Calibri"/>
          <w:color w:val="1A1A1A"/>
          <w:sz w:val="20"/>
          <w:szCs w:val="20"/>
        </w:rPr>
        <w:t xml:space="preserve">, non de nature (genre, durée, effets, modalités).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93-323 DC, 5 août 1993, Contrôles d’identité</w:t>
      </w:r>
      <w:r>
        <w:rPr>
          <w:rFonts w:ascii="Calibri" w:cs="Calibri" w:eastAsia="Calibri" w:hAnsi="Calibri"/>
          <w:color w:val="1A1A1A"/>
          <w:sz w:val="20"/>
          <w:szCs w:val="20"/>
        </w:rPr>
        <w:t xml:space="preserve"> : la pratique de </w:t>
      </w:r>
      <w:r>
        <w:rPr>
          <w:rFonts w:ascii="Calibri" w:cs="Calibri" w:eastAsia="Calibri" w:hAnsi="Calibri"/>
          <w:b/>
          <w:bCs/>
          <w:color w:val="1A1A1A"/>
          <w:sz w:val="20"/>
          <w:szCs w:val="20"/>
        </w:rPr>
        <w:t xml:space="preserve">contrôles généralisés et discrétionnaires</w:t>
      </w:r>
      <w:r>
        <w:rPr>
          <w:rFonts w:ascii="Calibri" w:cs="Calibri" w:eastAsia="Calibri" w:hAnsi="Calibri"/>
          <w:color w:val="1A1A1A"/>
          <w:sz w:val="20"/>
          <w:szCs w:val="20"/>
        </w:rPr>
        <w:t xml:space="preserve"> est incompatible avec la liberté individuelle ; l’autorité doit justifier de circonstances particulières.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2015-527 QPC, 22 décembre 2015, Cédric D.</w:t>
      </w:r>
      <w:r>
        <w:rPr>
          <w:rFonts w:ascii="Calibri" w:cs="Calibri" w:eastAsia="Calibri" w:hAnsi="Calibri"/>
          <w:color w:val="1A1A1A"/>
          <w:sz w:val="20"/>
          <w:szCs w:val="20"/>
        </w:rPr>
        <w:t xml:space="preserve"> : l’assignation à résidence avec astreinte à domicile de </w:t>
      </w:r>
      <w:r>
        <w:rPr>
          <w:rFonts w:ascii="Calibri" w:cs="Calibri" w:eastAsia="Calibri" w:hAnsi="Calibri"/>
          <w:b/>
          <w:bCs/>
          <w:color w:val="1A1A1A"/>
          <w:sz w:val="20"/>
          <w:szCs w:val="20"/>
        </w:rPr>
        <w:t xml:space="preserve">douze heures</w:t>
      </w:r>
      <w:r>
        <w:rPr>
          <w:rFonts w:ascii="Calibri" w:cs="Calibri" w:eastAsia="Calibri" w:hAnsi="Calibri"/>
          <w:color w:val="1A1A1A"/>
          <w:sz w:val="20"/>
          <w:szCs w:val="20"/>
        </w:rPr>
        <w:t xml:space="preserve"> au plus n’est qu’une restriction ; au-delà, privation de liberté (</w:t>
      </w:r>
      <w:r>
        <w:rPr>
          <w:rFonts w:ascii="Calibri" w:cs="Calibri" w:eastAsia="Calibri" w:hAnsi="Calibri"/>
          <w:color w:val="E91E63"/>
          <w:sz w:val="20"/>
          <w:szCs w:val="20"/>
        </w:rPr>
        <w:t xml:space="preserve">2020-800 DC, 11 mai 2020</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9 janvier 2001, Deperthes, n° 228928</w:t>
      </w:r>
      <w:r>
        <w:rPr>
          <w:rFonts w:ascii="Calibri" w:cs="Calibri" w:eastAsia="Calibri" w:hAnsi="Calibri"/>
          <w:color w:val="1A1A1A"/>
          <w:sz w:val="20"/>
          <w:szCs w:val="20"/>
        </w:rPr>
        <w:t xml:space="preserve"> : la liberté d’aller et venir est une </w:t>
      </w:r>
      <w:r>
        <w:rPr>
          <w:rFonts w:ascii="Calibri" w:cs="Calibri" w:eastAsia="Calibri" w:hAnsi="Calibri"/>
          <w:b/>
          <w:bCs/>
          <w:color w:val="1A1A1A"/>
          <w:sz w:val="20"/>
          <w:szCs w:val="20"/>
        </w:rPr>
        <w:t xml:space="preserve">liberté fondamentale</w:t>
      </w:r>
      <w:r>
        <w:rPr>
          <w:rFonts w:ascii="Calibri" w:cs="Calibri" w:eastAsia="Calibri" w:hAnsi="Calibri"/>
          <w:color w:val="1A1A1A"/>
          <w:sz w:val="20"/>
          <w:szCs w:val="20"/>
        </w:rPr>
        <w:t xml:space="preserve"> au sens de l’</w:t>
      </w:r>
      <w:r>
        <w:rPr>
          <w:rFonts w:ascii="Calibri" w:cs="Calibri" w:eastAsia="Calibri" w:hAnsi="Calibri"/>
          <w:color w:val="1E88E5"/>
          <w:sz w:val="20"/>
          <w:szCs w:val="20"/>
        </w:rPr>
        <w:t xml:space="preserve">art. L. 521-2 CJA</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liberté d’aller et venir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liberté consacrée et protégée</w:t>
      </w:r>
      <w:r>
        <w:rPr>
          <w:rFonts w:ascii="Calibri" w:cs="Calibri" w:eastAsia="Calibri" w:hAnsi="Calibri"/>
          <w:color w:val="1A1A1A"/>
          <w:sz w:val="20"/>
          <w:szCs w:val="20"/>
        </w:rPr>
        <w:t xml:space="preserve"> (A. Des fondements pluriels : </w:t>
      </w:r>
      <w:r>
        <w:rPr>
          <w:rFonts w:ascii="Calibri" w:cs="Calibri" w:eastAsia="Calibri" w:hAnsi="Calibri"/>
          <w:color w:val="1E88E5"/>
          <w:sz w:val="20"/>
          <w:szCs w:val="20"/>
        </w:rPr>
        <w:t xml:space="preserve">art. 2 et 4 DDHC</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Protocole n° 4</w:t>
      </w:r>
      <w:r>
        <w:rPr>
          <w:rFonts w:ascii="Calibri" w:cs="Calibri" w:eastAsia="Calibri" w:hAnsi="Calibri"/>
          <w:color w:val="1A1A1A"/>
          <w:sz w:val="20"/>
          <w:szCs w:val="20"/>
        </w:rPr>
        <w:t xml:space="preserve">, citoyenneté européenne </w:t>
      </w:r>
      <w:r>
        <w:rPr>
          <w:rFonts w:ascii="Calibri" w:cs="Calibri" w:eastAsia="Calibri" w:hAnsi="Calibri"/>
          <w:color w:val="1E88E5"/>
          <w:sz w:val="20"/>
          <w:szCs w:val="20"/>
        </w:rPr>
        <w:t xml:space="preserve">art. 21 TFUE</w:t>
      </w:r>
      <w:r>
        <w:rPr>
          <w:rFonts w:ascii="Calibri" w:cs="Calibri" w:eastAsia="Calibri" w:hAnsi="Calibri"/>
          <w:color w:val="1A1A1A"/>
          <w:sz w:val="20"/>
          <w:szCs w:val="20"/>
        </w:rPr>
        <w:t xml:space="preserve"> ; B. Un régime de police sous contrôle : </w:t>
      </w:r>
      <w:r>
        <w:rPr>
          <w:rFonts w:ascii="Calibri" w:cs="Calibri" w:eastAsia="Calibri" w:hAnsi="Calibri"/>
          <w:color w:val="E91E63"/>
          <w:sz w:val="20"/>
          <w:szCs w:val="20"/>
        </w:rPr>
        <w:t xml:space="preserve">Deperthes</w:t>
      </w:r>
      <w:r>
        <w:rPr>
          <w:rFonts w:ascii="Calibri" w:cs="Calibri" w:eastAsia="Calibri" w:hAnsi="Calibri"/>
          <w:color w:val="1A1A1A"/>
          <w:sz w:val="20"/>
          <w:szCs w:val="20"/>
        </w:rPr>
        <w:t xml:space="preserve">, contrôles d’identité </w:t>
      </w:r>
      <w:r>
        <w:rPr>
          <w:rFonts w:ascii="Calibri" w:cs="Calibri" w:eastAsia="Calibri" w:hAnsi="Calibri"/>
          <w:color w:val="E91E63"/>
          <w:sz w:val="20"/>
          <w:szCs w:val="20"/>
        </w:rPr>
        <w:t xml:space="preserve">93-323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2016-606/607 QPC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Une liberté éprouvée par l’exception</w:t>
      </w:r>
      <w:r>
        <w:rPr>
          <w:rFonts w:ascii="Calibri" w:cs="Calibri" w:eastAsia="Calibri" w:hAnsi="Calibri"/>
          <w:color w:val="1A1A1A"/>
          <w:sz w:val="20"/>
          <w:szCs w:val="20"/>
        </w:rPr>
        <w:t xml:space="preserve"> (A. La lutte contre le terrorisme : IST, périmètres de protection, MICAS, </w:t>
      </w:r>
      <w:r>
        <w:rPr>
          <w:rFonts w:ascii="Calibri" w:cs="Calibri" w:eastAsia="Calibri" w:hAnsi="Calibri"/>
          <w:color w:val="E91E63"/>
          <w:sz w:val="20"/>
          <w:szCs w:val="20"/>
        </w:rPr>
        <w:t xml:space="preserve">2017-691 QPC</w:t>
      </w:r>
      <w:r>
        <w:rPr>
          <w:rFonts w:ascii="Calibri" w:cs="Calibri" w:eastAsia="Calibri" w:hAnsi="Calibri"/>
          <w:color w:val="1A1A1A"/>
          <w:sz w:val="20"/>
          <w:szCs w:val="20"/>
        </w:rPr>
        <w:t xml:space="preserve"> ; B. Les crises : état d’urgence </w:t>
      </w:r>
      <w:r>
        <w:rPr>
          <w:rFonts w:ascii="Calibri" w:cs="Calibri" w:eastAsia="Calibri" w:hAnsi="Calibri"/>
          <w:color w:val="E91E63"/>
          <w:sz w:val="20"/>
          <w:szCs w:val="20"/>
        </w:rPr>
        <w:t xml:space="preserve">2015-527 QPC</w:t>
      </w:r>
      <w:r>
        <w:rPr>
          <w:rFonts w:ascii="Calibri" w:cs="Calibri" w:eastAsia="Calibri" w:hAnsi="Calibri"/>
          <w:color w:val="1A1A1A"/>
          <w:sz w:val="20"/>
          <w:szCs w:val="20"/>
        </w:rPr>
        <w:t xml:space="preserve">, état d’urgence sanitaire </w:t>
      </w:r>
      <w:r>
        <w:rPr>
          <w:rFonts w:ascii="Calibri" w:cs="Calibri" w:eastAsia="Calibri" w:hAnsi="Calibri"/>
          <w:color w:val="E91E63"/>
          <w:sz w:val="20"/>
          <w:szCs w:val="20"/>
        </w:rPr>
        <w:t xml:space="preserve">2020-800 DC</w:t>
      </w:r>
      <w:r>
        <w:rPr>
          <w:rFonts w:ascii="Calibri" w:cs="Calibri" w:eastAsia="Calibri" w:hAnsi="Calibri"/>
          <w:color w:val="1A1A1A"/>
          <w:sz w:val="20"/>
          <w:szCs w:val="20"/>
        </w:rPr>
        <w:t xml:space="preserve">, contrôles aux frontières intérieures </w:t>
      </w:r>
      <w:r>
        <w:rPr>
          <w:rFonts w:ascii="Calibri" w:cs="Calibri" w:eastAsia="Calibri" w:hAnsi="Calibri"/>
          <w:color w:val="E91E63"/>
          <w:sz w:val="20"/>
          <w:szCs w:val="20"/>
        </w:rPr>
        <w:t xml:space="preserve">CE, 7 mars 2025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Restreindre ou priver de liberté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distinction de degré</w:t>
      </w:r>
      <w:r>
        <w:rPr>
          <w:rFonts w:ascii="Calibri" w:cs="Calibri" w:eastAsia="Calibri" w:hAnsi="Calibri"/>
          <w:color w:val="1A1A1A"/>
          <w:sz w:val="20"/>
          <w:szCs w:val="20"/>
        </w:rPr>
        <w:t xml:space="preserve"> (A. Le critère européen : </w:t>
      </w:r>
      <w:r>
        <w:rPr>
          <w:rFonts w:ascii="Calibri" w:cs="Calibri" w:eastAsia="Calibri" w:hAnsi="Calibri"/>
          <w:color w:val="E91E63"/>
          <w:sz w:val="20"/>
          <w:szCs w:val="20"/>
        </w:rPr>
        <w:t xml:space="preserve">Guzzardi</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Austin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De Tommaso</w:t>
      </w:r>
      <w:r>
        <w:rPr>
          <w:rFonts w:ascii="Calibri" w:cs="Calibri" w:eastAsia="Calibri" w:hAnsi="Calibri"/>
          <w:color w:val="1A1A1A"/>
          <w:sz w:val="20"/>
          <w:szCs w:val="20"/>
        </w:rPr>
        <w:t xml:space="preserve"> ; B. Le critère constitutionnel des douze heures : </w:t>
      </w:r>
      <w:r>
        <w:rPr>
          <w:rFonts w:ascii="Calibri" w:cs="Calibri" w:eastAsia="Calibri" w:hAnsi="Calibri"/>
          <w:color w:val="E91E63"/>
          <w:sz w:val="20"/>
          <w:szCs w:val="20"/>
        </w:rPr>
        <w:t xml:space="preserve">2015-527 QPC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2020-800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Une distinction de compétence</w:t>
      </w:r>
      <w:r>
        <w:rPr>
          <w:rFonts w:ascii="Calibri" w:cs="Calibri" w:eastAsia="Calibri" w:hAnsi="Calibri"/>
          <w:color w:val="1A1A1A"/>
          <w:sz w:val="20"/>
          <w:szCs w:val="20"/>
        </w:rPr>
        <w:t xml:space="preserve"> (A. La restriction, office du juge administratif : MICAS, interdictions de déplacement de supporters ; B. La privation, office du juge judiciaire : quarantaine, rétention administrative, zones d’attente — </w:t>
      </w:r>
      <w:r>
        <w:rPr>
          <w:rFonts w:ascii="Calibri" w:cs="Calibri" w:eastAsia="Calibri" w:hAnsi="Calibri"/>
          <w:color w:val="E91E63"/>
          <w:sz w:val="20"/>
          <w:szCs w:val="20"/>
        </w:rPr>
        <w:t xml:space="preserve">Amuur c. France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Douze heures ≠ douze mois</w:t>
      </w:r>
      <w:r>
        <w:rPr>
          <w:rFonts w:ascii="Calibri" w:cs="Calibri" w:eastAsia="Calibri" w:hAnsi="Calibri"/>
          <w:color w:val="1A1A1A"/>
          <w:sz w:val="20"/>
          <w:szCs w:val="20"/>
        </w:rPr>
        <w:t xml:space="preserve"> : douze heures par jour est le seuil de la privation de liberté (assignation, quarantaine) ; douze mois est la durée maximale cumulée d’une MICAS (</w:t>
      </w:r>
      <w:r>
        <w:rPr>
          <w:rFonts w:ascii="Calibri" w:cs="Calibri" w:eastAsia="Calibri" w:hAnsi="Calibri"/>
          <w:color w:val="1E88E5"/>
          <w:sz w:val="20"/>
          <w:szCs w:val="20"/>
        </w:rPr>
        <w:t xml:space="preserve">art. L. 228-2 CSI</w:t>
      </w:r>
      <w:r>
        <w:rPr>
          <w:rFonts w:ascii="Calibri" w:cs="Calibri" w:eastAsia="Calibri" w:hAnsi="Calibri"/>
          <w:color w:val="1A1A1A"/>
          <w:sz w:val="20"/>
          <w:szCs w:val="20"/>
        </w:rPr>
        <w:t xml:space="preserve">). Le jury adore cette confusion.</w:t>
      </w:r>
    </w:p>
    <w:p>
      <w:pPr>
        <w:pStyle w:val="ListParagraph"/>
        <w:numPr>
          <w:ilvl w:val="0"/>
          <w:numId w:val="2"/>
        </w:numPr>
        <w:spacing w:after="70" w:line="264"/>
        <w:jc w:val="both"/>
      </w:pPr>
      <w:r>
        <w:rPr>
          <w:rFonts w:ascii="Calibri" w:cs="Calibri" w:eastAsia="Calibri" w:hAnsi="Calibri"/>
          <w:b/>
          <w:bCs/>
          <w:color w:val="1A1A1A"/>
          <w:sz w:val="20"/>
          <w:szCs w:val="20"/>
        </w:rPr>
        <w:t xml:space="preserve">MICAS ≠ assignation de l’état d’urgence</w:t>
      </w:r>
      <w:r>
        <w:rPr>
          <w:rFonts w:ascii="Calibri" w:cs="Calibri" w:eastAsia="Calibri" w:hAnsi="Calibri"/>
          <w:color w:val="1A1A1A"/>
          <w:sz w:val="20"/>
          <w:szCs w:val="20"/>
        </w:rPr>
        <w:t xml:space="preserve"> : la MICAS impose de ne pas sortir d’un périmètre au moins égal à la </w:t>
      </w:r>
      <w:r>
        <w:rPr>
          <w:rFonts w:ascii="Calibri" w:cs="Calibri" w:eastAsia="Calibri" w:hAnsi="Calibri"/>
          <w:b/>
          <w:bCs/>
          <w:color w:val="1A1A1A"/>
          <w:sz w:val="20"/>
          <w:szCs w:val="20"/>
        </w:rPr>
        <w:t xml:space="preserve">commune</w:t>
      </w:r>
      <w:r>
        <w:rPr>
          <w:rFonts w:ascii="Calibri" w:cs="Calibri" w:eastAsia="Calibri" w:hAnsi="Calibri"/>
          <w:color w:val="1A1A1A"/>
          <w:sz w:val="20"/>
          <w:szCs w:val="20"/>
        </w:rPr>
        <w:t xml:space="preserve"> et de pointer </w:t>
      </w:r>
      <w:r>
        <w:rPr>
          <w:rFonts w:ascii="Calibri" w:cs="Calibri" w:eastAsia="Calibri" w:hAnsi="Calibri"/>
          <w:b/>
          <w:bCs/>
          <w:color w:val="1A1A1A"/>
          <w:sz w:val="20"/>
          <w:szCs w:val="20"/>
        </w:rPr>
        <w:t xml:space="preserve">une fois par jour</w:t>
      </w:r>
      <w:r>
        <w:rPr>
          <w:rFonts w:ascii="Calibri" w:cs="Calibri" w:eastAsia="Calibri" w:hAnsi="Calibri"/>
          <w:color w:val="1A1A1A"/>
          <w:sz w:val="20"/>
          <w:szCs w:val="20"/>
        </w:rPr>
        <w:t xml:space="preserve"> au plus ; l’astreinte à domicile de douze heures et les trois pointages quotidiens relevaient de l’assignation de l’</w:t>
      </w:r>
      <w:r>
        <w:rPr>
          <w:rFonts w:ascii="Calibri" w:cs="Calibri" w:eastAsia="Calibri" w:hAnsi="Calibri"/>
          <w:color w:val="1E88E5"/>
          <w:sz w:val="20"/>
          <w:szCs w:val="20"/>
        </w:rPr>
        <w:t xml:space="preserve">art. 6 de la loi de 1955</w:t>
      </w:r>
      <w:r>
        <w:rPr>
          <w:rFonts w:ascii="Calibri" w:cs="Calibri" w:eastAsia="Calibri" w:hAnsi="Calibri"/>
          <w:color w:val="1A1A1A"/>
          <w:sz w:val="20"/>
          <w:szCs w:val="20"/>
        </w:rPr>
        <w:t xml:space="preserve"> — le fascicule mêle les deux régimes.</w:t>
      </w:r>
    </w:p>
    <w:p>
      <w:pPr>
        <w:pStyle w:val="ListParagraph"/>
        <w:numPr>
          <w:ilvl w:val="0"/>
          <w:numId w:val="2"/>
        </w:numPr>
        <w:spacing w:after="70" w:line="264"/>
        <w:jc w:val="both"/>
      </w:pPr>
      <w:r>
        <w:rPr>
          <w:rFonts w:ascii="Calibri" w:cs="Calibri" w:eastAsia="Calibri" w:hAnsi="Calibri"/>
          <w:b/>
          <w:bCs/>
          <w:color w:val="1A1A1A"/>
          <w:sz w:val="20"/>
          <w:szCs w:val="20"/>
        </w:rPr>
        <w:t xml:space="preserve">La liberté de circulation de l’Union n’est pas un droit de l’homme pur</w:t>
      </w:r>
      <w:r>
        <w:rPr>
          <w:rFonts w:ascii="Calibri" w:cs="Calibri" w:eastAsia="Calibri" w:hAnsi="Calibri"/>
          <w:color w:val="1A1A1A"/>
          <w:sz w:val="20"/>
          <w:szCs w:val="20"/>
        </w:rPr>
        <w:t xml:space="preserve"> : fondée historiquement sur la figure du </w:t>
      </w:r>
      <w:r>
        <w:rPr>
          <w:rFonts w:ascii="Calibri" w:cs="Calibri" w:eastAsia="Calibri" w:hAnsi="Calibri"/>
          <w:b/>
          <w:bCs/>
          <w:color w:val="1A1A1A"/>
          <w:sz w:val="20"/>
          <w:szCs w:val="20"/>
        </w:rPr>
        <w:t xml:space="preserve">travailleur</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45 TFUE</w:t>
      </w:r>
      <w:r>
        <w:rPr>
          <w:rFonts w:ascii="Calibri" w:cs="Calibri" w:eastAsia="Calibri" w:hAnsi="Calibri"/>
          <w:color w:val="1A1A1A"/>
          <w:sz w:val="20"/>
          <w:szCs w:val="20"/>
        </w:rPr>
        <w:t xml:space="preserve">), elle s’est étendue au citoyen (</w:t>
      </w:r>
      <w:r>
        <w:rPr>
          <w:rFonts w:ascii="Calibri" w:cs="Calibri" w:eastAsia="Calibri" w:hAnsi="Calibri"/>
          <w:color w:val="1E88E5"/>
          <w:sz w:val="20"/>
          <w:szCs w:val="20"/>
        </w:rPr>
        <w:t xml:space="preserve">art. 21 TFUE</w:t>
      </w:r>
      <w:r>
        <w:rPr>
          <w:rFonts w:ascii="Calibri" w:cs="Calibri" w:eastAsia="Calibri" w:hAnsi="Calibri"/>
          <w:color w:val="1A1A1A"/>
          <w:sz w:val="20"/>
          <w:szCs w:val="20"/>
        </w:rPr>
        <w:t xml:space="preserve">) mais reste conditionnée pour les inactifs (ressources suffisantes : </w:t>
      </w:r>
      <w:r>
        <w:rPr>
          <w:rFonts w:ascii="Calibri" w:cs="Calibri" w:eastAsia="Calibri" w:hAnsi="Calibri"/>
          <w:color w:val="E91E63"/>
          <w:sz w:val="20"/>
          <w:szCs w:val="20"/>
        </w:rPr>
        <w:t xml:space="preserve">CJUE, 11 novembre 2014, Dano, C-333/13</w:t>
      </w:r>
      <w:r>
        <w:rPr>
          <w:rFonts w:ascii="Calibri" w:cs="Calibri" w:eastAsia="Calibri" w:hAnsi="Calibri"/>
          <w:color w:val="1A1A1A"/>
          <w:sz w:val="20"/>
          <w:szCs w:val="20"/>
        </w:rPr>
        <w:t xml:space="preserve">).</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13 DUDH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12 PIDCP</w:t>
      </w:r>
      <w:r>
        <w:rPr>
          <w:rFonts w:ascii="Calibri" w:cs="Calibri" w:eastAsia="Calibri" w:hAnsi="Calibri"/>
          <w:color w:val="1A1A1A"/>
          <w:sz w:val="20"/>
          <w:szCs w:val="20"/>
        </w:rPr>
        <w:t xml:space="preserve"> (§ 1 circulation et résidence pour qui se trouve légalement sur le territoire ; § 2 quitter tout pays ; § 3 restrictions ; § 4 nul ne peut être arbitrairement privé du droit d’entrer dans son propre pays) ; </w:t>
      </w:r>
      <w:r>
        <w:rPr>
          <w:rFonts w:ascii="Calibri" w:cs="Calibri" w:eastAsia="Calibri" w:hAnsi="Calibri"/>
          <w:color w:val="1E88E5"/>
          <w:sz w:val="20"/>
          <w:szCs w:val="20"/>
        </w:rPr>
        <w:t xml:space="preserve">Observation générale n° 27 (1999)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Protocole n° 4</w:t>
      </w:r>
      <w:r>
        <w:rPr>
          <w:rFonts w:ascii="Calibri" w:cs="Calibri" w:eastAsia="Calibri" w:hAnsi="Calibri"/>
          <w:color w:val="1A1A1A"/>
          <w:sz w:val="20"/>
          <w:szCs w:val="20"/>
        </w:rPr>
        <w:t xml:space="preserve"> (1963) — </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 1 circulation et résidence des personnes en situation régulière ; § 2 quitter tout pays ; § 3 restrictions du triple test ; § 4 restrictions dans des « zones déterminées » justifiées par l’intérêt public) ;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(interdiction d’expulser ses nationaux et droit d’entrer sur leur territoire) ; </w:t>
      </w:r>
      <w:r>
        <w:rPr>
          <w:rFonts w:ascii="Calibri" w:cs="Calibri" w:eastAsia="Calibri" w:hAnsi="Calibri"/>
          <w:color w:val="1E88E5"/>
          <w:sz w:val="20"/>
          <w:szCs w:val="20"/>
        </w:rPr>
        <w:t xml:space="preserve">art. 4</w:t>
      </w:r>
      <w:r>
        <w:rPr>
          <w:rFonts w:ascii="Calibri" w:cs="Calibri" w:eastAsia="Calibri" w:hAnsi="Calibri"/>
          <w:color w:val="1A1A1A"/>
          <w:sz w:val="20"/>
          <w:szCs w:val="20"/>
        </w:rPr>
        <w:t xml:space="preserve"> (expulsions collectives). Droit de l’Union : </w:t>
      </w:r>
      <w:r>
        <w:rPr>
          <w:rFonts w:ascii="Calibri" w:cs="Calibri" w:eastAsia="Calibri" w:hAnsi="Calibri"/>
          <w:color w:val="1E88E5"/>
          <w:sz w:val="20"/>
          <w:szCs w:val="20"/>
        </w:rPr>
        <w:t xml:space="preserve">art. 20 et 21 TFUE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45 CDFUE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directive 2004/38/CE</w:t>
      </w:r>
      <w:r>
        <w:rPr>
          <w:rFonts w:ascii="Calibri" w:cs="Calibri" w:eastAsia="Calibri" w:hAnsi="Calibri"/>
          <w:color w:val="1A1A1A"/>
          <w:sz w:val="20"/>
          <w:szCs w:val="20"/>
        </w:rPr>
        <w:t xml:space="preserve"> (séjour sur simple carte d’identité jusqu’à trois mois, ressources suffisantes au-delà pour les inactifs, séjour permanent après cinq ans), </w:t>
      </w:r>
      <w:r>
        <w:rPr>
          <w:rFonts w:ascii="Calibri" w:cs="Calibri" w:eastAsia="Calibri" w:hAnsi="Calibri"/>
          <w:color w:val="1E88E5"/>
          <w:sz w:val="20"/>
          <w:szCs w:val="20"/>
        </w:rPr>
        <w:t xml:space="preserve">code frontières Schengen</w:t>
      </w:r>
      <w:r>
        <w:rPr>
          <w:rFonts w:ascii="Calibri" w:cs="Calibri" w:eastAsia="Calibri" w:hAnsi="Calibri"/>
          <w:color w:val="1A1A1A"/>
          <w:sz w:val="20"/>
          <w:szCs w:val="20"/>
        </w:rPr>
        <w:t xml:space="preserve"> modifié par le </w:t>
      </w:r>
      <w:r>
        <w:rPr>
          <w:rFonts w:ascii="Calibri" w:cs="Calibri" w:eastAsia="Calibri" w:hAnsi="Calibri"/>
          <w:color w:val="1E88E5"/>
          <w:sz w:val="20"/>
          <w:szCs w:val="20"/>
        </w:rPr>
        <w:t xml:space="preserve">règlement (UE) 2024/1717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composante de la liberté personnelle (</w:t>
      </w:r>
      <w:r>
        <w:rPr>
          <w:rFonts w:ascii="Calibri" w:cs="Calibri" w:eastAsia="Calibri" w:hAnsi="Calibri"/>
          <w:color w:val="1E88E5"/>
          <w:sz w:val="20"/>
          <w:szCs w:val="20"/>
        </w:rPr>
        <w:t xml:space="preserve">art. 2 et 4 DDHC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2003-467 DC, 13 mars 2003, Sécurité intérieure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2010-13 QPC, 9 juillet 2010, Gens du voyage</w:t>
      </w:r>
      <w:r>
        <w:rPr>
          <w:rFonts w:ascii="Calibri" w:cs="Calibri" w:eastAsia="Calibri" w:hAnsi="Calibri"/>
          <w:color w:val="1A1A1A"/>
          <w:sz w:val="20"/>
          <w:szCs w:val="20"/>
        </w:rPr>
        <w:t xml:space="preserve">. Elle n’implique pas la </w:t>
      </w:r>
      <w:r>
        <w:rPr>
          <w:rFonts w:ascii="Calibri" w:cs="Calibri" w:eastAsia="Calibri" w:hAnsi="Calibri"/>
          <w:b/>
          <w:bCs/>
          <w:color w:val="1A1A1A"/>
          <w:sz w:val="20"/>
          <w:szCs w:val="20"/>
        </w:rPr>
        <w:t xml:space="preserve">gratuité</w:t>
      </w:r>
      <w:r>
        <w:rPr>
          <w:rFonts w:ascii="Calibri" w:cs="Calibri" w:eastAsia="Calibri" w:hAnsi="Calibri"/>
          <w:color w:val="1A1A1A"/>
          <w:sz w:val="20"/>
          <w:szCs w:val="20"/>
        </w:rPr>
        <w:t xml:space="preserve"> des voies de circulation (</w:t>
      </w:r>
      <w:r>
        <w:rPr>
          <w:rFonts w:ascii="Calibri" w:cs="Calibri" w:eastAsia="Calibri" w:hAnsi="Calibri"/>
          <w:color w:val="E91E63"/>
          <w:sz w:val="20"/>
          <w:szCs w:val="20"/>
        </w:rPr>
        <w:t xml:space="preserve">79-107 DC, 12 juillet 1979, Ponts à péage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législatif</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78-2 CPP</w:t>
      </w:r>
      <w:r>
        <w:rPr>
          <w:rFonts w:ascii="Calibri" w:cs="Calibri" w:eastAsia="Calibri" w:hAnsi="Calibri"/>
          <w:color w:val="1A1A1A"/>
          <w:sz w:val="20"/>
          <w:szCs w:val="20"/>
        </w:rPr>
        <w:t xml:space="preserve"> (contrôles d’identité) ; </w:t>
      </w:r>
      <w:r>
        <w:rPr>
          <w:rFonts w:ascii="Calibri" w:cs="Calibri" w:eastAsia="Calibri" w:hAnsi="Calibri"/>
          <w:color w:val="1E88E5"/>
          <w:sz w:val="20"/>
          <w:szCs w:val="20"/>
        </w:rPr>
        <w:t xml:space="preserve">art. L. 224-1 CSI</w:t>
      </w:r>
      <w:r>
        <w:rPr>
          <w:rFonts w:ascii="Calibri" w:cs="Calibri" w:eastAsia="Calibri" w:hAnsi="Calibri"/>
          <w:color w:val="1A1A1A"/>
          <w:sz w:val="20"/>
          <w:szCs w:val="20"/>
        </w:rPr>
        <w:t xml:space="preserve"> (interdiction de sortie du territoire, </w:t>
      </w:r>
      <w:r>
        <w:rPr>
          <w:rFonts w:ascii="Calibri" w:cs="Calibri" w:eastAsia="Calibri" w:hAnsi="Calibri"/>
          <w:color w:val="1E88E5"/>
          <w:sz w:val="20"/>
          <w:szCs w:val="20"/>
        </w:rPr>
        <w:t xml:space="preserve">loi du 13 novembre 2014</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225-1</w:t>
      </w:r>
      <w:r>
        <w:rPr>
          <w:rFonts w:ascii="Calibri" w:cs="Calibri" w:eastAsia="Calibri" w:hAnsi="Calibri"/>
          <w:color w:val="1A1A1A"/>
          <w:sz w:val="20"/>
          <w:szCs w:val="20"/>
        </w:rPr>
        <w:t xml:space="preserve"> (contrôle administratif des retours, </w:t>
      </w:r>
      <w:r>
        <w:rPr>
          <w:rFonts w:ascii="Calibri" w:cs="Calibri" w:eastAsia="Calibri" w:hAnsi="Calibri"/>
          <w:color w:val="1E88E5"/>
          <w:sz w:val="20"/>
          <w:szCs w:val="20"/>
        </w:rPr>
        <w:t xml:space="preserve">loi du 3 juin 2016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226-1</w:t>
      </w:r>
      <w:r>
        <w:rPr>
          <w:rFonts w:ascii="Calibri" w:cs="Calibri" w:eastAsia="Calibri" w:hAnsi="Calibri"/>
          <w:color w:val="1A1A1A"/>
          <w:sz w:val="20"/>
          <w:szCs w:val="20"/>
        </w:rPr>
        <w:t xml:space="preserve"> (périmètres de protection) ; </w:t>
      </w:r>
      <w:r>
        <w:rPr>
          <w:rFonts w:ascii="Calibri" w:cs="Calibri" w:eastAsia="Calibri" w:hAnsi="Calibri"/>
          <w:color w:val="1E88E5"/>
          <w:sz w:val="20"/>
          <w:szCs w:val="20"/>
        </w:rPr>
        <w:t xml:space="preserve">art. L. 228-1 et s.</w:t>
      </w:r>
      <w:r>
        <w:rPr>
          <w:rFonts w:ascii="Calibri" w:cs="Calibri" w:eastAsia="Calibri" w:hAnsi="Calibri"/>
          <w:color w:val="1A1A1A"/>
          <w:sz w:val="20"/>
          <w:szCs w:val="20"/>
        </w:rPr>
        <w:t xml:space="preserve"> (MICAS, </w:t>
      </w:r>
      <w:r>
        <w:rPr>
          <w:rFonts w:ascii="Calibri" w:cs="Calibri" w:eastAsia="Calibri" w:hAnsi="Calibri"/>
          <w:color w:val="1E88E5"/>
          <w:sz w:val="20"/>
          <w:szCs w:val="20"/>
        </w:rPr>
        <w:t xml:space="preserve">loi SILT du 30 octobre 2017</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371-6 C. civ.</w:t>
      </w:r>
      <w:r>
        <w:rPr>
          <w:rFonts w:ascii="Calibri" w:cs="Calibri" w:eastAsia="Calibri" w:hAnsi="Calibri"/>
          <w:color w:val="1A1A1A"/>
          <w:sz w:val="20"/>
          <w:szCs w:val="20"/>
        </w:rPr>
        <w:t xml:space="preserve"> (autorisation de sortie du territoire des mineurs) ; </w:t>
      </w:r>
      <w:r>
        <w:rPr>
          <w:rFonts w:ascii="Calibri" w:cs="Calibri" w:eastAsia="Calibri" w:hAnsi="Calibri"/>
          <w:color w:val="1E88E5"/>
          <w:sz w:val="20"/>
          <w:szCs w:val="20"/>
        </w:rPr>
        <w:t xml:space="preserve">art. L. 332-16 et L. 332-16-1 C. sport</w:t>
      </w:r>
      <w:r>
        <w:rPr>
          <w:rFonts w:ascii="Calibri" w:cs="Calibri" w:eastAsia="Calibri" w:hAnsi="Calibri"/>
          <w:color w:val="1A1A1A"/>
          <w:sz w:val="20"/>
          <w:szCs w:val="20"/>
        </w:rPr>
        <w:t xml:space="preserve"> (supporters).</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la liberté d’aller et venir est la liberté-témoin des régimes d’exception — c’est elle qu’on restreint en premier. Toute la jurisprudence récente se joue sur deux lignes : la frontière restriction/privation (qui commande le juge compétent) et la </w:t>
      </w:r>
      <w:r>
        <w:rPr>
          <w:rFonts w:ascii="Calibri" w:cs="Calibri" w:eastAsia="Calibri" w:hAnsi="Calibri"/>
          <w:b/>
          <w:bCs/>
          <w:color w:val="1A1A1A"/>
          <w:sz w:val="20"/>
          <w:szCs w:val="20"/>
        </w:rPr>
        <w:t xml:space="preserve">qualité de la loi</w:t>
      </w:r>
      <w:r>
        <w:rPr>
          <w:rFonts w:ascii="Calibri" w:cs="Calibri" w:eastAsia="Calibri" w:hAnsi="Calibri"/>
          <w:color w:val="1A1A1A"/>
          <w:sz w:val="20"/>
          <w:szCs w:val="20"/>
        </w:rPr>
        <w:t xml:space="preserve"> (prévisibilité des mesures de prévention, </w:t>
      </w:r>
      <w:r>
        <w:rPr>
          <w:rFonts w:ascii="Calibri" w:cs="Calibri" w:eastAsia="Calibri" w:hAnsi="Calibri"/>
          <w:color w:val="E91E63"/>
          <w:sz w:val="20"/>
          <w:szCs w:val="20"/>
        </w:rPr>
        <w:t xml:space="preserve">CEDH [GC], 23 février 2017, De Tommaso c. Italie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2. Les composantes de la liberté</w:t>
      </w:r>
    </w:p>
    <w:p>
      <w:pPr>
        <w:pStyle w:val="Heading3"/>
        <w:spacing w:after="90" w:before="200"/>
      </w:pPr>
      <w:r>
        <w:rPr>
          <w:rFonts w:ascii="Calibri" w:cs="Calibri" w:eastAsia="Calibri" w:hAnsi="Calibri"/>
          <w:b/>
          <w:bCs/>
          <w:i/>
          <w:iCs/>
          <w:color w:val="5A5A5A"/>
          <w:sz w:val="21"/>
          <w:szCs w:val="21"/>
        </w:rPr>
        <w:t xml:space="preserve">2.1. Circuler et choisir sa résidence</w:t>
      </w:r>
    </w:p>
    <w:p>
      <w:pPr>
        <w:pStyle w:val="ListParagraph"/>
        <w:numPr>
          <w:ilvl w:val="0"/>
          <w:numId w:val="2"/>
        </w:numPr>
        <w:spacing w:after="70" w:line="264"/>
        <w:jc w:val="both"/>
      </w:pPr>
      <w:r>
        <w:rPr>
          <w:rFonts w:ascii="Calibri" w:cs="Calibri" w:eastAsia="Calibri" w:hAnsi="Calibri"/>
          <w:b/>
          <w:bCs/>
          <w:color w:val="1A1A1A"/>
          <w:sz w:val="20"/>
          <w:szCs w:val="20"/>
        </w:rPr>
        <w:t xml:space="preserve">Gens du voyage</w:t>
      </w:r>
      <w:r>
        <w:rPr>
          <w:rFonts w:ascii="Calibri" w:cs="Calibri" w:eastAsia="Calibri" w:hAnsi="Calibri"/>
          <w:color w:val="1A1A1A"/>
          <w:sz w:val="20"/>
          <w:szCs w:val="20"/>
        </w:rPr>
        <w:t xml:space="preserve"> : obligation de détenir un carnet de circulation censurée, ainsi que l’exigence de trois ans de rattachement pour l’inscription électorale (</w:t>
      </w:r>
      <w:r>
        <w:rPr>
          <w:rFonts w:ascii="Calibri" w:cs="Calibri" w:eastAsia="Calibri" w:hAnsi="Calibri"/>
          <w:color w:val="E91E63"/>
          <w:sz w:val="20"/>
          <w:szCs w:val="20"/>
        </w:rPr>
        <w:t xml:space="preserve">2012-279 QPC, 5 octobre 2012</w:t>
      </w:r>
      <w:r>
        <w:rPr>
          <w:rFonts w:ascii="Calibri" w:cs="Calibri" w:eastAsia="Calibri" w:hAnsi="Calibri"/>
          <w:color w:val="1A1A1A"/>
          <w:sz w:val="20"/>
          <w:szCs w:val="20"/>
        </w:rPr>
        <w:t xml:space="preserve">) ; livrets supprimés par la </w:t>
      </w:r>
      <w:r>
        <w:rPr>
          <w:rFonts w:ascii="Calibri" w:cs="Calibri" w:eastAsia="Calibri" w:hAnsi="Calibri"/>
          <w:color w:val="1E88E5"/>
          <w:sz w:val="20"/>
          <w:szCs w:val="20"/>
        </w:rPr>
        <w:t xml:space="preserve">loi du 27 janvier 2017</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Mendicité</w:t>
      </w:r>
      <w:r>
        <w:rPr>
          <w:rFonts w:ascii="Calibri" w:cs="Calibri" w:eastAsia="Calibri" w:hAnsi="Calibri"/>
          <w:color w:val="1A1A1A"/>
          <w:sz w:val="20"/>
          <w:szCs w:val="20"/>
        </w:rPr>
        <w:t xml:space="preserve"> : interdictions municipales admises si limitées dans le temps et l’espace et justifiées par des troubles avérés.</w:t>
      </w:r>
    </w:p>
    <w:p>
      <w:pPr>
        <w:pStyle w:val="ListParagraph"/>
        <w:numPr>
          <w:ilvl w:val="0"/>
          <w:numId w:val="2"/>
        </w:numPr>
        <w:spacing w:after="70" w:line="264"/>
        <w:jc w:val="both"/>
      </w:pPr>
      <w:r>
        <w:rPr>
          <w:rFonts w:ascii="Calibri" w:cs="Calibri" w:eastAsia="Calibri" w:hAnsi="Calibri"/>
          <w:b/>
          <w:bCs/>
          <w:color w:val="1A1A1A"/>
          <w:sz w:val="20"/>
          <w:szCs w:val="20"/>
        </w:rPr>
        <w:t xml:space="preserve">Zones déterminées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 § 4 Prot. 4</w:t>
      </w:r>
      <w:r>
        <w:rPr>
          <w:rFonts w:ascii="Calibri" w:cs="Calibri" w:eastAsia="Calibri" w:hAnsi="Calibri"/>
          <w:color w:val="1A1A1A"/>
          <w:sz w:val="20"/>
          <w:szCs w:val="20"/>
        </w:rPr>
        <w:t xml:space="preserve">) : autorisation de résidence dans certains quartiers de Rotterdam conditionnée aux revenus, non-violation (</w:t>
      </w:r>
      <w:r>
        <w:rPr>
          <w:rFonts w:ascii="Calibri" w:cs="Calibri" w:eastAsia="Calibri" w:hAnsi="Calibri"/>
          <w:color w:val="E91E63"/>
          <w:sz w:val="20"/>
          <w:szCs w:val="20"/>
        </w:rPr>
        <w:t xml:space="preserve">CEDH [GC], 6 novembre 2017, Garib c. Pays-Bas</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Mesures de prévention</w:t>
      </w:r>
      <w:r>
        <w:rPr>
          <w:rFonts w:ascii="Calibri" w:cs="Calibri" w:eastAsia="Calibri" w:hAnsi="Calibri"/>
          <w:color w:val="1A1A1A"/>
          <w:sz w:val="20"/>
          <w:szCs w:val="20"/>
        </w:rPr>
        <w:t xml:space="preserve"> insuffisamment prévisibles : violation (</w:t>
      </w:r>
      <w:r>
        <w:rPr>
          <w:rFonts w:ascii="Calibri" w:cs="Calibri" w:eastAsia="Calibri" w:hAnsi="Calibri"/>
          <w:color w:val="E91E63"/>
          <w:sz w:val="20"/>
          <w:szCs w:val="20"/>
        </w:rPr>
        <w:t xml:space="preserve">De Tommaso</w:t>
      </w:r>
      <w:r>
        <w:rPr>
          <w:rFonts w:ascii="Calibri" w:cs="Calibri" w:eastAsia="Calibri" w:hAnsi="Calibri"/>
          <w:color w:val="1A1A1A"/>
          <w:sz w:val="20"/>
          <w:szCs w:val="20"/>
        </w:rPr>
        <w:t xml:space="preserve">, 2017).</w:t>
      </w:r>
    </w:p>
    <w:p>
      <w:pPr>
        <w:pStyle w:val="Heading3"/>
        <w:spacing w:after="90" w:before="200"/>
      </w:pPr>
      <w:r>
        <w:rPr>
          <w:rFonts w:ascii="Calibri" w:cs="Calibri" w:eastAsia="Calibri" w:hAnsi="Calibri"/>
          <w:b/>
          <w:bCs/>
          <w:i/>
          <w:iCs/>
          <w:color w:val="5A5A5A"/>
          <w:sz w:val="21"/>
          <w:szCs w:val="21"/>
        </w:rPr>
        <w:t xml:space="preserve">2.2. Quitter son pays, y revenir</w:t>
      </w:r>
    </w:p>
    <w:p>
      <w:pPr>
        <w:pStyle w:val="ListParagraph"/>
        <w:numPr>
          <w:ilvl w:val="0"/>
          <w:numId w:val="2"/>
        </w:numPr>
        <w:spacing w:after="70" w:line="264"/>
        <w:jc w:val="both"/>
      </w:pPr>
      <w:r>
        <w:rPr>
          <w:rFonts w:ascii="Calibri" w:cs="Calibri" w:eastAsia="Calibri" w:hAnsi="Calibri"/>
          <w:b/>
          <w:bCs/>
          <w:color w:val="1A1A1A"/>
          <w:sz w:val="20"/>
          <w:szCs w:val="20"/>
        </w:rPr>
        <w:t xml:space="preserve">Quitter</w:t>
      </w:r>
      <w:r>
        <w:rPr>
          <w:rFonts w:ascii="Calibri" w:cs="Calibri" w:eastAsia="Calibri" w:hAnsi="Calibri"/>
          <w:color w:val="1A1A1A"/>
          <w:sz w:val="20"/>
          <w:szCs w:val="20"/>
        </w:rPr>
        <w:t xml:space="preserve"> : retrait de passeport pendant dix ans dans le cadre de poursuites, disproportionné (</w:t>
      </w:r>
      <w:r>
        <w:rPr>
          <w:rFonts w:ascii="Calibri" w:cs="Calibri" w:eastAsia="Calibri" w:hAnsi="Calibri"/>
          <w:color w:val="E91E63"/>
          <w:sz w:val="20"/>
          <w:szCs w:val="20"/>
        </w:rPr>
        <w:t xml:space="preserve">CEDH, 31 octobre 2006, Földes et Földesné Hajlik c. Hongrie</w:t>
      </w:r>
      <w:r>
        <w:rPr>
          <w:rFonts w:ascii="Calibri" w:cs="Calibri" w:eastAsia="Calibri" w:hAnsi="Calibri"/>
          <w:color w:val="1A1A1A"/>
          <w:sz w:val="20"/>
          <w:szCs w:val="20"/>
        </w:rPr>
        <w:t xml:space="preserve">) ; refus de passeport à un ancien condamné pour terrorisme, proportionné eu égard à sa durée limitée, à la possibilité de voyager avec la carte d’identité et au contrôle juridictionnel (</w:t>
      </w:r>
      <w:r>
        <w:rPr>
          <w:rFonts w:ascii="Calibri" w:cs="Calibri" w:eastAsia="Calibri" w:hAnsi="Calibri"/>
          <w:color w:val="E91E63"/>
          <w:sz w:val="20"/>
          <w:szCs w:val="20"/>
        </w:rPr>
        <w:t xml:space="preserve">CEDH, 26 juin 2025, Cimpaka Kapeta c. Belgique</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Revenir</w:t>
      </w:r>
      <w:r>
        <w:rPr>
          <w:rFonts w:ascii="Calibri" w:cs="Calibri" w:eastAsia="Calibri" w:hAnsi="Calibri"/>
          <w:color w:val="1A1A1A"/>
          <w:sz w:val="20"/>
          <w:szCs w:val="20"/>
        </w:rPr>
        <w:t xml:space="preserve"> : un État ne peut refouler ses nationaux (</w:t>
      </w:r>
      <w:r>
        <w:rPr>
          <w:rFonts w:ascii="Calibri" w:cs="Calibri" w:eastAsia="Calibri" w:hAnsi="Calibri"/>
          <w:color w:val="1E88E5"/>
          <w:sz w:val="20"/>
          <w:szCs w:val="20"/>
        </w:rPr>
        <w:t xml:space="preserve">art. 3 Prot. 4</w:t>
      </w:r>
      <w:r>
        <w:rPr>
          <w:rFonts w:ascii="Calibri" w:cs="Calibri" w:eastAsia="Calibri" w:hAnsi="Calibri"/>
          <w:color w:val="1A1A1A"/>
          <w:sz w:val="20"/>
          <w:szCs w:val="20"/>
        </w:rPr>
        <w:t xml:space="preserve">) — question des enfants de djihadistes retenus en Syrie (</w:t>
      </w:r>
      <w:r>
        <w:rPr>
          <w:rFonts w:ascii="Calibri" w:cs="Calibri" w:eastAsia="Calibri" w:hAnsi="Calibri"/>
          <w:color w:val="E91E63"/>
          <w:sz w:val="20"/>
          <w:szCs w:val="20"/>
        </w:rPr>
        <w:t xml:space="preserve">CEDH [GC], 14 septembre 2022, H.F. et autres c. France</w:t>
      </w:r>
      <w:r>
        <w:rPr>
          <w:rFonts w:ascii="Calibri" w:cs="Calibri" w:eastAsia="Calibri" w:hAnsi="Calibri"/>
          <w:color w:val="1A1A1A"/>
          <w:sz w:val="20"/>
          <w:szCs w:val="20"/>
        </w:rPr>
        <w:t xml:space="preserve"> : pas de droit général au rapatriement, mais obligation d’un examen entouré de garanties contre l’arbitraire, violation).</w:t>
      </w:r>
    </w:p>
    <w:p>
      <w:pPr>
        <w:pStyle w:val="ListParagraph"/>
        <w:numPr>
          <w:ilvl w:val="0"/>
          <w:numId w:val="2"/>
        </w:numPr>
        <w:spacing w:after="70" w:line="264"/>
        <w:jc w:val="both"/>
      </w:pPr>
      <w:r>
        <w:rPr>
          <w:rFonts w:ascii="Calibri" w:cs="Calibri" w:eastAsia="Calibri" w:hAnsi="Calibri"/>
          <w:b/>
          <w:bCs/>
          <w:color w:val="1A1A1A"/>
          <w:sz w:val="20"/>
          <w:szCs w:val="20"/>
        </w:rPr>
        <w:t xml:space="preserve">Interdiction de sortie du territoire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224-1 CSI</w:t>
      </w:r>
      <w:r>
        <w:rPr>
          <w:rFonts w:ascii="Calibri" w:cs="Calibri" w:eastAsia="Calibri" w:hAnsi="Calibri"/>
          <w:color w:val="1A1A1A"/>
          <w:sz w:val="20"/>
          <w:szCs w:val="20"/>
        </w:rPr>
        <w:t xml:space="preserve">) validée (</w:t>
      </w:r>
      <w:r>
        <w:rPr>
          <w:rFonts w:ascii="Calibri" w:cs="Calibri" w:eastAsia="Calibri" w:hAnsi="Calibri"/>
          <w:color w:val="E91E63"/>
          <w:sz w:val="20"/>
          <w:szCs w:val="20"/>
        </w:rPr>
        <w:t xml:space="preserve">2015-490 QPC, 14 octobre 2015</w:t>
      </w:r>
      <w:r>
        <w:rPr>
          <w:rFonts w:ascii="Calibri" w:cs="Calibri" w:eastAsia="Calibri" w:hAnsi="Calibri"/>
          <w:color w:val="1A1A1A"/>
          <w:sz w:val="20"/>
          <w:szCs w:val="20"/>
        </w:rPr>
        <w:t xml:space="preserve">) ; autorisation de sortie du territoire des mineurs non accompagnés d’un titulaire de l’autorité parentale (</w:t>
      </w:r>
      <w:r>
        <w:rPr>
          <w:rFonts w:ascii="Calibri" w:cs="Calibri" w:eastAsia="Calibri" w:hAnsi="Calibri"/>
          <w:color w:val="1E88E5"/>
          <w:sz w:val="20"/>
          <w:szCs w:val="20"/>
        </w:rPr>
        <w:t xml:space="preserve">art. 371-6 C. civ.</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2.3. Restriction ou privation de liberté</w:t>
      </w:r>
    </w:p>
    <w:p>
      <w:pPr>
        <w:pStyle w:val="ListParagraph"/>
        <w:numPr>
          <w:ilvl w:val="0"/>
          <w:numId w:val="2"/>
        </w:numPr>
        <w:spacing w:after="70" w:line="264"/>
        <w:jc w:val="both"/>
      </w:pPr>
      <w:r>
        <w:rPr>
          <w:rFonts w:ascii="Calibri" w:cs="Calibri" w:eastAsia="Calibri" w:hAnsi="Calibri"/>
          <w:b/>
          <w:bCs/>
          <w:color w:val="1A1A1A"/>
          <w:sz w:val="20"/>
          <w:szCs w:val="20"/>
        </w:rPr>
        <w:t xml:space="preserve">Strasbourg</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Guzzardi</w:t>
      </w:r>
      <w:r>
        <w:rPr>
          <w:rFonts w:ascii="Calibri" w:cs="Calibri" w:eastAsia="Calibri" w:hAnsi="Calibri"/>
          <w:color w:val="1A1A1A"/>
          <w:sz w:val="20"/>
          <w:szCs w:val="20"/>
        </w:rPr>
        <w:t xml:space="preserve"> (1980, relégation sur une île : privation) ; </w:t>
      </w:r>
      <w:r>
        <w:rPr>
          <w:rFonts w:ascii="Calibri" w:cs="Calibri" w:eastAsia="Calibri" w:hAnsi="Calibri"/>
          <w:color w:val="E91E63"/>
          <w:sz w:val="20"/>
          <w:szCs w:val="20"/>
        </w:rPr>
        <w:t xml:space="preserve">CEDH [GC], 15 mars 2012, Austin c. Royaume-Uni</w:t>
      </w:r>
      <w:r>
        <w:rPr>
          <w:rFonts w:ascii="Calibri" w:cs="Calibri" w:eastAsia="Calibri" w:hAnsi="Calibri"/>
          <w:color w:val="1A1A1A"/>
          <w:sz w:val="20"/>
          <w:szCs w:val="20"/>
        </w:rPr>
        <w:t xml:space="preserve"> (nasse : pas de privation eu égard aux circonstances) ; maintien en zone d’attente aéroportuaire : privation de liberté au sens de l’</w:t>
      </w:r>
      <w:r>
        <w:rPr>
          <w:rFonts w:ascii="Calibri" w:cs="Calibri" w:eastAsia="Calibri" w:hAnsi="Calibri"/>
          <w:color w:val="1E88E5"/>
          <w:sz w:val="20"/>
          <w:szCs w:val="20"/>
        </w:rPr>
        <w:t xml:space="preserve">art. 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25 juin 1996, Amuur c. France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Conseil constitutionnel</w:t>
      </w:r>
      <w:r>
        <w:rPr>
          <w:rFonts w:ascii="Calibri" w:cs="Calibri" w:eastAsia="Calibri" w:hAnsi="Calibri"/>
          <w:color w:val="1A1A1A"/>
          <w:sz w:val="20"/>
          <w:szCs w:val="20"/>
        </w:rPr>
        <w:t xml:space="preserve"> : assignation de l’état d’urgence ≤ 12 h/jour = restriction (</w:t>
      </w:r>
      <w:r>
        <w:rPr>
          <w:rFonts w:ascii="Calibri" w:cs="Calibri" w:eastAsia="Calibri" w:hAnsi="Calibri"/>
          <w:color w:val="E91E63"/>
          <w:sz w:val="20"/>
          <w:szCs w:val="20"/>
        </w:rPr>
        <w:t xml:space="preserve">2015-527 QPC</w:t>
      </w:r>
      <w:r>
        <w:rPr>
          <w:rFonts w:ascii="Calibri" w:cs="Calibri" w:eastAsia="Calibri" w:hAnsi="Calibri"/>
          <w:color w:val="1A1A1A"/>
          <w:sz w:val="20"/>
          <w:szCs w:val="20"/>
        </w:rPr>
        <w:t xml:space="preserve">) ; quarantaine avec interdiction totale de sortie ou plus de 12 h/jour = privation exigeant l’intervention du juge judiciaire au-delà de quatorze jours (</w:t>
      </w:r>
      <w:r>
        <w:rPr>
          <w:rFonts w:ascii="Calibri" w:cs="Calibri" w:eastAsia="Calibri" w:hAnsi="Calibri"/>
          <w:color w:val="E91E63"/>
          <w:sz w:val="20"/>
          <w:szCs w:val="20"/>
        </w:rPr>
        <w:t xml:space="preserve">2020-800 DC</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Conséquence</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66</w:t>
      </w:r>
      <w:r>
        <w:rPr>
          <w:rFonts w:ascii="Calibri" w:cs="Calibri" w:eastAsia="Calibri" w:hAnsi="Calibri"/>
          <w:color w:val="1A1A1A"/>
          <w:sz w:val="20"/>
          <w:szCs w:val="20"/>
        </w:rPr>
        <w:t xml:space="preserve"> et le juge judiciaire pour la privation ; le juge administratif pour la restriction.</w:t>
      </w:r>
    </w:p>
    <w:p>
      <w:pPr>
        <w:pStyle w:val="Heading2"/>
        <w:spacing w:after="120" w:before="280"/>
      </w:pPr>
      <w:r>
        <w:rPr>
          <w:rFonts w:ascii="Calibri" w:cs="Calibri" w:eastAsia="Calibri" w:hAnsi="Calibri"/>
          <w:b/>
          <w:bCs/>
          <w:color w:val="1A1A1A"/>
          <w:sz w:val="24"/>
          <w:szCs w:val="24"/>
        </w:rPr>
        <w:t xml:space="preserve">3. Les contrôles d’identité</w:t>
      </w:r>
    </w:p>
    <w:p>
      <w:pPr>
        <w:pStyle w:val="ListParagraph"/>
        <w:numPr>
          <w:ilvl w:val="0"/>
          <w:numId w:val="2"/>
        </w:numPr>
        <w:spacing w:after="70" w:line="264"/>
        <w:jc w:val="both"/>
      </w:pPr>
      <w:r>
        <w:rPr>
          <w:rFonts w:ascii="Calibri" w:cs="Calibri" w:eastAsia="Calibri" w:hAnsi="Calibri"/>
          <w:b/>
          <w:bCs/>
          <w:color w:val="1A1A1A"/>
          <w:sz w:val="20"/>
          <w:szCs w:val="20"/>
        </w:rPr>
        <w:t xml:space="preserve">Police judiciaire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78-2 al. 1 et 2 CPP</w:t>
      </w:r>
      <w:r>
        <w:rPr>
          <w:rFonts w:ascii="Calibri" w:cs="Calibri" w:eastAsia="Calibri" w:hAnsi="Calibri"/>
          <w:color w:val="1A1A1A"/>
          <w:sz w:val="20"/>
          <w:szCs w:val="20"/>
        </w:rPr>
        <w:t xml:space="preserve">) : raisons plausibles de soupçonner une infraction ; </w:t>
      </w:r>
      <w:r>
        <w:rPr>
          <w:rFonts w:ascii="Calibri" w:cs="Calibri" w:eastAsia="Calibri" w:hAnsi="Calibri"/>
          <w:b/>
          <w:bCs/>
          <w:color w:val="1A1A1A"/>
          <w:sz w:val="20"/>
          <w:szCs w:val="20"/>
        </w:rPr>
        <w:t xml:space="preserve">sur réquisitions du procureur</w:t>
      </w:r>
      <w:r>
        <w:rPr>
          <w:rFonts w:ascii="Calibri" w:cs="Calibri" w:eastAsia="Calibri" w:hAnsi="Calibri"/>
          <w:color w:val="1A1A1A"/>
          <w:sz w:val="20"/>
          <w:szCs w:val="20"/>
        </w:rPr>
        <w:t xml:space="preserve"> (lieux et période déterminés) — réserve : pas de lieux et périodes sans lien avec les infractions visées, pas de cumul de réquisitions aboutissant à un contrôle généralisé (</w:t>
      </w:r>
      <w:r>
        <w:rPr>
          <w:rFonts w:ascii="Calibri" w:cs="Calibri" w:eastAsia="Calibri" w:hAnsi="Calibri"/>
          <w:color w:val="E91E63"/>
          <w:sz w:val="20"/>
          <w:szCs w:val="20"/>
        </w:rPr>
        <w:t xml:space="preserve">2016-606/607 QPC, 24 janvier 2017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Police administrative</w:t>
      </w:r>
      <w:r>
        <w:rPr>
          <w:rFonts w:ascii="Calibri" w:cs="Calibri" w:eastAsia="Calibri" w:hAnsi="Calibri"/>
          <w:color w:val="1A1A1A"/>
          <w:sz w:val="20"/>
          <w:szCs w:val="20"/>
        </w:rPr>
        <w:t xml:space="preserve"> : prévention d’une atteinte à l’ordre public, indépendamment du comportement, mais justification de </w:t>
      </w:r>
      <w:r>
        <w:rPr>
          <w:rFonts w:ascii="Calibri" w:cs="Calibri" w:eastAsia="Calibri" w:hAnsi="Calibri"/>
          <w:b/>
          <w:bCs/>
          <w:color w:val="1A1A1A"/>
          <w:sz w:val="20"/>
          <w:szCs w:val="20"/>
        </w:rPr>
        <w:t xml:space="preserve">circonstances particulières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93-323 DC</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Zones frontalières</w:t>
      </w:r>
      <w:r>
        <w:rPr>
          <w:rFonts w:ascii="Calibri" w:cs="Calibri" w:eastAsia="Calibri" w:hAnsi="Calibri"/>
          <w:color w:val="1A1A1A"/>
          <w:sz w:val="20"/>
          <w:szCs w:val="20"/>
        </w:rPr>
        <w:t xml:space="preserve"> (bande de 20 km) : compatibles avec le droit de l’Union seulement si encadrés pour ne pas produire l’effet d’un contrôle aux frontières (</w:t>
      </w:r>
      <w:r>
        <w:rPr>
          <w:rFonts w:ascii="Calibri" w:cs="Calibri" w:eastAsia="Calibri" w:hAnsi="Calibri"/>
          <w:color w:val="E91E63"/>
          <w:sz w:val="20"/>
          <w:szCs w:val="20"/>
        </w:rPr>
        <w:t xml:space="preserve">CJUE [GC], 22 juin 2010, Melki et Abdeli, C-188/10 et C-189/10</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Contrôles « au faciès »</w:t>
      </w:r>
      <w:r>
        <w:rPr>
          <w:rFonts w:ascii="Calibri" w:cs="Calibri" w:eastAsia="Calibri" w:hAnsi="Calibri"/>
          <w:color w:val="1A1A1A"/>
          <w:sz w:val="20"/>
          <w:szCs w:val="20"/>
        </w:rPr>
        <w:t xml:space="preserve"> : faute lourde de l’État en cas de contrôle discriminatoire, avec aménagement de la charge de la preuve (</w:t>
      </w:r>
      <w:r>
        <w:rPr>
          <w:rFonts w:ascii="Calibri" w:cs="Calibri" w:eastAsia="Calibri" w:hAnsi="Calibri"/>
          <w:color w:val="E91E63"/>
          <w:sz w:val="20"/>
          <w:szCs w:val="20"/>
        </w:rPr>
        <w:t xml:space="preserve">Cass. 1re civ., 9 novembre 2016</w:t>
      </w:r>
      <w:r>
        <w:rPr>
          <w:rFonts w:ascii="Calibri" w:cs="Calibri" w:eastAsia="Calibri" w:hAnsi="Calibri"/>
          <w:color w:val="1A1A1A"/>
          <w:sz w:val="20"/>
          <w:szCs w:val="20"/>
        </w:rPr>
        <w:t xml:space="preserve">) ; action de groupe : le Conseil d’État reconnaît des contrôles discriminatoires ne se limitant pas à des cas isolés, mais refuse d’enjoindre une réforme relevant de la politique publique (</w:t>
      </w:r>
      <w:r>
        <w:rPr>
          <w:rFonts w:ascii="Calibri" w:cs="Calibri" w:eastAsia="Calibri" w:hAnsi="Calibri"/>
          <w:color w:val="E91E63"/>
          <w:sz w:val="20"/>
          <w:szCs w:val="20"/>
        </w:rPr>
        <w:t xml:space="preserve">CE, ass., 11 octobre 2023, Amnesty International France et autres</w:t>
      </w:r>
      <w:r>
        <w:rPr>
          <w:rFonts w:ascii="Calibri" w:cs="Calibri" w:eastAsia="Calibri" w:hAnsi="Calibri"/>
          <w:color w:val="1A1A1A"/>
          <w:sz w:val="20"/>
          <w:szCs w:val="20"/>
        </w:rPr>
        <w:t xml:space="preserve">) ; condamnation de la France pour l’un des six requérants (</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combiné avec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26 juin 2025, Seydi et autres c. France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Terrorisme, exception et crises</w:t>
      </w:r>
    </w:p>
    <w:p>
      <w:pPr>
        <w:pStyle w:val="Heading3"/>
        <w:spacing w:after="90" w:before="200"/>
      </w:pPr>
      <w:r>
        <w:rPr>
          <w:rFonts w:ascii="Calibri" w:cs="Calibri" w:eastAsia="Calibri" w:hAnsi="Calibri"/>
          <w:b/>
          <w:bCs/>
          <w:i/>
          <w:iCs/>
          <w:color w:val="5A5A5A"/>
          <w:sz w:val="21"/>
          <w:szCs w:val="21"/>
        </w:rPr>
        <w:t xml:space="preserve">4.1. Les mesures de la loi SILT</w:t>
      </w:r>
    </w:p>
    <w:p>
      <w:pPr>
        <w:pStyle w:val="ListParagraph"/>
        <w:numPr>
          <w:ilvl w:val="0"/>
          <w:numId w:val="2"/>
        </w:numPr>
        <w:spacing w:after="70" w:line="264"/>
        <w:jc w:val="both"/>
      </w:pPr>
      <w:r>
        <w:rPr>
          <w:rFonts w:ascii="Calibri" w:cs="Calibri" w:eastAsia="Calibri" w:hAnsi="Calibri"/>
          <w:b/>
          <w:bCs/>
          <w:color w:val="1A1A1A"/>
          <w:sz w:val="20"/>
          <w:szCs w:val="20"/>
        </w:rPr>
        <w:t xml:space="preserve">Périmètres de protection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226-1 CSI</w:t>
      </w:r>
      <w:r>
        <w:rPr>
          <w:rFonts w:ascii="Calibri" w:cs="Calibri" w:eastAsia="Calibri" w:hAnsi="Calibri"/>
          <w:color w:val="1A1A1A"/>
          <w:sz w:val="20"/>
          <w:szCs w:val="20"/>
        </w:rPr>
        <w:t xml:space="preserve">) : un mois renouvelable, palpations et fouilles avec consentement, validés (</w:t>
      </w:r>
      <w:r>
        <w:rPr>
          <w:rFonts w:ascii="Calibri" w:cs="Calibri" w:eastAsia="Calibri" w:hAnsi="Calibri"/>
          <w:color w:val="E91E63"/>
          <w:sz w:val="20"/>
          <w:szCs w:val="20"/>
        </w:rPr>
        <w:t xml:space="preserve">2017-695 QPC, 29 mars 2018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MICAS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228-1 et s.</w:t>
      </w:r>
      <w:r>
        <w:rPr>
          <w:rFonts w:ascii="Calibri" w:cs="Calibri" w:eastAsia="Calibri" w:hAnsi="Calibri"/>
          <w:color w:val="1A1A1A"/>
          <w:sz w:val="20"/>
          <w:szCs w:val="20"/>
        </w:rPr>
        <w:t xml:space="preserve">) : raisons sérieuses de penser que le comportement constitue une menace d’une particulière gravité et relations avec des milieux terroristes ou adhésion à des thèses incitant au terrorisme ; obligations — ne pas quitter un périmètre au moins égal à la commune, se présenter une fois par jour au plus, déclarer son domicile — ou, à défaut, interdictions de paraître et de contact ; trois mois renouvelables, douze mois maximum cumulés, éléments nouveaux au-delà de six mois ; contrôle : </w:t>
      </w:r>
      <w:r>
        <w:rPr>
          <w:rFonts w:ascii="Calibri" w:cs="Calibri" w:eastAsia="Calibri" w:hAnsi="Calibri"/>
          <w:color w:val="E91E63"/>
          <w:sz w:val="20"/>
          <w:szCs w:val="20"/>
        </w:rPr>
        <w:t xml:space="preserve">2017-691 QPC, 16 février 2018</w:t>
      </w:r>
      <w:r>
        <w:rPr>
          <w:rFonts w:ascii="Calibri" w:cs="Calibri" w:eastAsia="Calibri" w:hAnsi="Calibri"/>
          <w:color w:val="1A1A1A"/>
          <w:sz w:val="20"/>
          <w:szCs w:val="20"/>
        </w:rPr>
        <w:t xml:space="preserve"> (réserves et censures partielles). La </w:t>
      </w:r>
      <w:r>
        <w:rPr>
          <w:rFonts w:ascii="Calibri" w:cs="Calibri" w:eastAsia="Calibri" w:hAnsi="Calibri"/>
          <w:color w:val="1E88E5"/>
          <w:sz w:val="20"/>
          <w:szCs w:val="20"/>
        </w:rPr>
        <w:t xml:space="preserve">loi du 27 juillet 2026</w:t>
      </w:r>
      <w:r>
        <w:rPr>
          <w:rFonts w:ascii="Calibri" w:cs="Calibri" w:eastAsia="Calibri" w:hAnsi="Calibri"/>
          <w:color w:val="1A1A1A"/>
          <w:sz w:val="20"/>
          <w:szCs w:val="20"/>
        </w:rPr>
        <w:t xml:space="preserve"> ouvre un recours accéléré contre le renouvellement (saisine en 48 heures, jugement en 72 heures).</w:t>
      </w:r>
    </w:p>
    <w:p>
      <w:pPr>
        <w:pStyle w:val="Heading3"/>
        <w:spacing w:after="90" w:before="200"/>
      </w:pPr>
      <w:r>
        <w:rPr>
          <w:rFonts w:ascii="Calibri" w:cs="Calibri" w:eastAsia="Calibri" w:hAnsi="Calibri"/>
          <w:b/>
          <w:bCs/>
          <w:i/>
          <w:iCs/>
          <w:color w:val="5A5A5A"/>
          <w:sz w:val="21"/>
          <w:szCs w:val="21"/>
        </w:rPr>
        <w:t xml:space="preserve">4.2. États d’urgence</w:t>
      </w:r>
    </w:p>
    <w:p>
      <w:pPr>
        <w:pStyle w:val="ListParagraph"/>
        <w:numPr>
          <w:ilvl w:val="0"/>
          <w:numId w:val="2"/>
        </w:numPr>
        <w:spacing w:after="70" w:line="264"/>
        <w:jc w:val="both"/>
      </w:pPr>
      <w:r>
        <w:rPr>
          <w:rFonts w:ascii="Calibri" w:cs="Calibri" w:eastAsia="Calibri" w:hAnsi="Calibri"/>
          <w:b/>
          <w:bCs/>
          <w:color w:val="1A1A1A"/>
          <w:sz w:val="20"/>
          <w:szCs w:val="20"/>
        </w:rPr>
        <w:t xml:space="preserve">État d’urgence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3 avril 1955</w:t>
      </w:r>
      <w:r>
        <w:rPr>
          <w:rFonts w:ascii="Calibri" w:cs="Calibri" w:eastAsia="Calibri" w:hAnsi="Calibri"/>
          <w:color w:val="1A1A1A"/>
          <w:sz w:val="20"/>
          <w:szCs w:val="20"/>
        </w:rPr>
        <w:t xml:space="preserve">) : assignation à résidence (</w:t>
      </w:r>
      <w:r>
        <w:rPr>
          <w:rFonts w:ascii="Calibri" w:cs="Calibri" w:eastAsia="Calibri" w:hAnsi="Calibri"/>
          <w:color w:val="1E88E5"/>
          <w:sz w:val="20"/>
          <w:szCs w:val="20"/>
        </w:rPr>
        <w:t xml:space="preserve">art. 6</w:t>
      </w:r>
      <w:r>
        <w:rPr>
          <w:rFonts w:ascii="Calibri" w:cs="Calibri" w:eastAsia="Calibri" w:hAnsi="Calibri"/>
          <w:color w:val="1A1A1A"/>
          <w:sz w:val="20"/>
          <w:szCs w:val="20"/>
        </w:rPr>
        <w:t xml:space="preserve">), validée (</w:t>
      </w:r>
      <w:r>
        <w:rPr>
          <w:rFonts w:ascii="Calibri" w:cs="Calibri" w:eastAsia="Calibri" w:hAnsi="Calibri"/>
          <w:color w:val="E91E63"/>
          <w:sz w:val="20"/>
          <w:szCs w:val="20"/>
        </w:rPr>
        <w:t xml:space="preserve">2015-527 QPC</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État d’urgence sanitaire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23 mars 2020</w:t>
      </w:r>
      <w:r>
        <w:rPr>
          <w:rFonts w:ascii="Calibri" w:cs="Calibri" w:eastAsia="Calibri" w:hAnsi="Calibri"/>
          <w:color w:val="1A1A1A"/>
          <w:sz w:val="20"/>
          <w:szCs w:val="20"/>
        </w:rPr>
        <w:t xml:space="preserve">) : confinement, couvre-feu, quarantaine ; le juge des référés refuse d’ordonner un confinement total mais enjoint de préciser les dérogations (</w:t>
      </w:r>
      <w:r>
        <w:rPr>
          <w:rFonts w:ascii="Calibri" w:cs="Calibri" w:eastAsia="Calibri" w:hAnsi="Calibri"/>
          <w:color w:val="E91E63"/>
          <w:sz w:val="20"/>
          <w:szCs w:val="20"/>
        </w:rPr>
        <w:t xml:space="preserve">CE, ord., 22 mars 2020, Syndicat Jeunes Médecins, n° 439674</w:t>
      </w:r>
      <w:r>
        <w:rPr>
          <w:rFonts w:ascii="Calibri" w:cs="Calibri" w:eastAsia="Calibri" w:hAnsi="Calibri"/>
          <w:color w:val="1A1A1A"/>
          <w:sz w:val="20"/>
          <w:szCs w:val="20"/>
        </w:rPr>
        <w:t xml:space="preserve">) ; passe sanitaire validé sous réserves (</w:t>
      </w:r>
      <w:r>
        <w:rPr>
          <w:rFonts w:ascii="Calibri" w:cs="Calibri" w:eastAsia="Calibri" w:hAnsi="Calibri"/>
          <w:color w:val="E91E63"/>
          <w:sz w:val="20"/>
          <w:szCs w:val="20"/>
        </w:rPr>
        <w:t xml:space="preserve">2021-824 DC, 5 août 2021</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4.3. Supporters</w:t>
      </w:r>
    </w:p>
    <w:p>
      <w:pPr>
        <w:pStyle w:val="ListParagraph"/>
        <w:numPr>
          <w:ilvl w:val="0"/>
          <w:numId w:val="2"/>
        </w:numPr>
        <w:spacing w:after="70" w:line="264"/>
        <w:jc w:val="both"/>
      </w:pPr>
      <w:r>
        <w:rPr>
          <w:rFonts w:ascii="Calibri" w:cs="Calibri" w:eastAsia="Calibri" w:hAnsi="Calibri"/>
          <w:b/>
          <w:bCs/>
          <w:color w:val="1A1A1A"/>
          <w:sz w:val="20"/>
          <w:szCs w:val="20"/>
        </w:rPr>
        <w:t xml:space="preserve">Interdiction de déplacement</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332-16-1 C. sport</w:t>
      </w:r>
      <w:r>
        <w:rPr>
          <w:rFonts w:ascii="Calibri" w:cs="Calibri" w:eastAsia="Calibri" w:hAnsi="Calibri"/>
          <w:color w:val="1A1A1A"/>
          <w:sz w:val="20"/>
          <w:szCs w:val="20"/>
        </w:rPr>
        <w:t xml:space="preserve">) : éléments précis et circonstanciés de risque de troubles graves et insuffisance de mesures moins restrictives ; le risque peut être apprécié objectivement, indépendamment du comportement individuel (</w:t>
      </w:r>
      <w:r>
        <w:rPr>
          <w:rFonts w:ascii="Calibri" w:cs="Calibri" w:eastAsia="Calibri" w:hAnsi="Calibri"/>
          <w:color w:val="E91E63"/>
          <w:sz w:val="20"/>
          <w:szCs w:val="20"/>
        </w:rPr>
        <w:t xml:space="preserve">CE, ord., 3 avril 2026, Association nationale des supporters, n° 514220</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5. La libre circulation dans l’Union</w:t>
      </w:r>
    </w:p>
    <w:p>
      <w:pPr>
        <w:pStyle w:val="ListParagraph"/>
        <w:numPr>
          <w:ilvl w:val="0"/>
          <w:numId w:val="2"/>
        </w:numPr>
        <w:spacing w:after="70" w:line="264"/>
        <w:jc w:val="both"/>
      </w:pPr>
      <w:r>
        <w:rPr>
          <w:rFonts w:ascii="Calibri" w:cs="Calibri" w:eastAsia="Calibri" w:hAnsi="Calibri"/>
          <w:b/>
          <w:bCs/>
          <w:color w:val="1A1A1A"/>
          <w:sz w:val="20"/>
          <w:szCs w:val="20"/>
        </w:rPr>
        <w:t xml:space="preserve">Schengen</w:t>
      </w:r>
      <w:r>
        <w:rPr>
          <w:rFonts w:ascii="Calibri" w:cs="Calibri" w:eastAsia="Calibri" w:hAnsi="Calibri"/>
          <w:color w:val="1A1A1A"/>
          <w:sz w:val="20"/>
          <w:szCs w:val="20"/>
        </w:rPr>
        <w:t xml:space="preserve"> : accords du 14 juin 1985, convention d’application du 19 juin 1990, intégration au droit de l’Union par le traité d’Amsterdam (1997) ; </w:t>
      </w:r>
      <w:r>
        <w:rPr>
          <w:rFonts w:ascii="Calibri" w:cs="Calibri" w:eastAsia="Calibri" w:hAnsi="Calibri"/>
          <w:b/>
          <w:bCs/>
          <w:color w:val="1A1A1A"/>
          <w:sz w:val="20"/>
          <w:szCs w:val="20"/>
        </w:rPr>
        <w:t xml:space="preserve">29 États</w:t>
      </w:r>
      <w:r>
        <w:rPr>
          <w:rFonts w:ascii="Calibri" w:cs="Calibri" w:eastAsia="Calibri" w:hAnsi="Calibri"/>
          <w:color w:val="1A1A1A"/>
          <w:sz w:val="20"/>
          <w:szCs w:val="20"/>
        </w:rPr>
        <w:t xml:space="preserve"> depuis l’intégration complète de la Bulgarie et de la Roumanie au 1er janvier 2025 (25 États membres et Islande, Liechtenstein, Norvège, Suisse ; ni l’Irlande ni Chypre).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Contrôles aux frontières intérieures</w:t>
      </w:r>
      <w:r>
        <w:rPr>
          <w:rFonts w:ascii="Calibri" w:cs="Calibri" w:eastAsia="Calibri" w:hAnsi="Calibri"/>
          <w:color w:val="1A1A1A"/>
          <w:sz w:val="20"/>
          <w:szCs w:val="20"/>
        </w:rPr>
        <w:t xml:space="preserve"> : exception temporaire et de dernier recours ; au-delà de six mois, une prolongation suppose une </w:t>
      </w:r>
      <w:r>
        <w:rPr>
          <w:rFonts w:ascii="Calibri" w:cs="Calibri" w:eastAsia="Calibri" w:hAnsi="Calibri"/>
          <w:b/>
          <w:bCs/>
          <w:color w:val="1A1A1A"/>
          <w:sz w:val="20"/>
          <w:szCs w:val="20"/>
        </w:rPr>
        <w:t xml:space="preserve">menace nouvelle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CJUE, 26 avril 2022, NW, C-368/20 et C-369/20</w:t>
      </w:r>
      <w:r>
        <w:rPr>
          <w:rFonts w:ascii="Calibri" w:cs="Calibri" w:eastAsia="Calibri" w:hAnsi="Calibri"/>
          <w:color w:val="1A1A1A"/>
          <w:sz w:val="20"/>
          <w:szCs w:val="20"/>
        </w:rPr>
        <w:t xml:space="preserve">) ; la France les maintient sans interruption depuis 2015 ; premier contrôle sous le règlement de 2024 : réintroduction de novembre 2024 à avril 2025 jugée justifiée et proportionnée (</w:t>
      </w:r>
      <w:r>
        <w:rPr>
          <w:rFonts w:ascii="Calibri" w:cs="Calibri" w:eastAsia="Calibri" w:hAnsi="Calibri"/>
          <w:color w:val="E91E63"/>
          <w:sz w:val="20"/>
          <w:szCs w:val="20"/>
        </w:rPr>
        <w:t xml:space="preserve">CE, 7 mars 2025, Anafé, n° 499702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Du travailleur au citoyen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12 mai 1998, Martínez Sala, C-85/96</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20 septembre 2001, Grzelczyk, C-184/99</w:t>
      </w:r>
      <w:r>
        <w:rPr>
          <w:rFonts w:ascii="Calibri" w:cs="Calibri" w:eastAsia="Calibri" w:hAnsi="Calibri"/>
          <w:color w:val="1A1A1A"/>
          <w:sz w:val="20"/>
          <w:szCs w:val="20"/>
        </w:rPr>
        <w:t xml:space="preserve"> (« vocation à être le statut fondamental des ressortissants ») ; </w:t>
      </w:r>
      <w:r>
        <w:rPr>
          <w:rFonts w:ascii="Calibri" w:cs="Calibri" w:eastAsia="Calibri" w:hAnsi="Calibri"/>
          <w:color w:val="E91E63"/>
          <w:sz w:val="20"/>
          <w:szCs w:val="20"/>
        </w:rPr>
        <w:t xml:space="preserve">CJUE [GC], 8 mars 2011, Ruiz Zambrano, C-34/09</w:t>
      </w:r>
      <w:r>
        <w:rPr>
          <w:rFonts w:ascii="Calibri" w:cs="Calibri" w:eastAsia="Calibri" w:hAnsi="Calibri"/>
          <w:color w:val="1A1A1A"/>
          <w:sz w:val="20"/>
          <w:szCs w:val="20"/>
        </w:rPr>
        <w:t xml:space="preserve"> (jouissance effective de l’essentiel des droits) ; reflux : </w:t>
      </w:r>
      <w:r>
        <w:rPr>
          <w:rFonts w:ascii="Calibri" w:cs="Calibri" w:eastAsia="Calibri" w:hAnsi="Calibri"/>
          <w:color w:val="E91E63"/>
          <w:sz w:val="20"/>
          <w:szCs w:val="20"/>
        </w:rPr>
        <w:t xml:space="preserve">Dano</w:t>
      </w:r>
      <w:r>
        <w:rPr>
          <w:rFonts w:ascii="Calibri" w:cs="Calibri" w:eastAsia="Calibri" w:hAnsi="Calibri"/>
          <w:color w:val="1A1A1A"/>
          <w:sz w:val="20"/>
          <w:szCs w:val="20"/>
        </w:rPr>
        <w:t xml:space="preserve"> (2014). </w:t>
      </w:r>
      <w:r>
        <w:rPr>
          <w:rFonts w:ascii="Calibri" w:cs="Calibri" w:eastAsia="Calibri" w:hAnsi="Calibri"/>
          <w:b/>
          <w:bCs/>
          <w:color w:val="1A1A1A"/>
          <w:sz w:val="20"/>
          <w:szCs w:val="20"/>
        </w:rPr>
        <w:t xml:space="preserve">Cinquième liberté</w:t>
      </w:r>
      <w:r>
        <w:rPr>
          <w:rFonts w:ascii="Calibri" w:cs="Calibri" w:eastAsia="Calibri" w:hAnsi="Calibri"/>
          <w:color w:val="1A1A1A"/>
          <w:sz w:val="20"/>
          <w:szCs w:val="20"/>
        </w:rPr>
        <w:t xml:space="preserve"> : la libre circulation des données (</w:t>
      </w:r>
      <w:r>
        <w:rPr>
          <w:rFonts w:ascii="Calibri" w:cs="Calibri" w:eastAsia="Calibri" w:hAnsi="Calibri"/>
          <w:color w:val="1E88E5"/>
          <w:sz w:val="20"/>
          <w:szCs w:val="20"/>
        </w:rPr>
        <w:t xml:space="preserve">considérant 13 RGPD</w:t>
      </w:r>
      <w:r>
        <w:rPr>
          <w:rFonts w:ascii="Calibri" w:cs="Calibri" w:eastAsia="Calibri" w:hAnsi="Calibri"/>
          <w:color w:val="1A1A1A"/>
          <w:sz w:val="20"/>
          <w:szCs w:val="20"/>
        </w:rPr>
        <w:t xml:space="preserve">, fiche 35).</w:t>
      </w:r>
    </w:p>
    <w:p>
      <w:pPr>
        <w:pStyle w:val="Heading2"/>
        <w:spacing w:after="120" w:before="280"/>
      </w:pPr>
      <w:r>
        <w:rPr>
          <w:rFonts w:ascii="Calibri" w:cs="Calibri" w:eastAsia="Calibri" w:hAnsi="Calibri"/>
          <w:b/>
          <w:bCs/>
          <w:color w:val="1A1A1A"/>
          <w:sz w:val="24"/>
          <w:szCs w:val="24"/>
        </w:rPr>
        <w:t xml:space="preserve">6.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Le jus communicationis</w:t>
      </w:r>
      <w:r>
        <w:rPr>
          <w:rFonts w:ascii="Calibri" w:cs="Calibri" w:eastAsia="Calibri" w:hAnsi="Calibri"/>
          <w:color w:val="1A1A1A"/>
          <w:sz w:val="20"/>
          <w:szCs w:val="20"/>
        </w:rPr>
        <w:t xml:space="preserve"> — de </w:t>
      </w:r>
      <w:r>
        <w:rPr>
          <w:rFonts w:ascii="Calibri" w:cs="Calibri" w:eastAsia="Calibri" w:hAnsi="Calibri"/>
          <w:color w:val="2E7D32"/>
          <w:sz w:val="20"/>
          <w:szCs w:val="20"/>
        </w:rPr>
        <w:t xml:space="preserve">Vitoria</w:t>
      </w:r>
      <w:r>
        <w:rPr>
          <w:rFonts w:ascii="Calibri" w:cs="Calibri" w:eastAsia="Calibri" w:hAnsi="Calibri"/>
          <w:color w:val="1A1A1A"/>
          <w:sz w:val="20"/>
          <w:szCs w:val="20"/>
        </w:rPr>
        <w:t xml:space="preserve"> (1539) au « droit de visite » de </w:t>
      </w:r>
      <w:r>
        <w:rPr>
          <w:rFonts w:ascii="Calibri" w:cs="Calibri" w:eastAsia="Calibri" w:hAnsi="Calibri"/>
          <w:color w:val="2E7D32"/>
          <w:sz w:val="20"/>
          <w:szCs w:val="20"/>
        </w:rPr>
        <w:t xml:space="preserve">Kant</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Vers la paix perpétuelle</w:t>
      </w:r>
      <w:r>
        <w:rPr>
          <w:rFonts w:ascii="Calibri" w:cs="Calibri" w:eastAsia="Calibri" w:hAnsi="Calibri"/>
          <w:color w:val="1A1A1A"/>
          <w:sz w:val="20"/>
          <w:szCs w:val="20"/>
        </w:rPr>
        <w:t xml:space="preserve">, 1795) : le droit de circuler est pensé comme universel, mais s’arrête à la frontière de l’État souverain. Cette </w:t>
      </w:r>
      <w:r>
        <w:rPr>
          <w:rFonts w:ascii="Calibri" w:cs="Calibri" w:eastAsia="Calibri" w:hAnsi="Calibri"/>
          <w:b/>
          <w:bCs/>
          <w:color w:val="1A1A1A"/>
          <w:sz w:val="20"/>
          <w:szCs w:val="20"/>
        </w:rPr>
        <w:t xml:space="preserve">asymétrie</w:t>
      </w:r>
      <w:r>
        <w:rPr>
          <w:rFonts w:ascii="Calibri" w:cs="Calibri" w:eastAsia="Calibri" w:hAnsi="Calibri"/>
          <w:color w:val="1A1A1A"/>
          <w:sz w:val="20"/>
          <w:szCs w:val="20"/>
        </w:rPr>
        <w:t xml:space="preserve"> (droit de sortir, pas de droit d’entrer) structure tout le droit des étrangers (fiche 43).</w:t>
      </w:r>
    </w:p>
    <w:p>
      <w:pPr>
        <w:pStyle w:val="ListParagraph"/>
        <w:numPr>
          <w:ilvl w:val="0"/>
          <w:numId w:val="2"/>
        </w:numPr>
        <w:spacing w:after="70" w:line="264"/>
        <w:jc w:val="both"/>
      </w:pPr>
      <w:r>
        <w:rPr>
          <w:rFonts w:ascii="Calibri" w:cs="Calibri" w:eastAsia="Calibri" w:hAnsi="Calibri"/>
          <w:b/>
          <w:bCs/>
          <w:color w:val="1A1A1A"/>
          <w:sz w:val="20"/>
          <w:szCs w:val="20"/>
        </w:rPr>
        <w:t xml:space="preserve">Normalisation de l’exception</w:t>
      </w:r>
      <w:r>
        <w:rPr>
          <w:rFonts w:ascii="Calibri" w:cs="Calibri" w:eastAsia="Calibri" w:hAnsi="Calibri"/>
          <w:color w:val="1A1A1A"/>
          <w:sz w:val="20"/>
          <w:szCs w:val="20"/>
        </w:rPr>
        <w:t xml:space="preserve"> — les outils de l’état d’urgence de 2015 sont passés dans le droit commun (loi SILT, 2017) ; la doctrine dénonce une « contamination » du droit ordinaire par l’exception, que le Conseil constitutionnel tempère par réserves plutôt que par censures.</w:t>
      </w:r>
    </w:p>
    <w:p>
      <w:pPr>
        <w:pStyle w:val="ListParagraph"/>
        <w:numPr>
          <w:ilvl w:val="0"/>
          <w:numId w:val="2"/>
        </w:numPr>
        <w:spacing w:after="70" w:line="264"/>
        <w:jc w:val="both"/>
      </w:pPr>
      <w:r>
        <w:rPr>
          <w:rFonts w:ascii="Calibri" w:cs="Calibri" w:eastAsia="Calibri" w:hAnsi="Calibri"/>
          <w:b/>
          <w:bCs/>
          <w:color w:val="1A1A1A"/>
          <w:sz w:val="20"/>
          <w:szCs w:val="20"/>
        </w:rPr>
        <w:t xml:space="preserve">Des sociétés disciplinaires aux sociétés de contrôle</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Foucault</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Surveiller et punir</w:t>
      </w:r>
      <w:r>
        <w:rPr>
          <w:rFonts w:ascii="Calibri" w:cs="Calibri" w:eastAsia="Calibri" w:hAnsi="Calibri"/>
          <w:color w:val="1A1A1A"/>
          <w:sz w:val="20"/>
          <w:szCs w:val="20"/>
        </w:rPr>
        <w:t xml:space="preserve">, 1975) puis </w:t>
      </w:r>
      <w:r>
        <w:rPr>
          <w:rFonts w:ascii="Calibri" w:cs="Calibri" w:eastAsia="Calibri" w:hAnsi="Calibri"/>
          <w:color w:val="2E7D32"/>
          <w:sz w:val="20"/>
          <w:szCs w:val="20"/>
        </w:rPr>
        <w:t xml:space="preserve">Deleuze</w:t>
      </w:r>
      <w:r>
        <w:rPr>
          <w:rFonts w:ascii="Calibri" w:cs="Calibri" w:eastAsia="Calibri" w:hAnsi="Calibri"/>
          <w:color w:val="1A1A1A"/>
          <w:sz w:val="20"/>
          <w:szCs w:val="20"/>
        </w:rPr>
        <w:t xml:space="preserve"> (« Post-scriptum sur les sociétés de contrôle », 1990) : on ne contrôle plus en enfermant mais en suivant les flux. Reconnaissance faciale et contrôle d’identité « invisible » (note du </w:t>
      </w:r>
      <w:r>
        <w:rPr>
          <w:rFonts w:ascii="Calibri" w:cs="Calibri" w:eastAsia="Calibri" w:hAnsi="Calibri"/>
          <w:color w:val="2E7D32"/>
          <w:sz w:val="20"/>
          <w:szCs w:val="20"/>
        </w:rPr>
        <w:t xml:space="preserve">CREOGN</w:t>
      </w:r>
      <w:r>
        <w:rPr>
          <w:rFonts w:ascii="Calibri" w:cs="Calibri" w:eastAsia="Calibri" w:hAnsi="Calibri"/>
          <w:color w:val="1A1A1A"/>
          <w:sz w:val="20"/>
          <w:szCs w:val="20"/>
        </w:rPr>
        <w:t xml:space="preserve"> de 2019 citée par le fascicule) prolongent ce mouvement ; la décision </w:t>
      </w:r>
      <w:r>
        <w:rPr>
          <w:rFonts w:ascii="Calibri" w:cs="Calibri" w:eastAsia="Calibri" w:hAnsi="Calibri"/>
          <w:color w:val="E91E63"/>
          <w:sz w:val="20"/>
          <w:szCs w:val="20"/>
        </w:rPr>
        <w:t xml:space="preserve">93-323 DC</w:t>
      </w:r>
      <w:r>
        <w:rPr>
          <w:rFonts w:ascii="Calibri" w:cs="Calibri" w:eastAsia="Calibri" w:hAnsi="Calibri"/>
          <w:color w:val="1A1A1A"/>
          <w:sz w:val="20"/>
          <w:szCs w:val="20"/>
        </w:rPr>
        <w:t xml:space="preserve"> reste la digue.</w:t>
      </w:r>
    </w:p>
    <w:p>
      <w:pPr>
        <w:pStyle w:val="ListParagraph"/>
        <w:numPr>
          <w:ilvl w:val="0"/>
          <w:numId w:val="2"/>
        </w:numPr>
        <w:spacing w:after="70" w:line="264"/>
        <w:jc w:val="both"/>
      </w:pPr>
      <w:r>
        <w:rPr>
          <w:rFonts w:ascii="Calibri" w:cs="Calibri" w:eastAsia="Calibri" w:hAnsi="Calibri"/>
          <w:b/>
          <w:bCs/>
          <w:color w:val="1A1A1A"/>
          <w:sz w:val="20"/>
          <w:szCs w:val="20"/>
        </w:rPr>
        <w:t xml:space="preserve">Le contrôle au faciès, angle mort du droit</w:t>
      </w:r>
      <w:r>
        <w:rPr>
          <w:rFonts w:ascii="Calibri" w:cs="Calibri" w:eastAsia="Calibri" w:hAnsi="Calibri"/>
          <w:color w:val="1A1A1A"/>
          <w:sz w:val="20"/>
          <w:szCs w:val="20"/>
        </w:rPr>
        <w:t xml:space="preserve"> — le contentieux individuel peine à saisir une pratique systémique ; l’action de groupe de 2023 a échoué sur l’office du juge. Proposition récurrente : le </w:t>
      </w:r>
      <w:r>
        <w:rPr>
          <w:rFonts w:ascii="Calibri" w:cs="Calibri" w:eastAsia="Calibri" w:hAnsi="Calibri"/>
          <w:b/>
          <w:bCs/>
          <w:color w:val="1A1A1A"/>
          <w:sz w:val="20"/>
          <w:szCs w:val="20"/>
        </w:rPr>
        <w:t xml:space="preserve">récépissé de contrôle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7. Dispositif « Grand Oral »</w:t>
      </w:r>
    </w:p>
    <w:p>
      <w:pPr>
        <w:pStyle w:val="Heading3"/>
        <w:spacing w:after="90" w:before="200"/>
      </w:pPr>
      <w:r>
        <w:rPr>
          <w:rFonts w:ascii="Calibri" w:cs="Calibri" w:eastAsia="Calibri" w:hAnsi="Calibri"/>
          <w:b/>
          <w:bCs/>
          <w:i/>
          <w:iCs/>
          <w:color w:val="5A5A5A"/>
          <w:sz w:val="21"/>
          <w:szCs w:val="21"/>
        </w:rPr>
        <w:t xml:space="preserve">7.1.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Le confinement de 2020 était-il une privation de liberté ? »</w:t>
      </w:r>
      <w:r>
        <w:rPr>
          <w:rFonts w:ascii="Calibri" w:cs="Calibri" w:eastAsia="Calibri" w:hAnsi="Calibri"/>
          <w:color w:val="1A1A1A"/>
          <w:sz w:val="20"/>
          <w:szCs w:val="20"/>
        </w:rPr>
        <w:t xml:space="preserve"> — Non pour la mesure générale, qui comportait des dérogations (restriction, juge administratif) ; oui pour la quarantaine ou l’isolement avec interdiction totale de sortie, d’où l’intervention du juge judiciaire (</w:t>
      </w:r>
      <w:r>
        <w:rPr>
          <w:rFonts w:ascii="Calibri" w:cs="Calibri" w:eastAsia="Calibri" w:hAnsi="Calibri"/>
          <w:color w:val="E91E63"/>
          <w:sz w:val="20"/>
          <w:szCs w:val="20"/>
        </w:rPr>
        <w:t xml:space="preserve">2020-800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Un Français peut-il être empêché de revenir en France ? »</w:t>
      </w:r>
      <w:r>
        <w:rPr>
          <w:rFonts w:ascii="Calibri" w:cs="Calibri" w:eastAsia="Calibri" w:hAnsi="Calibri"/>
          <w:color w:val="1A1A1A"/>
          <w:sz w:val="20"/>
          <w:szCs w:val="20"/>
        </w:rPr>
        <w:t xml:space="preserve"> — Non : l’</w:t>
      </w:r>
      <w:r>
        <w:rPr>
          <w:rFonts w:ascii="Calibri" w:cs="Calibri" w:eastAsia="Calibri" w:hAnsi="Calibri"/>
          <w:color w:val="1E88E5"/>
          <w:sz w:val="20"/>
          <w:szCs w:val="20"/>
        </w:rPr>
        <w:t xml:space="preserve">art. 3 § 2 Prot. 4</w:t>
      </w:r>
      <w:r>
        <w:rPr>
          <w:rFonts w:ascii="Calibri" w:cs="Calibri" w:eastAsia="Calibri" w:hAnsi="Calibri"/>
          <w:color w:val="1A1A1A"/>
          <w:sz w:val="20"/>
          <w:szCs w:val="20"/>
        </w:rPr>
        <w:t xml:space="preserve"> interdit de priver un national du droit d’entrer sur son territoire ; mais il n’existe pas de droit général à être rapatrié de l’étranger (</w:t>
      </w:r>
      <w:r>
        <w:rPr>
          <w:rFonts w:ascii="Calibri" w:cs="Calibri" w:eastAsia="Calibri" w:hAnsi="Calibri"/>
          <w:color w:val="E91E63"/>
          <w:sz w:val="20"/>
          <w:szCs w:val="20"/>
        </w:rPr>
        <w:t xml:space="preserve">H.F. et autres c. France</w:t>
      </w:r>
      <w:r>
        <w:rPr>
          <w:rFonts w:ascii="Calibri" w:cs="Calibri" w:eastAsia="Calibri" w:hAnsi="Calibri"/>
          <w:color w:val="1A1A1A"/>
          <w:sz w:val="20"/>
          <w:szCs w:val="20"/>
        </w:rPr>
        <w:t xml:space="preserve">, 2022) — l’État doit seulement examiner les demandes sans arbitraire.</w:t>
      </w:r>
    </w:p>
    <w:p>
      <w:pPr>
        <w:pStyle w:val="ListParagraph"/>
        <w:numPr>
          <w:ilvl w:val="0"/>
          <w:numId w:val="2"/>
        </w:numPr>
        <w:spacing w:after="70" w:line="264"/>
        <w:jc w:val="both"/>
      </w:pPr>
      <w:r>
        <w:rPr>
          <w:rFonts w:ascii="Calibri" w:cs="Calibri" w:eastAsia="Calibri" w:hAnsi="Calibri"/>
          <w:b/>
          <w:bCs/>
          <w:color w:val="1A1A1A"/>
          <w:sz w:val="20"/>
          <w:szCs w:val="20"/>
        </w:rPr>
        <w:t xml:space="preserve">« Les contrôles d’identité sans motif sont-ils interdits ? »</w:t>
      </w:r>
      <w:r>
        <w:rPr>
          <w:rFonts w:ascii="Calibri" w:cs="Calibri" w:eastAsia="Calibri" w:hAnsi="Calibri"/>
          <w:color w:val="1A1A1A"/>
          <w:sz w:val="20"/>
          <w:szCs w:val="20"/>
        </w:rPr>
        <w:t xml:space="preserve"> — Non : le contrôle de police administrative peut être indépendant du comportement, mais pas généralisé ni discrétionnaire ; il doit être justifié par des circonstances particulières (</w:t>
      </w:r>
      <w:r>
        <w:rPr>
          <w:rFonts w:ascii="Calibri" w:cs="Calibri" w:eastAsia="Calibri" w:hAnsi="Calibri"/>
          <w:color w:val="E91E63"/>
          <w:sz w:val="20"/>
          <w:szCs w:val="20"/>
        </w:rPr>
        <w:t xml:space="preserve">93-323 DC</w:t>
      </w:r>
      <w:r>
        <w:rPr>
          <w:rFonts w:ascii="Calibri" w:cs="Calibri" w:eastAsia="Calibri" w:hAnsi="Calibri"/>
          <w:color w:val="1A1A1A"/>
          <w:sz w:val="20"/>
          <w:szCs w:val="20"/>
        </w:rPr>
        <w:t xml:space="preserve">) et ne peut reposer sur l’apparence (</w:t>
      </w:r>
      <w:r>
        <w:rPr>
          <w:rFonts w:ascii="Calibri" w:cs="Calibri" w:eastAsia="Calibri" w:hAnsi="Calibri"/>
          <w:color w:val="E91E63"/>
          <w:sz w:val="20"/>
          <w:szCs w:val="20"/>
        </w:rPr>
        <w:t xml:space="preserve">Seydi</w:t>
      </w:r>
      <w:r>
        <w:rPr>
          <w:rFonts w:ascii="Calibri" w:cs="Calibri" w:eastAsia="Calibri" w:hAnsi="Calibri"/>
          <w:color w:val="1A1A1A"/>
          <w:sz w:val="20"/>
          <w:szCs w:val="20"/>
        </w:rPr>
        <w:t xml:space="preserve">, 2025).</w:t>
      </w:r>
    </w:p>
    <w:p>
      <w:pPr>
        <w:pStyle w:val="Heading3"/>
        <w:spacing w:after="90" w:before="200"/>
      </w:pPr>
      <w:r>
        <w:rPr>
          <w:rFonts w:ascii="Calibri" w:cs="Calibri" w:eastAsia="Calibri" w:hAnsi="Calibri"/>
          <w:b/>
          <w:bCs/>
          <w:i/>
          <w:iCs/>
          <w:color w:val="5A5A5A"/>
          <w:sz w:val="21"/>
          <w:szCs w:val="21"/>
        </w:rPr>
        <w:t xml:space="preserve">7.2.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La liberté d’aller et venir — Liberté de circulation et ordre public — L’état d’urgence et les libertés — Les contrôles d’identité — Schengen, espace de liberté ? — Le droit de quitter son pays — Commentaire de l’</w:t>
      </w:r>
      <w:r>
        <w:rPr>
          <w:rFonts w:ascii="Calibri" w:cs="Calibri" w:eastAsia="Calibri" w:hAnsi="Calibri"/>
          <w:color w:val="1E88E5"/>
          <w:sz w:val="20"/>
          <w:szCs w:val="20"/>
        </w:rPr>
        <w:t xml:space="preserve">art. 2 du Protocole n° 4</w:t>
      </w:r>
      <w:r>
        <w:rPr>
          <w:rFonts w:ascii="Calibri" w:cs="Calibri" w:eastAsia="Calibri" w:hAnsi="Calibri"/>
          <w:color w:val="1A1A1A"/>
          <w:sz w:val="20"/>
          <w:szCs w:val="20"/>
        </w:rPr>
        <w:t xml:space="preserve"> (sujet « Pour s’entraîner » du fascicule) — Commentaire : </w:t>
      </w:r>
      <w:r>
        <w:rPr>
          <w:rFonts w:ascii="Calibri" w:cs="Calibri" w:eastAsia="Calibri" w:hAnsi="Calibri"/>
          <w:color w:val="E91E63"/>
          <w:sz w:val="20"/>
          <w:szCs w:val="20"/>
        </w:rPr>
        <w:t xml:space="preserve">2020-800 DC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7.3.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Quand le Protocole n° 4 a-t-il été adopté ?</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16 septembre 1963</w:t>
      </w:r>
      <w:r>
        <w:rPr>
          <w:rFonts w:ascii="Calibri" w:cs="Calibri" w:eastAsia="Calibri" w:hAnsi="Calibri"/>
          <w:color w:val="1A1A1A"/>
          <w:sz w:val="20"/>
          <w:szCs w:val="20"/>
        </w:rPr>
        <w:t xml:space="preserve"> ; la France l’a ratifié en 1974.</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est la durée maximale d’un périmètre de protection ?</w:t>
      </w:r>
      <w:r>
        <w:rPr>
          <w:rFonts w:ascii="Calibri" w:cs="Calibri" w:eastAsia="Calibri" w:hAnsi="Calibri"/>
          <w:color w:val="1A1A1A"/>
          <w:sz w:val="20"/>
          <w:szCs w:val="20"/>
        </w:rPr>
        <w:t xml:space="preserve"> — Un mois, renouvelable si les conditions demeurent (</w:t>
      </w:r>
      <w:r>
        <w:rPr>
          <w:rFonts w:ascii="Calibri" w:cs="Calibri" w:eastAsia="Calibri" w:hAnsi="Calibri"/>
          <w:color w:val="1E88E5"/>
          <w:sz w:val="20"/>
          <w:szCs w:val="20"/>
        </w:rPr>
        <w:t xml:space="preserve">art. L. 226-1 CSI</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Combien d’États compte l’espace Schengen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Vingt-neuf</w:t>
      </w:r>
      <w:r>
        <w:rPr>
          <w:rFonts w:ascii="Calibri" w:cs="Calibri" w:eastAsia="Calibri" w:hAnsi="Calibri"/>
          <w:color w:val="1A1A1A"/>
          <w:sz w:val="20"/>
          <w:szCs w:val="20"/>
        </w:rPr>
        <w:t xml:space="preserve"> depuis le 1er janvier 2025.</w:t>
      </w:r>
    </w:p>
    <w:p>
      <w:pPr>
        <w:pStyle w:val="ListParagraph"/>
        <w:numPr>
          <w:ilvl w:val="0"/>
          <w:numId w:val="2"/>
        </w:numPr>
        <w:spacing w:after="70" w:line="264"/>
        <w:jc w:val="both"/>
      </w:pPr>
      <w:r>
        <w:rPr>
          <w:rFonts w:ascii="Calibri" w:cs="Calibri" w:eastAsia="Calibri" w:hAnsi="Calibri"/>
          <w:b/>
          <w:bCs/>
          <w:color w:val="1A1A1A"/>
          <w:sz w:val="20"/>
          <w:szCs w:val="20"/>
        </w:rPr>
        <w:t xml:space="preserve">Q. Qui contrôle une interdiction de sortie du territoire ?</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juge administratif</w:t>
      </w:r>
      <w:r>
        <w:rPr>
          <w:rFonts w:ascii="Calibri" w:cs="Calibri" w:eastAsia="Calibri" w:hAnsi="Calibri"/>
          <w:color w:val="1A1A1A"/>
          <w:sz w:val="20"/>
          <w:szCs w:val="20"/>
        </w:rPr>
        <w:t xml:space="preserve"> : c’est une mesure de police administrative restrictive, non privative, de liberté.</w:t>
      </w:r>
    </w:p>
    <w:p>
      <w:pPr>
        <w:pStyle w:val="ListParagraph"/>
        <w:numPr>
          <w:ilvl w:val="0"/>
          <w:numId w:val="2"/>
        </w:numPr>
        <w:spacing w:after="70" w:line="264"/>
        <w:jc w:val="both"/>
      </w:pPr>
      <w:r>
        <w:rPr>
          <w:rFonts w:ascii="Calibri" w:cs="Calibri" w:eastAsia="Calibri" w:hAnsi="Calibri"/>
          <w:b/>
          <w:bCs/>
          <w:color w:val="1A1A1A"/>
          <w:sz w:val="20"/>
          <w:szCs w:val="20"/>
        </w:rPr>
        <w:t xml:space="preserve">Q. La liberté d’aller et venir protège-t-elle l’étranger en situation irrégulière ?</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2 Prot. 4</w:t>
      </w:r>
      <w:r>
        <w:rPr>
          <w:rFonts w:ascii="Calibri" w:cs="Calibri" w:eastAsia="Calibri" w:hAnsi="Calibri"/>
          <w:color w:val="1A1A1A"/>
          <w:sz w:val="20"/>
          <w:szCs w:val="20"/>
        </w:rPr>
        <w:t xml:space="preserve"> ne protège que la personne « régulièrement » sur le territoire ; mais le Conseil constitutionnel reconnaît la liberté d’aller et venir aux étrangers résidant en France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sous réserve des mesures de police propres au droit des étrangers.</w:t>
      </w:r>
    </w:p>
    <w:p>
      <w:pPr>
        <w:pStyle w:val="ListParagraph"/>
        <w:numPr>
          <w:ilvl w:val="0"/>
          <w:numId w:val="2"/>
        </w:numPr>
        <w:spacing w:after="70" w:line="264"/>
        <w:jc w:val="both"/>
      </w:pPr>
      <w:r>
        <w:rPr>
          <w:rFonts w:ascii="Calibri" w:cs="Calibri" w:eastAsia="Calibri" w:hAnsi="Calibri"/>
          <w:b/>
          <w:bCs/>
          <w:color w:val="1A1A1A"/>
          <w:sz w:val="20"/>
          <w:szCs w:val="20"/>
        </w:rPr>
        <w:t xml:space="preserve">Q. Qu’a jugé la Cour dans Garib c. Pays-Bas ?</w:t>
      </w:r>
      <w:r>
        <w:rPr>
          <w:rFonts w:ascii="Calibri" w:cs="Calibri" w:eastAsia="Calibri" w:hAnsi="Calibri"/>
          <w:color w:val="1A1A1A"/>
          <w:sz w:val="20"/>
          <w:szCs w:val="20"/>
        </w:rPr>
        <w:t xml:space="preserve"> — Qu’une condition de revenus pour s’installer dans certains quartiers défavorisés relève de l’</w:t>
      </w:r>
      <w:r>
        <w:rPr>
          <w:rFonts w:ascii="Calibri" w:cs="Calibri" w:eastAsia="Calibri" w:hAnsi="Calibri"/>
          <w:color w:val="1E88E5"/>
          <w:sz w:val="20"/>
          <w:szCs w:val="20"/>
        </w:rPr>
        <w:t xml:space="preserve">art. 2 § 4 Prot. 4</w:t>
      </w:r>
      <w:r>
        <w:rPr>
          <w:rFonts w:ascii="Calibri" w:cs="Calibri" w:eastAsia="Calibri" w:hAnsi="Calibri"/>
          <w:color w:val="1A1A1A"/>
          <w:sz w:val="20"/>
          <w:szCs w:val="20"/>
        </w:rPr>
        <w:t xml:space="preserve"> (zones déterminées) et ménage un juste équilibre (GC, 2017).</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41 — LA LIBERTÉ DE L’ENSEIGNEMENT</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Le 15 janvier 1850, </w:t>
      </w:r>
      <w:r>
        <w:rPr>
          <w:rFonts w:ascii="Calibri" w:cs="Calibri" w:eastAsia="Calibri" w:hAnsi="Calibri"/>
          <w:color w:val="2E7D32"/>
          <w:sz w:val="20"/>
          <w:szCs w:val="20"/>
        </w:rPr>
        <w:t xml:space="preserve">Victor Hugo</w:t>
      </w:r>
      <w:r>
        <w:rPr>
          <w:rFonts w:ascii="Calibri" w:cs="Calibri" w:eastAsia="Calibri" w:hAnsi="Calibri"/>
          <w:color w:val="1A1A1A"/>
          <w:sz w:val="20"/>
          <w:szCs w:val="20"/>
        </w:rPr>
        <w:t xml:space="preserve"> combat à la tribune la loi Falloux : « Je veux l’Église chez elle et l’État chez lui. » Un siècle plus tard, la querelle scolaire mobilise encore : un million de manifestants contre le projet Savary le 24 juin 1984, autant pour défendre l’école publique contre la loi Bayrou en janvier 1994. </w:t>
      </w:r>
      <w:r>
        <w:rPr>
          <w:rFonts w:ascii="Calibri" w:cs="Calibri" w:eastAsia="Calibri" w:hAnsi="Calibri"/>
          <w:b/>
          <w:bCs/>
          <w:color w:val="1A1A1A"/>
          <w:sz w:val="20"/>
          <w:szCs w:val="20"/>
        </w:rPr>
        <w:t xml:space="preserve">La liberté de l’enseignement est la seule liberté qui ait fait tomber un ministre et reculer deux gouvernements.</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le Conseil constitutionnel a trouvé cette liberté dans un article de </w:t>
      </w:r>
      <w:r>
        <w:rPr>
          <w:rFonts w:ascii="Calibri" w:cs="Calibri" w:eastAsia="Calibri" w:hAnsi="Calibri"/>
          <w:b/>
          <w:bCs/>
          <w:color w:val="1A1A1A"/>
          <w:sz w:val="20"/>
          <w:szCs w:val="20"/>
        </w:rPr>
        <w:t xml:space="preserve">loi de finances</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91 de la loi du 31 mars 1931</w:t>
      </w:r>
      <w:r>
        <w:rPr>
          <w:rFonts w:ascii="Calibri" w:cs="Calibri" w:eastAsia="Calibri" w:hAnsi="Calibri"/>
          <w:color w:val="1A1A1A"/>
          <w:sz w:val="20"/>
          <w:szCs w:val="20"/>
        </w:rPr>
        <w:t xml:space="preserve"> — pour en faire un </w:t>
      </w:r>
      <w:r>
        <w:rPr>
          <w:rFonts w:ascii="Calibri" w:cs="Calibri" w:eastAsia="Calibri" w:hAnsi="Calibri"/>
          <w:b/>
          <w:bCs/>
          <w:color w:val="1A1A1A"/>
          <w:sz w:val="20"/>
          <w:szCs w:val="20"/>
        </w:rPr>
        <w:t xml:space="preserve">PFRLR</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77-87 DC</w:t>
      </w:r>
      <w:r>
        <w:rPr>
          <w:rFonts w:ascii="Calibri" w:cs="Calibri" w:eastAsia="Calibri" w:hAnsi="Calibri"/>
          <w:color w:val="1A1A1A"/>
          <w:sz w:val="20"/>
          <w:szCs w:val="20"/>
        </w:rPr>
        <w:t xml:space="preserve">). Preuve que les principes fondamentaux se nichent parfois dans les textes les plus prosaïques.</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La liberté de l’enseignement est le droit de créer et de diriger des établissements d’enseignement, d’y enseigner selon ses convictions dans le respect de l’ordre public, et pour les parents de choisir le mode d’instruction de leurs enfants ; elle implique l’</w:t>
      </w:r>
      <w:r>
        <w:rPr>
          <w:rFonts w:ascii="Calibri" w:cs="Calibri" w:eastAsia="Calibri" w:hAnsi="Calibri"/>
          <w:b/>
          <w:bCs/>
          <w:color w:val="1A1A1A"/>
          <w:sz w:val="20"/>
          <w:szCs w:val="20"/>
        </w:rPr>
        <w:t xml:space="preserve">existence d’un enseignement privé</w:t>
      </w:r>
      <w:r>
        <w:rPr>
          <w:rFonts w:ascii="Calibri" w:cs="Calibri" w:eastAsia="Calibri" w:hAnsi="Calibri"/>
          <w:color w:val="1A1A1A"/>
          <w:sz w:val="20"/>
          <w:szCs w:val="20"/>
        </w:rPr>
        <w:t xml:space="preserve"> et autorise son </w:t>
      </w:r>
      <w:r>
        <w:rPr>
          <w:rFonts w:ascii="Calibri" w:cs="Calibri" w:eastAsia="Calibri" w:hAnsi="Calibri"/>
          <w:b/>
          <w:bCs/>
          <w:color w:val="1A1A1A"/>
          <w:sz w:val="20"/>
          <w:szCs w:val="20"/>
        </w:rPr>
        <w:t xml:space="preserve">financement public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Elle se distingue du </w:t>
      </w:r>
      <w:r>
        <w:rPr>
          <w:rFonts w:ascii="Calibri" w:cs="Calibri" w:eastAsia="Calibri" w:hAnsi="Calibri"/>
          <w:b/>
          <w:bCs/>
          <w:color w:val="1A1A1A"/>
          <w:sz w:val="20"/>
          <w:szCs w:val="20"/>
        </w:rPr>
        <w:t xml:space="preserve">droit à l’instruction</w:t>
      </w:r>
      <w:r>
        <w:rPr>
          <w:rFonts w:ascii="Calibri" w:cs="Calibri" w:eastAsia="Calibri" w:hAnsi="Calibri"/>
          <w:color w:val="1A1A1A"/>
          <w:sz w:val="20"/>
          <w:szCs w:val="20"/>
        </w:rPr>
        <w:t xml:space="preserve">, droit de l’enfant (</w:t>
      </w:r>
      <w:r>
        <w:rPr>
          <w:rFonts w:ascii="Calibri" w:cs="Calibri" w:eastAsia="Calibri" w:hAnsi="Calibri"/>
          <w:color w:val="1E88E5"/>
          <w:sz w:val="20"/>
          <w:szCs w:val="20"/>
        </w:rPr>
        <w:t xml:space="preserve">al. 13 Préambule 1946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 Prot. 1</w:t>
      </w:r>
      <w:r>
        <w:rPr>
          <w:rFonts w:ascii="Calibri" w:cs="Calibri" w:eastAsia="Calibri" w:hAnsi="Calibri"/>
          <w:color w:val="1A1A1A"/>
          <w:sz w:val="20"/>
          <w:szCs w:val="20"/>
        </w:rPr>
        <w:t xml:space="preserve">), et des </w:t>
      </w:r>
      <w:r>
        <w:rPr>
          <w:rFonts w:ascii="Calibri" w:cs="Calibri" w:eastAsia="Calibri" w:hAnsi="Calibri"/>
          <w:b/>
          <w:bCs/>
          <w:color w:val="1A1A1A"/>
          <w:sz w:val="20"/>
          <w:szCs w:val="20"/>
        </w:rPr>
        <w:t xml:space="preserve">libertés académiques</w:t>
      </w:r>
      <w:r>
        <w:rPr>
          <w:rFonts w:ascii="Calibri" w:cs="Calibri" w:eastAsia="Calibri" w:hAnsi="Calibri"/>
          <w:color w:val="1A1A1A"/>
          <w:sz w:val="20"/>
          <w:szCs w:val="20"/>
        </w:rPr>
        <w:t xml:space="preserve">, qui garantissent l’indépendance des enseignants-chercheurs (</w:t>
      </w:r>
      <w:r>
        <w:rPr>
          <w:rFonts w:ascii="Calibri" w:cs="Calibri" w:eastAsia="Calibri" w:hAnsi="Calibri"/>
          <w:color w:val="E91E63"/>
          <w:sz w:val="20"/>
          <w:szCs w:val="20"/>
        </w:rPr>
        <w:t xml:space="preserve">83-165 DC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91 de la loi de finances du 31 mars 1931</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Debré n° 59-1557 du 31 décembre 1959</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151-1, L. 442-1 et s. C. éduc.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 du Protocole n° 1 CEDH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14 CDFUE</w:t>
      </w:r>
      <w:r>
        <w:rPr>
          <w:rFonts w:ascii="Calibri" w:cs="Calibri" w:eastAsia="Calibri" w:hAnsi="Calibri"/>
          <w:color w:val="1A1A1A"/>
          <w:sz w:val="20"/>
          <w:szCs w:val="20"/>
        </w:rPr>
        <w:t xml:space="preserve"> (§ 3 : liberté de créer des établissements).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77-87 DC, 23 novembre 1977, Liberté de l’enseignement</w:t>
      </w:r>
      <w:r>
        <w:rPr>
          <w:rFonts w:ascii="Calibri" w:cs="Calibri" w:eastAsia="Calibri" w:hAnsi="Calibri"/>
          <w:color w:val="1A1A1A"/>
          <w:sz w:val="20"/>
          <w:szCs w:val="20"/>
        </w:rPr>
        <w:t xml:space="preserve"> : PFRLR ; le </w:t>
      </w:r>
      <w:r>
        <w:rPr>
          <w:rFonts w:ascii="Calibri" w:cs="Calibri" w:eastAsia="Calibri" w:hAnsi="Calibri"/>
          <w:b/>
          <w:bCs/>
          <w:color w:val="1A1A1A"/>
          <w:sz w:val="20"/>
          <w:szCs w:val="20"/>
        </w:rPr>
        <w:t xml:space="preserve">caractère propre</w:t>
      </w:r>
      <w:r>
        <w:rPr>
          <w:rFonts w:ascii="Calibri" w:cs="Calibri" w:eastAsia="Calibri" w:hAnsi="Calibri"/>
          <w:color w:val="1A1A1A"/>
          <w:sz w:val="20"/>
          <w:szCs w:val="20"/>
        </w:rPr>
        <w:t xml:space="preserve"> des établissements sous contrat et le devoir de réserve des maîtres sont compatibles avec la liberté de conscience.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93-329 DC, 13 janvier 1994, Loi Bayrou</w:t>
      </w:r>
      <w:r>
        <w:rPr>
          <w:rFonts w:ascii="Calibri" w:cs="Calibri" w:eastAsia="Calibri" w:hAnsi="Calibri"/>
          <w:color w:val="1A1A1A"/>
          <w:sz w:val="20"/>
          <w:szCs w:val="20"/>
        </w:rPr>
        <w:t xml:space="preserve"> : l’aide des collectivités à l’investissement des établissements privés ne peut être illimitée — elle doit respecter l’</w:t>
      </w:r>
      <w:r>
        <w:rPr>
          <w:rFonts w:ascii="Calibri" w:cs="Calibri" w:eastAsia="Calibri" w:hAnsi="Calibri"/>
          <w:b/>
          <w:bCs/>
          <w:color w:val="1A1A1A"/>
          <w:sz w:val="20"/>
          <w:szCs w:val="20"/>
        </w:rPr>
        <w:t xml:space="preserve">égalité</w:t>
      </w:r>
      <w:r>
        <w:rPr>
          <w:rFonts w:ascii="Calibri" w:cs="Calibri" w:eastAsia="Calibri" w:hAnsi="Calibri"/>
          <w:color w:val="1A1A1A"/>
          <w:sz w:val="20"/>
          <w:szCs w:val="20"/>
        </w:rPr>
        <w:t xml:space="preserve"> et ne pas placer les établissements privés dans une situation plus favorable que les publics.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83-165 DC, 20 janvier 1984, Loi Savary (enseignement supérieur)</w:t>
      </w:r>
      <w:r>
        <w:rPr>
          <w:rFonts w:ascii="Calibri" w:cs="Calibri" w:eastAsia="Calibri" w:hAnsi="Calibri"/>
          <w:color w:val="1A1A1A"/>
          <w:sz w:val="20"/>
          <w:szCs w:val="20"/>
        </w:rPr>
        <w:t xml:space="preserve"> : l’</w:t>
      </w:r>
      <w:r>
        <w:rPr>
          <w:rFonts w:ascii="Calibri" w:cs="Calibri" w:eastAsia="Calibri" w:hAnsi="Calibri"/>
          <w:b/>
          <w:bCs/>
          <w:color w:val="1A1A1A"/>
          <w:sz w:val="20"/>
          <w:szCs w:val="20"/>
        </w:rPr>
        <w:t xml:space="preserve">indépendance des professeurs d’université</w:t>
      </w:r>
      <w:r>
        <w:rPr>
          <w:rFonts w:ascii="Calibri" w:cs="Calibri" w:eastAsia="Calibri" w:hAnsi="Calibri"/>
          <w:color w:val="1A1A1A"/>
          <w:sz w:val="20"/>
          <w:szCs w:val="20"/>
        </w:rPr>
        <w:t xml:space="preserve"> est un PFRLR.</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7 décembre 1976, Kjeldsen, Busk Madsen et Pedersen c. Danemark</w:t>
      </w:r>
      <w:r>
        <w:rPr>
          <w:rFonts w:ascii="Calibri" w:cs="Calibri" w:eastAsia="Calibri" w:hAnsi="Calibri"/>
          <w:color w:val="1A1A1A"/>
          <w:sz w:val="20"/>
          <w:szCs w:val="20"/>
        </w:rPr>
        <w:t xml:space="preserve"> : l’État doit dispenser l’instruction de manière </w:t>
      </w:r>
      <w:r>
        <w:rPr>
          <w:rFonts w:ascii="Calibri" w:cs="Calibri" w:eastAsia="Calibri" w:hAnsi="Calibri"/>
          <w:b/>
          <w:bCs/>
          <w:color w:val="1A1A1A"/>
          <w:sz w:val="20"/>
          <w:szCs w:val="20"/>
        </w:rPr>
        <w:t xml:space="preserve">objective, critique et pluraliste</w:t>
      </w:r>
      <w:r>
        <w:rPr>
          <w:rFonts w:ascii="Calibri" w:cs="Calibri" w:eastAsia="Calibri" w:hAnsi="Calibri"/>
          <w:color w:val="1A1A1A"/>
          <w:sz w:val="20"/>
          <w:szCs w:val="20"/>
        </w:rPr>
        <w:t xml:space="preserve"> et s’interdire tout endoctrinement.</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liberté de l’enseignement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liberté constitutionnellement garantie</w:t>
      </w:r>
      <w:r>
        <w:rPr>
          <w:rFonts w:ascii="Calibri" w:cs="Calibri" w:eastAsia="Calibri" w:hAnsi="Calibri"/>
          <w:color w:val="1A1A1A"/>
          <w:sz w:val="20"/>
          <w:szCs w:val="20"/>
        </w:rPr>
        <w:t xml:space="preserve"> (A. Un PFRLR : </w:t>
      </w:r>
      <w:r>
        <w:rPr>
          <w:rFonts w:ascii="Calibri" w:cs="Calibri" w:eastAsia="Calibri" w:hAnsi="Calibri"/>
          <w:color w:val="1E88E5"/>
          <w:sz w:val="20"/>
          <w:szCs w:val="20"/>
        </w:rPr>
        <w:t xml:space="preserve">loi de 1931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77-87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99-414 DC</w:t>
      </w:r>
      <w:r>
        <w:rPr>
          <w:rFonts w:ascii="Calibri" w:cs="Calibri" w:eastAsia="Calibri" w:hAnsi="Calibri"/>
          <w:color w:val="1A1A1A"/>
          <w:sz w:val="20"/>
          <w:szCs w:val="20"/>
        </w:rPr>
        <w:t xml:space="preserve"> pour le supérieur ; B. L’existence et le financement de l’enseignement privé : </w:t>
      </w:r>
      <w:r>
        <w:rPr>
          <w:rFonts w:ascii="Calibri" w:cs="Calibri" w:eastAsia="Calibri" w:hAnsi="Calibri"/>
          <w:color w:val="1E88E5"/>
          <w:sz w:val="20"/>
          <w:szCs w:val="20"/>
        </w:rPr>
        <w:t xml:space="preserve">loi Debré</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84-185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2009-591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Une liberté conciliée</w:t>
      </w:r>
      <w:r>
        <w:rPr>
          <w:rFonts w:ascii="Calibri" w:cs="Calibri" w:eastAsia="Calibri" w:hAnsi="Calibri"/>
          <w:color w:val="1A1A1A"/>
          <w:sz w:val="20"/>
          <w:szCs w:val="20"/>
        </w:rPr>
        <w:t xml:space="preserve"> (A. Avec l’égalité et la laïcité : </w:t>
      </w:r>
      <w:r>
        <w:rPr>
          <w:rFonts w:ascii="Calibri" w:cs="Calibri" w:eastAsia="Calibri" w:hAnsi="Calibri"/>
          <w:color w:val="E91E63"/>
          <w:sz w:val="20"/>
          <w:szCs w:val="20"/>
        </w:rPr>
        <w:t xml:space="preserve">93-329 DC</w:t>
      </w:r>
      <w:r>
        <w:rPr>
          <w:rFonts w:ascii="Calibri" w:cs="Calibri" w:eastAsia="Calibri" w:hAnsi="Calibri"/>
          <w:color w:val="1A1A1A"/>
          <w:sz w:val="20"/>
          <w:szCs w:val="20"/>
        </w:rPr>
        <w:t xml:space="preserve">, contrat d’association ; B. Avec le droit à l’instruction et l’ordre public : hors contrat, </w:t>
      </w:r>
      <w:r>
        <w:rPr>
          <w:rFonts w:ascii="Calibri" w:cs="Calibri" w:eastAsia="Calibri" w:hAnsi="Calibri"/>
          <w:color w:val="1E88E5"/>
          <w:sz w:val="20"/>
          <w:szCs w:val="20"/>
        </w:rPr>
        <w:t xml:space="preserve">loi Gatel 2018</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24 août 2021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21 novembre 2025, L’Arrosoir</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2025-1145 QPC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L’école privée et la République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La reconnaissance du pluralisme scolaire</w:t>
      </w:r>
      <w:r>
        <w:rPr>
          <w:rFonts w:ascii="Calibri" w:cs="Calibri" w:eastAsia="Calibri" w:hAnsi="Calibri"/>
          <w:color w:val="1A1A1A"/>
          <w:sz w:val="20"/>
          <w:szCs w:val="20"/>
        </w:rPr>
        <w:t xml:space="preserve"> (A. Le caractère propre ; B. Le choix des parents : </w:t>
      </w:r>
      <w:r>
        <w:rPr>
          <w:rFonts w:ascii="Calibri" w:cs="Calibri" w:eastAsia="Calibri" w:hAnsi="Calibri"/>
          <w:color w:val="1E88E5"/>
          <w:sz w:val="20"/>
          <w:szCs w:val="20"/>
        </w:rPr>
        <w:t xml:space="preserve">art. 2 Prot. 1</w:t>
      </w:r>
      <w:r>
        <w:rPr>
          <w:rFonts w:ascii="Calibri" w:cs="Calibri" w:eastAsia="Calibri" w:hAnsi="Calibri"/>
          <w:color w:val="1A1A1A"/>
          <w:sz w:val="20"/>
          <w:szCs w:val="20"/>
        </w:rPr>
        <w:t xml:space="preserve">, convictions religieuses et philosophiques) / </w:t>
      </w:r>
      <w:r>
        <w:rPr>
          <w:rFonts w:ascii="Calibri" w:cs="Calibri" w:eastAsia="Calibri" w:hAnsi="Calibri"/>
          <w:b/>
          <w:bCs/>
          <w:color w:val="1A1A1A"/>
          <w:sz w:val="20"/>
          <w:szCs w:val="20"/>
        </w:rPr>
        <w:t xml:space="preserve">II. L’association au service public</w:t>
      </w:r>
      <w:r>
        <w:rPr>
          <w:rFonts w:ascii="Calibri" w:cs="Calibri" w:eastAsia="Calibri" w:hAnsi="Calibri"/>
          <w:color w:val="1A1A1A"/>
          <w:sz w:val="20"/>
          <w:szCs w:val="20"/>
        </w:rPr>
        <w:t xml:space="preserve"> (A. Contrepartie du financement : programmes, liberté de conscience des élèves, </w:t>
      </w:r>
      <w:r>
        <w:rPr>
          <w:rFonts w:ascii="Calibri" w:cs="Calibri" w:eastAsia="Calibri" w:hAnsi="Calibri"/>
          <w:color w:val="1E88E5"/>
          <w:sz w:val="20"/>
          <w:szCs w:val="20"/>
        </w:rPr>
        <w:t xml:space="preserve">art. L. 442-1</w:t>
      </w:r>
      <w:r>
        <w:rPr>
          <w:rFonts w:ascii="Calibri" w:cs="Calibri" w:eastAsia="Calibri" w:hAnsi="Calibri"/>
          <w:color w:val="1A1A1A"/>
          <w:sz w:val="20"/>
          <w:szCs w:val="20"/>
        </w:rPr>
        <w:t xml:space="preserve"> ; B. Contrôle accru : hors contrat, instruction en famille (</w:t>
      </w:r>
      <w:r>
        <w:rPr>
          <w:rFonts w:ascii="Calibri" w:cs="Calibri" w:eastAsia="Calibri" w:hAnsi="Calibri"/>
          <w:color w:val="E91E63"/>
          <w:sz w:val="20"/>
          <w:szCs w:val="20"/>
        </w:rPr>
        <w:t xml:space="preserve">2021-823 DC</w:t>
      </w:r>
      <w:r>
        <w:rPr>
          <w:rFonts w:ascii="Calibri" w:cs="Calibri" w:eastAsia="Calibri" w:hAnsi="Calibri"/>
          <w:color w:val="1A1A1A"/>
          <w:sz w:val="20"/>
          <w:szCs w:val="20"/>
        </w:rPr>
        <w:t xml:space="preserve">), droit local </w:t>
      </w:r>
      <w:r>
        <w:rPr>
          <w:rFonts w:ascii="Calibri" w:cs="Calibri" w:eastAsia="Calibri" w:hAnsi="Calibri"/>
          <w:color w:val="E91E63"/>
          <w:sz w:val="20"/>
          <w:szCs w:val="20"/>
        </w:rPr>
        <w:t xml:space="preserve">2025-1145 QPC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Liberté de l’enseignement ≠ droit à l’instruction</w:t>
      </w:r>
      <w:r>
        <w:rPr>
          <w:rFonts w:ascii="Calibri" w:cs="Calibri" w:eastAsia="Calibri" w:hAnsi="Calibri"/>
          <w:color w:val="1A1A1A"/>
          <w:sz w:val="20"/>
          <w:szCs w:val="20"/>
        </w:rPr>
        <w:t xml:space="preserve"> : le premier est une liberté des établissements, des maîtres et des parents (PFRLR) ; le second, un droit de l’enfant (</w:t>
      </w:r>
      <w:r>
        <w:rPr>
          <w:rFonts w:ascii="Calibri" w:cs="Calibri" w:eastAsia="Calibri" w:hAnsi="Calibri"/>
          <w:color w:val="1E88E5"/>
          <w:sz w:val="20"/>
          <w:szCs w:val="20"/>
        </w:rPr>
        <w:t xml:space="preserve">al. 13</w:t>
      </w:r>
      <w:r>
        <w:rPr>
          <w:rFonts w:ascii="Calibri" w:cs="Calibri" w:eastAsia="Calibri" w:hAnsi="Calibri"/>
          <w:color w:val="1A1A1A"/>
          <w:sz w:val="20"/>
          <w:szCs w:val="20"/>
        </w:rPr>
        <w:t xml:space="preserve">) — c’est lui qui fonde l’obligation scolaire de 3 à 16 ans et le contrôle de l’État sur le hors contrat.</w:t>
      </w:r>
    </w:p>
    <w:p>
      <w:pPr>
        <w:pStyle w:val="ListParagraph"/>
        <w:numPr>
          <w:ilvl w:val="0"/>
          <w:numId w:val="2"/>
        </w:numPr>
        <w:spacing w:after="70" w:line="264"/>
        <w:jc w:val="both"/>
      </w:pPr>
      <w:r>
        <w:rPr>
          <w:rFonts w:ascii="Calibri" w:cs="Calibri" w:eastAsia="Calibri" w:hAnsi="Calibri"/>
          <w:b/>
          <w:bCs/>
          <w:color w:val="1A1A1A"/>
          <w:sz w:val="20"/>
          <w:szCs w:val="20"/>
        </w:rPr>
        <w:t xml:space="preserve">L’instruction en famille n’est pas une composante de la liberté de l’enseignement</w:t>
      </w:r>
      <w:r>
        <w:rPr>
          <w:rFonts w:ascii="Calibri" w:cs="Calibri" w:eastAsia="Calibri" w:hAnsi="Calibri"/>
          <w:color w:val="1A1A1A"/>
          <w:sz w:val="20"/>
          <w:szCs w:val="20"/>
        </w:rPr>
        <w:t xml:space="preserve"> : le Conseil constitutionnel l’a jugé en validant le passage à un régime d’</w:t>
      </w:r>
      <w:r>
        <w:rPr>
          <w:rFonts w:ascii="Calibri" w:cs="Calibri" w:eastAsia="Calibri" w:hAnsi="Calibri"/>
          <w:b/>
          <w:bCs/>
          <w:color w:val="1A1A1A"/>
          <w:sz w:val="20"/>
          <w:szCs w:val="20"/>
        </w:rPr>
        <w:t xml:space="preserve">autorisation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2021-823 DC, 13 août 2021</w:t>
      </w:r>
      <w:r>
        <w:rPr>
          <w:rFonts w:ascii="Calibri" w:cs="Calibri" w:eastAsia="Calibri" w:hAnsi="Calibri"/>
          <w:color w:val="1A1A1A"/>
          <w:sz w:val="20"/>
          <w:szCs w:val="20"/>
        </w:rPr>
        <w:t xml:space="preserve">) ; la </w:t>
      </w:r>
      <w:r>
        <w:rPr>
          <w:rFonts w:ascii="Calibri" w:cs="Calibri" w:eastAsia="Calibri" w:hAnsi="Calibri"/>
          <w:color w:val="1E88E5"/>
          <w:sz w:val="20"/>
          <w:szCs w:val="20"/>
        </w:rPr>
        <w:t xml:space="preserve">loi du 28 mars 1882</w:t>
      </w:r>
      <w:r>
        <w:rPr>
          <w:rFonts w:ascii="Calibri" w:cs="Calibri" w:eastAsia="Calibri" w:hAnsi="Calibri"/>
          <w:color w:val="1A1A1A"/>
          <w:sz w:val="20"/>
          <w:szCs w:val="20"/>
        </w:rPr>
        <w:t xml:space="preserve"> n’en fait qu’une modalité de l’obligation d’instruction.</w:t>
      </w:r>
    </w:p>
    <w:p>
      <w:pPr>
        <w:pStyle w:val="ListParagraph"/>
        <w:numPr>
          <w:ilvl w:val="0"/>
          <w:numId w:val="2"/>
        </w:numPr>
        <w:spacing w:after="70" w:line="264"/>
        <w:jc w:val="both"/>
      </w:pPr>
      <w:r>
        <w:rPr>
          <w:rFonts w:ascii="Calibri" w:cs="Calibri" w:eastAsia="Calibri" w:hAnsi="Calibri"/>
          <w:b/>
          <w:bCs/>
          <w:color w:val="1A1A1A"/>
          <w:sz w:val="20"/>
          <w:szCs w:val="20"/>
        </w:rPr>
        <w:t xml:space="preserve">L’instruction religieuse n’est pas interdite dans le public</w:t>
      </w:r>
      <w:r>
        <w:rPr>
          <w:rFonts w:ascii="Calibri" w:cs="Calibri" w:eastAsia="Calibri" w:hAnsi="Calibri"/>
          <w:color w:val="1A1A1A"/>
          <w:sz w:val="20"/>
          <w:szCs w:val="20"/>
        </w:rPr>
        <w:t xml:space="preserve"> : la loi du 28 mars 1882 ménage une journée (aujourd’hui le mercredi ou un autre jour) pour permettre aux parents de faire donner l’instruction religieuse hors de l’école (</w:t>
      </w:r>
      <w:r>
        <w:rPr>
          <w:rFonts w:ascii="Calibri" w:cs="Calibri" w:eastAsia="Calibri" w:hAnsi="Calibri"/>
          <w:color w:val="1E88E5"/>
          <w:sz w:val="20"/>
          <w:szCs w:val="20"/>
        </w:rPr>
        <w:t xml:space="preserve">art. L. 141-3 C. éduc.</w:t>
      </w:r>
      <w:r>
        <w:rPr>
          <w:rFonts w:ascii="Calibri" w:cs="Calibri" w:eastAsia="Calibri" w:hAnsi="Calibri"/>
          <w:color w:val="1A1A1A"/>
          <w:sz w:val="20"/>
          <w:szCs w:val="20"/>
        </w:rPr>
        <w:t xml:space="preserve">) ; les aumôneries sont possibles dans le secondaire.</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Sources historiques</w:t>
      </w:r>
      <w:r>
        <w:rPr>
          <w:rFonts w:ascii="Calibri" w:cs="Calibri" w:eastAsia="Calibri" w:hAnsi="Calibri"/>
          <w:color w:val="1A1A1A"/>
          <w:sz w:val="20"/>
          <w:szCs w:val="20"/>
        </w:rPr>
        <w:t xml:space="preserve"> : décret Bouquier (1793) ; </w:t>
      </w:r>
      <w:r>
        <w:rPr>
          <w:rFonts w:ascii="Calibri" w:cs="Calibri" w:eastAsia="Calibri" w:hAnsi="Calibri"/>
          <w:color w:val="1E88E5"/>
          <w:sz w:val="20"/>
          <w:szCs w:val="20"/>
        </w:rPr>
        <w:t xml:space="preserve">loi Guizot du 28 juin 1833</w:t>
      </w:r>
      <w:r>
        <w:rPr>
          <w:rFonts w:ascii="Calibri" w:cs="Calibri" w:eastAsia="Calibri" w:hAnsi="Calibri"/>
          <w:color w:val="1A1A1A"/>
          <w:sz w:val="20"/>
          <w:szCs w:val="20"/>
        </w:rPr>
        <w:t xml:space="preserve"> (primaire) ; </w:t>
      </w:r>
      <w:r>
        <w:rPr>
          <w:rFonts w:ascii="Calibri" w:cs="Calibri" w:eastAsia="Calibri" w:hAnsi="Calibri"/>
          <w:color w:val="1E88E5"/>
          <w:sz w:val="20"/>
          <w:szCs w:val="20"/>
        </w:rPr>
        <w:t xml:space="preserve">art. 9 Constitution de 1848</w:t>
      </w:r>
      <w:r>
        <w:rPr>
          <w:rFonts w:ascii="Calibri" w:cs="Calibri" w:eastAsia="Calibri" w:hAnsi="Calibri"/>
          <w:color w:val="1A1A1A"/>
          <w:sz w:val="20"/>
          <w:szCs w:val="20"/>
        </w:rPr>
        <w:t xml:space="preserve"> (« L’enseignement est libre ») ; </w:t>
      </w:r>
      <w:r>
        <w:rPr>
          <w:rFonts w:ascii="Calibri" w:cs="Calibri" w:eastAsia="Calibri" w:hAnsi="Calibri"/>
          <w:color w:val="1E88E5"/>
          <w:sz w:val="20"/>
          <w:szCs w:val="20"/>
        </w:rPr>
        <w:t xml:space="preserve">loi Falloux du 15 mars 1850</w:t>
      </w:r>
      <w:r>
        <w:rPr>
          <w:rFonts w:ascii="Calibri" w:cs="Calibri" w:eastAsia="Calibri" w:hAnsi="Calibri"/>
          <w:color w:val="1A1A1A"/>
          <w:sz w:val="20"/>
          <w:szCs w:val="20"/>
        </w:rPr>
        <w:t xml:space="preserve"> (secondaire) ; </w:t>
      </w:r>
      <w:r>
        <w:rPr>
          <w:rFonts w:ascii="Calibri" w:cs="Calibri" w:eastAsia="Calibri" w:hAnsi="Calibri"/>
          <w:color w:val="1E88E5"/>
          <w:sz w:val="20"/>
          <w:szCs w:val="20"/>
        </w:rPr>
        <w:t xml:space="preserve">loi du 12 juillet 1875</w:t>
      </w:r>
      <w:r>
        <w:rPr>
          <w:rFonts w:ascii="Calibri" w:cs="Calibri" w:eastAsia="Calibri" w:hAnsi="Calibri"/>
          <w:color w:val="1A1A1A"/>
          <w:sz w:val="20"/>
          <w:szCs w:val="20"/>
        </w:rPr>
        <w:t xml:space="preserve"> (supérieur) ; </w:t>
      </w:r>
      <w:r>
        <w:rPr>
          <w:rFonts w:ascii="Calibri" w:cs="Calibri" w:eastAsia="Calibri" w:hAnsi="Calibri"/>
          <w:color w:val="1E88E5"/>
          <w:sz w:val="20"/>
          <w:szCs w:val="20"/>
        </w:rPr>
        <w:t xml:space="preserve">loi du 18 mars 1880</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lois Ferry de 1881-1882</w:t>
      </w:r>
      <w:r>
        <w:rPr>
          <w:rFonts w:ascii="Calibri" w:cs="Calibri" w:eastAsia="Calibri" w:hAnsi="Calibri"/>
          <w:color w:val="1A1A1A"/>
          <w:sz w:val="20"/>
          <w:szCs w:val="20"/>
        </w:rPr>
        <w:t xml:space="preserve"> (gratuité, obligation, laïcité) ; </w:t>
      </w:r>
      <w:r>
        <w:rPr>
          <w:rFonts w:ascii="Calibri" w:cs="Calibri" w:eastAsia="Calibri" w:hAnsi="Calibri"/>
          <w:color w:val="1E88E5"/>
          <w:sz w:val="20"/>
          <w:szCs w:val="20"/>
        </w:rPr>
        <w:t xml:space="preserve">loi Goblet du 30 octobre 1886</w:t>
      </w:r>
      <w:r>
        <w:rPr>
          <w:rFonts w:ascii="Calibri" w:cs="Calibri" w:eastAsia="Calibri" w:hAnsi="Calibri"/>
          <w:color w:val="1A1A1A"/>
          <w:sz w:val="20"/>
          <w:szCs w:val="20"/>
        </w:rPr>
        <w:t xml:space="preserve"> (laïcité du personnel ; établissements publics ou privés) ; </w:t>
      </w:r>
      <w:r>
        <w:rPr>
          <w:rFonts w:ascii="Calibri" w:cs="Calibri" w:eastAsia="Calibri" w:hAnsi="Calibri"/>
          <w:color w:val="1E88E5"/>
          <w:sz w:val="20"/>
          <w:szCs w:val="20"/>
        </w:rPr>
        <w:t xml:space="preserve">loi de finances du 31 mars 1931, art. 91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PFRLR (</w:t>
      </w:r>
      <w:r>
        <w:rPr>
          <w:rFonts w:ascii="Calibri" w:cs="Calibri" w:eastAsia="Calibri" w:hAnsi="Calibri"/>
          <w:color w:val="E91E63"/>
          <w:sz w:val="20"/>
          <w:szCs w:val="20"/>
        </w:rPr>
        <w:t xml:space="preserve">77-87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84-184 DC, 29 décembre 1984</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99-414 DC, 8 juillet 1999</w:t>
      </w:r>
      <w:r>
        <w:rPr>
          <w:rFonts w:ascii="Calibri" w:cs="Calibri" w:eastAsia="Calibri" w:hAnsi="Calibri"/>
          <w:color w:val="1A1A1A"/>
          <w:sz w:val="20"/>
          <w:szCs w:val="20"/>
        </w:rPr>
        <w:t xml:space="preserve">, supérieur et enseignement agricole) ; </w:t>
      </w:r>
      <w:r>
        <w:rPr>
          <w:rFonts w:ascii="Calibri" w:cs="Calibri" w:eastAsia="Calibri" w:hAnsi="Calibri"/>
          <w:color w:val="1E88E5"/>
          <w:sz w:val="20"/>
          <w:szCs w:val="20"/>
        </w:rPr>
        <w:t xml:space="preserve">al. 13 Préambule 1946</w:t>
      </w:r>
      <w:r>
        <w:rPr>
          <w:rFonts w:ascii="Calibri" w:cs="Calibri" w:eastAsia="Calibri" w:hAnsi="Calibri"/>
          <w:color w:val="1A1A1A"/>
          <w:sz w:val="20"/>
          <w:szCs w:val="20"/>
        </w:rPr>
        <w:t xml:space="preserve"> — égal accès à l’instruction ; « l’organisation de l’enseignement public gratuit et laïque à tous les degrés est un devoir de l’État ».</w:t>
      </w:r>
    </w:p>
    <w:p>
      <w:pPr>
        <w:pStyle w:val="ListParagraph"/>
        <w:numPr>
          <w:ilvl w:val="0"/>
          <w:numId w:val="2"/>
        </w:numPr>
        <w:spacing w:after="70" w:line="264"/>
        <w:jc w:val="both"/>
      </w:pP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 Prot. 1</w:t>
      </w:r>
      <w:r>
        <w:rPr>
          <w:rFonts w:ascii="Calibri" w:cs="Calibri" w:eastAsia="Calibri" w:hAnsi="Calibri"/>
          <w:color w:val="1A1A1A"/>
          <w:sz w:val="20"/>
          <w:szCs w:val="20"/>
        </w:rPr>
        <w:t xml:space="preserve"> — « Nul ne peut se voir refuser le droit à l’instruction. L’État […] respectera le droit des parents d’assurer cette éducation et cet enseignement conformément à leurs convictions religieuses et philosophiques » ; </w:t>
      </w:r>
      <w:r>
        <w:rPr>
          <w:rFonts w:ascii="Calibri" w:cs="Calibri" w:eastAsia="Calibri" w:hAnsi="Calibri"/>
          <w:color w:val="1E88E5"/>
          <w:sz w:val="20"/>
          <w:szCs w:val="20"/>
        </w:rPr>
        <w:t xml:space="preserve">art. 14 CDFUE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13 CDFUE</w:t>
      </w:r>
      <w:r>
        <w:rPr>
          <w:rFonts w:ascii="Calibri" w:cs="Calibri" w:eastAsia="Calibri" w:hAnsi="Calibri"/>
          <w:color w:val="1A1A1A"/>
          <w:sz w:val="20"/>
          <w:szCs w:val="20"/>
        </w:rPr>
        <w:t xml:space="preserve"> (liberté académique).</w:t>
      </w:r>
    </w:p>
    <w:p>
      <w:pPr>
        <w:pStyle w:val="ListParagraph"/>
        <w:numPr>
          <w:ilvl w:val="0"/>
          <w:numId w:val="2"/>
        </w:numPr>
        <w:spacing w:after="70" w:line="264"/>
        <w:jc w:val="both"/>
      </w:pPr>
      <w:r>
        <w:rPr>
          <w:rFonts w:ascii="Calibri" w:cs="Calibri" w:eastAsia="Calibri" w:hAnsi="Calibri"/>
          <w:b/>
          <w:bCs/>
          <w:color w:val="1A1A1A"/>
          <w:sz w:val="20"/>
          <w:szCs w:val="20"/>
        </w:rPr>
        <w:t xml:space="preserve">Code de l’éducation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151-1</w:t>
      </w:r>
      <w:r>
        <w:rPr>
          <w:rFonts w:ascii="Calibri" w:cs="Calibri" w:eastAsia="Calibri" w:hAnsi="Calibri"/>
          <w:color w:val="1A1A1A"/>
          <w:sz w:val="20"/>
          <w:szCs w:val="20"/>
        </w:rPr>
        <w:t xml:space="preserve"> (l’État proclame et respecte la liberté de l’enseignement) ; </w:t>
      </w:r>
      <w:r>
        <w:rPr>
          <w:rFonts w:ascii="Calibri" w:cs="Calibri" w:eastAsia="Calibri" w:hAnsi="Calibri"/>
          <w:color w:val="1E88E5"/>
          <w:sz w:val="20"/>
          <w:szCs w:val="20"/>
        </w:rPr>
        <w:t xml:space="preserve">art. L. 441-1 et s.</w:t>
      </w:r>
      <w:r>
        <w:rPr>
          <w:rFonts w:ascii="Calibri" w:cs="Calibri" w:eastAsia="Calibri" w:hAnsi="Calibri"/>
          <w:color w:val="1A1A1A"/>
          <w:sz w:val="20"/>
          <w:szCs w:val="20"/>
        </w:rPr>
        <w:t xml:space="preserve"> (ouverture des établissements privés, régime de déclaration avec opposition, </w:t>
      </w:r>
      <w:r>
        <w:rPr>
          <w:rFonts w:ascii="Calibri" w:cs="Calibri" w:eastAsia="Calibri" w:hAnsi="Calibri"/>
          <w:color w:val="1E88E5"/>
          <w:sz w:val="20"/>
          <w:szCs w:val="20"/>
        </w:rPr>
        <w:t xml:space="preserve">loi Gatel du 13 avril 2018</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442-1</w:t>
      </w:r>
      <w:r>
        <w:rPr>
          <w:rFonts w:ascii="Calibri" w:cs="Calibri" w:eastAsia="Calibri" w:hAnsi="Calibri"/>
          <w:color w:val="1A1A1A"/>
          <w:sz w:val="20"/>
          <w:szCs w:val="20"/>
        </w:rPr>
        <w:t xml:space="preserve"> (contrat d’association : programmes de l’enseignement public, respect total de la liberté de conscience, caractère propre) ; </w:t>
      </w:r>
      <w:r>
        <w:rPr>
          <w:rFonts w:ascii="Calibri" w:cs="Calibri" w:eastAsia="Calibri" w:hAnsi="Calibri"/>
          <w:color w:val="1E88E5"/>
          <w:sz w:val="20"/>
          <w:szCs w:val="20"/>
        </w:rPr>
        <w:t xml:space="preserve">art. L. 442-2 et L. 442-3</w:t>
      </w:r>
      <w:r>
        <w:rPr>
          <w:rFonts w:ascii="Calibri" w:cs="Calibri" w:eastAsia="Calibri" w:hAnsi="Calibri"/>
          <w:color w:val="1A1A1A"/>
          <w:sz w:val="20"/>
          <w:szCs w:val="20"/>
        </w:rPr>
        <w:t xml:space="preserve"> (hors contrat : liberté pédagogique, contrôle du socle commun) ; </w:t>
      </w:r>
      <w:r>
        <w:rPr>
          <w:rFonts w:ascii="Calibri" w:cs="Calibri" w:eastAsia="Calibri" w:hAnsi="Calibri"/>
          <w:color w:val="1E88E5"/>
          <w:sz w:val="20"/>
          <w:szCs w:val="20"/>
        </w:rPr>
        <w:t xml:space="preserve">art. L. 912-1-1</w:t>
      </w:r>
      <w:r>
        <w:rPr>
          <w:rFonts w:ascii="Calibri" w:cs="Calibri" w:eastAsia="Calibri" w:hAnsi="Calibri"/>
          <w:color w:val="1A1A1A"/>
          <w:sz w:val="20"/>
          <w:szCs w:val="20"/>
        </w:rPr>
        <w:t xml:space="preserve"> (liberté pédagogique des enseignants) ; </w:t>
      </w:r>
      <w:r>
        <w:rPr>
          <w:rFonts w:ascii="Calibri" w:cs="Calibri" w:eastAsia="Calibri" w:hAnsi="Calibri"/>
          <w:color w:val="1E88E5"/>
          <w:sz w:val="20"/>
          <w:szCs w:val="20"/>
        </w:rPr>
        <w:t xml:space="preserve">art. L. 952-2</w:t>
      </w:r>
      <w:r>
        <w:rPr>
          <w:rFonts w:ascii="Calibri" w:cs="Calibri" w:eastAsia="Calibri" w:hAnsi="Calibri"/>
          <w:color w:val="1A1A1A"/>
          <w:sz w:val="20"/>
          <w:szCs w:val="20"/>
        </w:rPr>
        <w:t xml:space="preserve"> (indépendance des enseignants-chercheurs).</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la liberté de l’enseignement n’est pas une liberté « contre » l’État mais une liberté </w:t>
      </w:r>
      <w:r>
        <w:rPr>
          <w:rFonts w:ascii="Calibri" w:cs="Calibri" w:eastAsia="Calibri" w:hAnsi="Calibri"/>
          <w:b/>
          <w:bCs/>
          <w:color w:val="1A1A1A"/>
          <w:sz w:val="20"/>
          <w:szCs w:val="20"/>
        </w:rPr>
        <w:t xml:space="preserve">négociée avec lui</w:t>
      </w:r>
      <w:r>
        <w:rPr>
          <w:rFonts w:ascii="Calibri" w:cs="Calibri" w:eastAsia="Calibri" w:hAnsi="Calibri"/>
          <w:color w:val="1A1A1A"/>
          <w:sz w:val="20"/>
          <w:szCs w:val="20"/>
        </w:rPr>
        <w:t xml:space="preserve"> — la loi Debré a échangé le financement contre l’association au service public. Toute réforme touchant à cet équilibre ravive la querelle scolaire.</w:t>
      </w:r>
    </w:p>
    <w:p>
      <w:pPr>
        <w:pStyle w:val="Heading2"/>
        <w:spacing w:after="120" w:before="280"/>
      </w:pPr>
      <w:r>
        <w:rPr>
          <w:rFonts w:ascii="Calibri" w:cs="Calibri" w:eastAsia="Calibri" w:hAnsi="Calibri"/>
          <w:b/>
          <w:bCs/>
          <w:color w:val="1A1A1A"/>
          <w:sz w:val="24"/>
          <w:szCs w:val="24"/>
        </w:rPr>
        <w:t xml:space="preserve">2. La liberté de créer et de faire fonctionner des établissements privés</w:t>
      </w:r>
    </w:p>
    <w:p>
      <w:pPr>
        <w:pStyle w:val="Heading3"/>
        <w:spacing w:after="90" w:before="200"/>
      </w:pPr>
      <w:r>
        <w:rPr>
          <w:rFonts w:ascii="Calibri" w:cs="Calibri" w:eastAsia="Calibri" w:hAnsi="Calibri"/>
          <w:b/>
          <w:bCs/>
          <w:i/>
          <w:iCs/>
          <w:color w:val="5A5A5A"/>
          <w:sz w:val="21"/>
          <w:szCs w:val="21"/>
        </w:rPr>
        <w:t xml:space="preserve">2.1. Ouverture et contrôle</w:t>
      </w:r>
    </w:p>
    <w:p>
      <w:pPr>
        <w:pStyle w:val="ListParagraph"/>
        <w:numPr>
          <w:ilvl w:val="0"/>
          <w:numId w:val="2"/>
        </w:numPr>
        <w:spacing w:after="70" w:line="264"/>
        <w:jc w:val="both"/>
      </w:pPr>
      <w:r>
        <w:rPr>
          <w:rFonts w:ascii="Calibri" w:cs="Calibri" w:eastAsia="Calibri" w:hAnsi="Calibri"/>
          <w:b/>
          <w:bCs/>
          <w:color w:val="1A1A1A"/>
          <w:sz w:val="20"/>
          <w:szCs w:val="20"/>
        </w:rPr>
        <w:t xml:space="preserve">Ouverture</w:t>
      </w:r>
      <w:r>
        <w:rPr>
          <w:rFonts w:ascii="Calibri" w:cs="Calibri" w:eastAsia="Calibri" w:hAnsi="Calibri"/>
          <w:color w:val="1A1A1A"/>
          <w:sz w:val="20"/>
          <w:szCs w:val="20"/>
        </w:rPr>
        <w:t xml:space="preserve"> : déclaration auprès des autorités (maire, recteur, préfet, procureur), opposition possible dans l’intérêt de l’ordre public, de la protection de l’enfance et de la jeunesse, ou pour défaut de titres (</w:t>
      </w:r>
      <w:r>
        <w:rPr>
          <w:rFonts w:ascii="Calibri" w:cs="Calibri" w:eastAsia="Calibri" w:hAnsi="Calibri"/>
          <w:color w:val="1E88E5"/>
          <w:sz w:val="20"/>
          <w:szCs w:val="20"/>
        </w:rPr>
        <w:t xml:space="preserve">loi Gatel n° 2018-266 du 13 avril 2018</w:t>
      </w:r>
      <w:r>
        <w:rPr>
          <w:rFonts w:ascii="Calibri" w:cs="Calibri" w:eastAsia="Calibri" w:hAnsi="Calibri"/>
          <w:color w:val="1A1A1A"/>
          <w:sz w:val="20"/>
          <w:szCs w:val="20"/>
        </w:rPr>
        <w:t xml:space="preserve">) ; un régime d’autorisation par ordonnance avait été censuré faute de motifs de refus précisément définis par l’habilitation (</w:t>
      </w:r>
      <w:r>
        <w:rPr>
          <w:rFonts w:ascii="Calibri" w:cs="Calibri" w:eastAsia="Calibri" w:hAnsi="Calibri"/>
          <w:color w:val="E91E63"/>
          <w:sz w:val="20"/>
          <w:szCs w:val="20"/>
        </w:rPr>
        <w:t xml:space="preserve">2016-745 DC, 26 janvier 2017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 et fermeture</w:t>
      </w:r>
      <w:r>
        <w:rPr>
          <w:rFonts w:ascii="Calibri" w:cs="Calibri" w:eastAsia="Calibri" w:hAnsi="Calibri"/>
          <w:color w:val="1A1A1A"/>
          <w:sz w:val="20"/>
          <w:szCs w:val="20"/>
        </w:rPr>
        <w:t xml:space="preserve"> : la </w:t>
      </w:r>
      <w:r>
        <w:rPr>
          <w:rFonts w:ascii="Calibri" w:cs="Calibri" w:eastAsia="Calibri" w:hAnsi="Calibri"/>
          <w:color w:val="1E88E5"/>
          <w:sz w:val="20"/>
          <w:szCs w:val="20"/>
        </w:rPr>
        <w:t xml:space="preserve">loi du 24 août 2021</w:t>
      </w:r>
      <w:r>
        <w:rPr>
          <w:rFonts w:ascii="Calibri" w:cs="Calibri" w:eastAsia="Calibri" w:hAnsi="Calibri"/>
          <w:color w:val="1A1A1A"/>
          <w:sz w:val="20"/>
          <w:szCs w:val="20"/>
        </w:rPr>
        <w:t xml:space="preserve"> crée une fermeture administrative après mise en demeure restée sans effet (</w:t>
      </w:r>
      <w:r>
        <w:rPr>
          <w:rFonts w:ascii="Calibri" w:cs="Calibri" w:eastAsia="Calibri" w:hAnsi="Calibri"/>
          <w:color w:val="E91E63"/>
          <w:sz w:val="20"/>
          <w:szCs w:val="20"/>
        </w:rPr>
        <w:t xml:space="preserve">CE, 20 mars 2023, École en couleurs, n° 456984</w:t>
      </w:r>
      <w:r>
        <w:rPr>
          <w:rFonts w:ascii="Calibri" w:cs="Calibri" w:eastAsia="Calibri" w:hAnsi="Calibri"/>
          <w:color w:val="1A1A1A"/>
          <w:sz w:val="20"/>
          <w:szCs w:val="20"/>
        </w:rPr>
        <w:t xml:space="preserve">) ; l’État ne contrôle pas la pédagogie mais l’acquisition progressive du </w:t>
      </w:r>
      <w:r>
        <w:rPr>
          <w:rFonts w:ascii="Calibri" w:cs="Calibri" w:eastAsia="Calibri" w:hAnsi="Calibri"/>
          <w:b/>
          <w:bCs/>
          <w:color w:val="1A1A1A"/>
          <w:sz w:val="20"/>
          <w:szCs w:val="20"/>
        </w:rPr>
        <w:t xml:space="preserve">socle commun</w:t>
      </w:r>
      <w:r>
        <w:rPr>
          <w:rFonts w:ascii="Calibri" w:cs="Calibri" w:eastAsia="Calibri" w:hAnsi="Calibri"/>
          <w:color w:val="1A1A1A"/>
          <w:sz w:val="20"/>
          <w:szCs w:val="20"/>
        </w:rPr>
        <w:t xml:space="preserve"> : fermeture d’une école Steiner-Waldorf validée (</w:t>
      </w:r>
      <w:r>
        <w:rPr>
          <w:rFonts w:ascii="Calibri" w:cs="Calibri" w:eastAsia="Calibri" w:hAnsi="Calibri"/>
          <w:color w:val="E91E63"/>
          <w:sz w:val="20"/>
          <w:szCs w:val="20"/>
        </w:rPr>
        <w:t xml:space="preserve">CE, ord., 21 novembre 2025, L’Arrosoir, n° 509481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Actualité</w:t>
      </w:r>
      <w:r>
        <w:rPr>
          <w:rFonts w:ascii="Calibri" w:cs="Calibri" w:eastAsia="Calibri" w:hAnsi="Calibri"/>
          <w:color w:val="1A1A1A"/>
          <w:sz w:val="20"/>
          <w:szCs w:val="20"/>
        </w:rPr>
        <w:t xml:space="preserve"> : censure du régime de droit local alsacien-mosellan (1873) soumettant le recrutement des enseignants du privé à une autorisation fondée sur l’âge et les « bonne vie et mœurs » — critères imprécis, motifs non limitatifs (</w:t>
      </w:r>
      <w:r>
        <w:rPr>
          <w:rFonts w:ascii="Calibri" w:cs="Calibri" w:eastAsia="Calibri" w:hAnsi="Calibri"/>
          <w:color w:val="E91E63"/>
          <w:sz w:val="20"/>
          <w:szCs w:val="20"/>
        </w:rPr>
        <w:t xml:space="preserve">2025-1145 QPC, 2 juillet 2025, École Mathias Grünewald</w:t>
      </w:r>
      <w:r>
        <w:rPr>
          <w:rFonts w:ascii="Calibri" w:cs="Calibri" w:eastAsia="Calibri" w:hAnsi="Calibri"/>
          <w:color w:val="1A1A1A"/>
          <w:sz w:val="20"/>
          <w:szCs w:val="20"/>
        </w:rPr>
        <w:t xml:space="preserve">), abrogation effective au </w:t>
      </w:r>
      <w:r>
        <w:rPr>
          <w:rFonts w:ascii="Calibri" w:cs="Calibri" w:eastAsia="Calibri" w:hAnsi="Calibri"/>
          <w:b/>
          <w:bCs/>
          <w:color w:val="1A1A1A"/>
          <w:sz w:val="20"/>
          <w:szCs w:val="20"/>
        </w:rPr>
        <w:t xml:space="preserve">1er juillet 2026</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Enseignement supérieur privé</w:t>
      </w:r>
      <w:r>
        <w:rPr>
          <w:rFonts w:ascii="Calibri" w:cs="Calibri" w:eastAsia="Calibri" w:hAnsi="Calibri"/>
          <w:color w:val="1A1A1A"/>
          <w:sz w:val="20"/>
          <w:szCs w:val="20"/>
        </w:rPr>
        <w:t xml:space="preserve"> : projet de loi de régulation adopté par le Sénat le 1er juin 2026 (régime d’ouverture commun, reconnaissance par l’État, droit de résiliation de l’étudiant) — état d’avancement à vérifier.</w:t>
      </w:r>
    </w:p>
    <w:p>
      <w:pPr>
        <w:pStyle w:val="Heading3"/>
        <w:spacing w:after="90" w:before="200"/>
      </w:pPr>
      <w:r>
        <w:rPr>
          <w:rFonts w:ascii="Calibri" w:cs="Calibri" w:eastAsia="Calibri" w:hAnsi="Calibri"/>
          <w:b/>
          <w:bCs/>
          <w:i/>
          <w:iCs/>
          <w:color w:val="5A5A5A"/>
          <w:sz w:val="21"/>
          <w:szCs w:val="21"/>
        </w:rPr>
        <w:t xml:space="preserve">2.2. Le financement public</w:t>
      </w:r>
    </w:p>
    <w:p>
      <w:pPr>
        <w:pStyle w:val="ListParagraph"/>
        <w:numPr>
          <w:ilvl w:val="0"/>
          <w:numId w:val="2"/>
        </w:numPr>
        <w:spacing w:after="70" w:line="264"/>
        <w:jc w:val="both"/>
      </w:pPr>
      <w:r>
        <w:rPr>
          <w:rFonts w:ascii="Calibri" w:cs="Calibri" w:eastAsia="Calibri" w:hAnsi="Calibri"/>
          <w:b/>
          <w:bCs/>
          <w:color w:val="1A1A1A"/>
          <w:sz w:val="20"/>
          <w:szCs w:val="20"/>
        </w:rPr>
        <w:t xml:space="preserve">Hors contrat</w:t>
      </w:r>
      <w:r>
        <w:rPr>
          <w:rFonts w:ascii="Calibri" w:cs="Calibri" w:eastAsia="Calibri" w:hAnsi="Calibri"/>
          <w:color w:val="1A1A1A"/>
          <w:sz w:val="20"/>
          <w:szCs w:val="20"/>
        </w:rPr>
        <w:t xml:space="preserve"> : aide limitée (plafond du dixième des dépenses annuelles pour le secondaire, </w:t>
      </w:r>
      <w:r>
        <w:rPr>
          <w:rFonts w:ascii="Calibri" w:cs="Calibri" w:eastAsia="Calibri" w:hAnsi="Calibri"/>
          <w:color w:val="1E88E5"/>
          <w:sz w:val="20"/>
          <w:szCs w:val="20"/>
        </w:rPr>
        <w:t xml:space="preserve">loi Falloux</w:t>
      </w:r>
      <w:r>
        <w:rPr>
          <w:rFonts w:ascii="Calibri" w:cs="Calibri" w:eastAsia="Calibri" w:hAnsi="Calibri"/>
          <w:color w:val="1A1A1A"/>
          <w:sz w:val="20"/>
          <w:szCs w:val="20"/>
        </w:rPr>
        <w:t xml:space="preserve"> ; pas d’aide au primaire, </w:t>
      </w:r>
      <w:r>
        <w:rPr>
          <w:rFonts w:ascii="Calibri" w:cs="Calibri" w:eastAsia="Calibri" w:hAnsi="Calibri"/>
          <w:color w:val="1E88E5"/>
          <w:sz w:val="20"/>
          <w:szCs w:val="20"/>
        </w:rPr>
        <w:t xml:space="preserve">loi Goblet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Contrats de la loi Debré</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contrat simple</w:t>
      </w:r>
      <w:r>
        <w:rPr>
          <w:rFonts w:ascii="Calibri" w:cs="Calibri" w:eastAsia="Calibri" w:hAnsi="Calibri"/>
          <w:color w:val="1A1A1A"/>
          <w:sz w:val="20"/>
          <w:szCs w:val="20"/>
        </w:rPr>
        <w:t xml:space="preserve"> (premier degré ; maîtres agréés rémunérés par l’État) ; </w:t>
      </w:r>
      <w:r>
        <w:rPr>
          <w:rFonts w:ascii="Calibri" w:cs="Calibri" w:eastAsia="Calibri" w:hAnsi="Calibri"/>
          <w:b/>
          <w:bCs/>
          <w:color w:val="1A1A1A"/>
          <w:sz w:val="20"/>
          <w:szCs w:val="20"/>
        </w:rPr>
        <w:t xml:space="preserve">contrat d’association</w:t>
      </w:r>
      <w:r>
        <w:rPr>
          <w:rFonts w:ascii="Calibri" w:cs="Calibri" w:eastAsia="Calibri" w:hAnsi="Calibri"/>
          <w:color w:val="1A1A1A"/>
          <w:sz w:val="20"/>
          <w:szCs w:val="20"/>
        </w:rPr>
        <w:t xml:space="preserve"> (premier et second degrés ; besoin scolaire reconnu ; maîtres agents publics ; forfait d’externat des collectivités ; respect des programmes). Renforcement par la </w:t>
      </w:r>
      <w:r>
        <w:rPr>
          <w:rFonts w:ascii="Calibri" w:cs="Calibri" w:eastAsia="Calibri" w:hAnsi="Calibri"/>
          <w:color w:val="1E88E5"/>
          <w:sz w:val="20"/>
          <w:szCs w:val="20"/>
        </w:rPr>
        <w:t xml:space="preserve">loi Guermeur du 25 novembre 1977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77-87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 constitutionnel</w:t>
      </w:r>
      <w:r>
        <w:rPr>
          <w:rFonts w:ascii="Calibri" w:cs="Calibri" w:eastAsia="Calibri" w:hAnsi="Calibri"/>
          <w:color w:val="1A1A1A"/>
          <w:sz w:val="20"/>
          <w:szCs w:val="20"/>
        </w:rPr>
        <w:t xml:space="preserve"> : la laïcité ne fait pas obstacle à la participation des collectivités au financement des établissements sous contrat, sur des critères objectifs et rationnels (</w:t>
      </w:r>
      <w:r>
        <w:rPr>
          <w:rFonts w:ascii="Calibri" w:cs="Calibri" w:eastAsia="Calibri" w:hAnsi="Calibri"/>
          <w:color w:val="E91E63"/>
          <w:sz w:val="20"/>
          <w:szCs w:val="20"/>
        </w:rPr>
        <w:t xml:space="preserve">2009-591 DC, 22 octobre 2009, loi Carle</w:t>
      </w:r>
      <w:r>
        <w:rPr>
          <w:rFonts w:ascii="Calibri" w:cs="Calibri" w:eastAsia="Calibri" w:hAnsi="Calibri"/>
          <w:color w:val="1A1A1A"/>
          <w:sz w:val="20"/>
          <w:szCs w:val="20"/>
        </w:rPr>
        <w:t xml:space="preserve">) ; mais aide illimitée à l’investissement censurée (</w:t>
      </w:r>
      <w:r>
        <w:rPr>
          <w:rFonts w:ascii="Calibri" w:cs="Calibri" w:eastAsia="Calibri" w:hAnsi="Calibri"/>
          <w:color w:val="E91E63"/>
          <w:sz w:val="20"/>
          <w:szCs w:val="20"/>
        </w:rPr>
        <w:t xml:space="preserve">93-329 DC</w:t>
      </w:r>
      <w:r>
        <w:rPr>
          <w:rFonts w:ascii="Calibri" w:cs="Calibri" w:eastAsia="Calibri" w:hAnsi="Calibri"/>
          <w:color w:val="1A1A1A"/>
          <w:sz w:val="20"/>
          <w:szCs w:val="20"/>
        </w:rPr>
        <w:t xml:space="preserve">, loi Bayrou).</w:t>
      </w:r>
    </w:p>
    <w:p>
      <w:pPr>
        <w:pStyle w:val="ListParagraph"/>
        <w:numPr>
          <w:ilvl w:val="0"/>
          <w:numId w:val="2"/>
        </w:numPr>
        <w:spacing w:after="70" w:line="264"/>
        <w:jc w:val="both"/>
      </w:pPr>
      <w:r>
        <w:rPr>
          <w:rFonts w:ascii="Calibri" w:cs="Calibri" w:eastAsia="Calibri" w:hAnsi="Calibri"/>
          <w:b/>
          <w:bCs/>
          <w:color w:val="1A1A1A"/>
          <w:sz w:val="20"/>
          <w:szCs w:val="20"/>
        </w:rPr>
        <w:t xml:space="preserve">Caractère propre</w:t>
      </w:r>
      <w:r>
        <w:rPr>
          <w:rFonts w:ascii="Calibri" w:cs="Calibri" w:eastAsia="Calibri" w:hAnsi="Calibri"/>
          <w:color w:val="1A1A1A"/>
          <w:sz w:val="20"/>
          <w:szCs w:val="20"/>
        </w:rPr>
        <w:t xml:space="preserve"> : « mise en œuvre du principe de la liberté d’enseignement » (</w:t>
      </w:r>
      <w:r>
        <w:rPr>
          <w:rFonts w:ascii="Calibri" w:cs="Calibri" w:eastAsia="Calibri" w:hAnsi="Calibri"/>
          <w:color w:val="E91E63"/>
          <w:sz w:val="20"/>
          <w:szCs w:val="20"/>
        </w:rPr>
        <w:t xml:space="preserve">84-185 DC, 18 janvier 1985</w:t>
      </w:r>
      <w:r>
        <w:rPr>
          <w:rFonts w:ascii="Calibri" w:cs="Calibri" w:eastAsia="Calibri" w:hAnsi="Calibri"/>
          <w:color w:val="1A1A1A"/>
          <w:sz w:val="20"/>
          <w:szCs w:val="20"/>
        </w:rPr>
        <w:t xml:space="preserve">) ; ne s’oppose pas à l’éducation à la sexualité prévue par les programmes (</w:t>
      </w:r>
      <w:r>
        <w:rPr>
          <w:rFonts w:ascii="Calibri" w:cs="Calibri" w:eastAsia="Calibri" w:hAnsi="Calibri"/>
          <w:color w:val="E91E63"/>
          <w:sz w:val="20"/>
          <w:szCs w:val="20"/>
        </w:rPr>
        <w:t xml:space="preserve">CE, 18 octobre 2000, Association Promouvoir, n° 213303</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La liberté des enseignants</w:t>
      </w:r>
    </w:p>
    <w:p>
      <w:pPr>
        <w:pStyle w:val="ListParagraph"/>
        <w:numPr>
          <w:ilvl w:val="0"/>
          <w:numId w:val="2"/>
        </w:numPr>
        <w:spacing w:after="70" w:line="264"/>
        <w:jc w:val="both"/>
      </w:pPr>
      <w:r>
        <w:rPr>
          <w:rFonts w:ascii="Calibri" w:cs="Calibri" w:eastAsia="Calibri" w:hAnsi="Calibri"/>
          <w:b/>
          <w:bCs/>
          <w:color w:val="1A1A1A"/>
          <w:sz w:val="20"/>
          <w:szCs w:val="20"/>
        </w:rPr>
        <w:t xml:space="preserve">Enseignement public</w:t>
      </w:r>
      <w:r>
        <w:rPr>
          <w:rFonts w:ascii="Calibri" w:cs="Calibri" w:eastAsia="Calibri" w:hAnsi="Calibri"/>
          <w:color w:val="1A1A1A"/>
          <w:sz w:val="20"/>
          <w:szCs w:val="20"/>
        </w:rPr>
        <w:t xml:space="preserve"> : liberté pédagogique dans le respect des programmes (</w:t>
      </w:r>
      <w:r>
        <w:rPr>
          <w:rFonts w:ascii="Calibri" w:cs="Calibri" w:eastAsia="Calibri" w:hAnsi="Calibri"/>
          <w:color w:val="1E88E5"/>
          <w:sz w:val="20"/>
          <w:szCs w:val="20"/>
        </w:rPr>
        <w:t xml:space="preserve">art. L. 912-1-1 C. éduc.</w:t>
      </w:r>
      <w:r>
        <w:rPr>
          <w:rFonts w:ascii="Calibri" w:cs="Calibri" w:eastAsia="Calibri" w:hAnsi="Calibri"/>
          <w:color w:val="1A1A1A"/>
          <w:sz w:val="20"/>
          <w:szCs w:val="20"/>
        </w:rPr>
        <w:t xml:space="preserve">) ; neutralité stricte (</w:t>
      </w:r>
      <w:r>
        <w:rPr>
          <w:rFonts w:ascii="Calibri" w:cs="Calibri" w:eastAsia="Calibri" w:hAnsi="Calibri"/>
          <w:color w:val="E91E63"/>
          <w:sz w:val="20"/>
          <w:szCs w:val="20"/>
        </w:rPr>
        <w:t xml:space="preserve">CE, avis, 3 mai 2000, Marteaux</w:t>
      </w:r>
      <w:r>
        <w:rPr>
          <w:rFonts w:ascii="Calibri" w:cs="Calibri" w:eastAsia="Calibri" w:hAnsi="Calibri"/>
          <w:color w:val="1A1A1A"/>
          <w:sz w:val="20"/>
          <w:szCs w:val="20"/>
        </w:rPr>
        <w:t xml:space="preserve">, fiche 36) ; interdiction de toute propagande ; responsabilité du maître pour des propos attentatoires aux convictions (</w:t>
      </w:r>
      <w:r>
        <w:rPr>
          <w:rFonts w:ascii="Calibri" w:cs="Calibri" w:eastAsia="Calibri" w:hAnsi="Calibri"/>
          <w:color w:val="E91E63"/>
          <w:sz w:val="20"/>
          <w:szCs w:val="20"/>
        </w:rPr>
        <w:t xml:space="preserve">T. confl., 2 juin 1908, Girodet c. Morizot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Enseignement privé sous contrat</w:t>
      </w:r>
      <w:r>
        <w:rPr>
          <w:rFonts w:ascii="Calibri" w:cs="Calibri" w:eastAsia="Calibri" w:hAnsi="Calibri"/>
          <w:color w:val="1A1A1A"/>
          <w:sz w:val="20"/>
          <w:szCs w:val="20"/>
        </w:rPr>
        <w:t xml:space="preserve"> : devoir de réserve respectant le caractère propre, sans atteinte à la liberté de conscience des maîtres (</w:t>
      </w:r>
      <w:r>
        <w:rPr>
          <w:rFonts w:ascii="Calibri" w:cs="Calibri" w:eastAsia="Calibri" w:hAnsi="Calibri"/>
          <w:color w:val="E91E63"/>
          <w:sz w:val="20"/>
          <w:szCs w:val="20"/>
        </w:rPr>
        <w:t xml:space="preserve">77-87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84-185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Enseignement supérieur</w:t>
      </w:r>
      <w:r>
        <w:rPr>
          <w:rFonts w:ascii="Calibri" w:cs="Calibri" w:eastAsia="Calibri" w:hAnsi="Calibri"/>
          <w:color w:val="1A1A1A"/>
          <w:sz w:val="20"/>
          <w:szCs w:val="20"/>
        </w:rPr>
        <w:t xml:space="preserve"> : indépendance des professeurs (PFRLR, </w:t>
      </w:r>
      <w:r>
        <w:rPr>
          <w:rFonts w:ascii="Calibri" w:cs="Calibri" w:eastAsia="Calibri" w:hAnsi="Calibri"/>
          <w:color w:val="E91E63"/>
          <w:sz w:val="20"/>
          <w:szCs w:val="20"/>
        </w:rPr>
        <w:t xml:space="preserve">83-165 DC</w:t>
      </w:r>
      <w:r>
        <w:rPr>
          <w:rFonts w:ascii="Calibri" w:cs="Calibri" w:eastAsia="Calibri" w:hAnsi="Calibri"/>
          <w:color w:val="1A1A1A"/>
          <w:sz w:val="20"/>
          <w:szCs w:val="20"/>
        </w:rPr>
        <w:t xml:space="preserve">) étendue aux enseignants-chercheurs (</w:t>
      </w:r>
      <w:r>
        <w:rPr>
          <w:rFonts w:ascii="Calibri" w:cs="Calibri" w:eastAsia="Calibri" w:hAnsi="Calibri"/>
          <w:color w:val="E91E63"/>
          <w:sz w:val="20"/>
          <w:szCs w:val="20"/>
        </w:rPr>
        <w:t xml:space="preserve">2010-20/21 QPC, 6 août 2010</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952-2</w:t>
      </w:r>
      <w:r>
        <w:rPr>
          <w:rFonts w:ascii="Calibri" w:cs="Calibri" w:eastAsia="Calibri" w:hAnsi="Calibri"/>
          <w:color w:val="1A1A1A"/>
          <w:sz w:val="20"/>
          <w:szCs w:val="20"/>
        </w:rPr>
        <w:t xml:space="preserve"> (pleine indépendance et entière liberté d’expression, sous réserve de tolérance et d’objectivité) ; liberté académique protégée par l’</w:t>
      </w:r>
      <w:r>
        <w:rPr>
          <w:rFonts w:ascii="Calibri" w:cs="Calibri" w:eastAsia="Calibri" w:hAnsi="Calibri"/>
          <w:color w:val="1E88E5"/>
          <w:sz w:val="20"/>
          <w:szCs w:val="20"/>
        </w:rPr>
        <w:t xml:space="preserve">art. 10 CEDH</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27 mai 2014, Mustafa Erdoğan et autres c. Turquie</w:t>
      </w:r>
      <w:r>
        <w:rPr>
          <w:rFonts w:ascii="Calibri" w:cs="Calibri" w:eastAsia="Calibri" w:hAnsi="Calibri"/>
          <w:color w:val="1A1A1A"/>
          <w:sz w:val="20"/>
          <w:szCs w:val="20"/>
        </w:rPr>
        <w:t xml:space="preserve">) et l’</w:t>
      </w:r>
      <w:r>
        <w:rPr>
          <w:rFonts w:ascii="Calibri" w:cs="Calibri" w:eastAsia="Calibri" w:hAnsi="Calibri"/>
          <w:color w:val="1E88E5"/>
          <w:sz w:val="20"/>
          <w:szCs w:val="20"/>
        </w:rPr>
        <w:t xml:space="preserve">art. 13 CDFUE</w:t>
      </w:r>
      <w:r>
        <w:rPr>
          <w:rFonts w:ascii="Calibri" w:cs="Calibri" w:eastAsia="Calibri" w:hAnsi="Calibri"/>
          <w:color w:val="1A1A1A"/>
          <w:sz w:val="20"/>
          <w:szCs w:val="20"/>
        </w:rPr>
        <w:t xml:space="preserve"> (la loi hongroise visant l’Université d’Europe centrale l’a méconnue : </w:t>
      </w:r>
      <w:r>
        <w:rPr>
          <w:rFonts w:ascii="Calibri" w:cs="Calibri" w:eastAsia="Calibri" w:hAnsi="Calibri"/>
          <w:color w:val="E91E63"/>
          <w:sz w:val="20"/>
          <w:szCs w:val="20"/>
        </w:rPr>
        <w:t xml:space="preserve">CJUE [GC], 6 octobre 2020, Commission c. Hongrie, C-66/18</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Le droit à l’instruction, limite et fondement</w:t>
      </w:r>
    </w:p>
    <w:p>
      <w:pPr>
        <w:pStyle w:val="ListParagraph"/>
        <w:numPr>
          <w:ilvl w:val="0"/>
          <w:numId w:val="2"/>
        </w:numPr>
        <w:spacing w:after="70" w:line="264"/>
        <w:jc w:val="both"/>
      </w:pPr>
      <w:r>
        <w:rPr>
          <w:rFonts w:ascii="Calibri" w:cs="Calibri" w:eastAsia="Calibri" w:hAnsi="Calibri"/>
          <w:b/>
          <w:bCs/>
          <w:color w:val="1A1A1A"/>
          <w:sz w:val="20"/>
          <w:szCs w:val="20"/>
        </w:rPr>
        <w:t xml:space="preserve">Obligation scolaire</w:t>
      </w:r>
      <w:r>
        <w:rPr>
          <w:rFonts w:ascii="Calibri" w:cs="Calibri" w:eastAsia="Calibri" w:hAnsi="Calibri"/>
          <w:color w:val="1A1A1A"/>
          <w:sz w:val="20"/>
          <w:szCs w:val="20"/>
        </w:rPr>
        <w:t xml:space="preserve"> de 3 à 16 ans (</w:t>
      </w:r>
      <w:r>
        <w:rPr>
          <w:rFonts w:ascii="Calibri" w:cs="Calibri" w:eastAsia="Calibri" w:hAnsi="Calibri"/>
          <w:color w:val="1E88E5"/>
          <w:sz w:val="20"/>
          <w:szCs w:val="20"/>
        </w:rPr>
        <w:t xml:space="preserve">art. L. 131-1 C. éduc.</w:t>
      </w:r>
      <w:r>
        <w:rPr>
          <w:rFonts w:ascii="Calibri" w:cs="Calibri" w:eastAsia="Calibri" w:hAnsi="Calibri"/>
          <w:color w:val="1A1A1A"/>
          <w:sz w:val="20"/>
          <w:szCs w:val="20"/>
        </w:rPr>
        <w:t xml:space="preserve">, abaissement à 3 ans par la </w:t>
      </w:r>
      <w:r>
        <w:rPr>
          <w:rFonts w:ascii="Calibri" w:cs="Calibri" w:eastAsia="Calibri" w:hAnsi="Calibri"/>
          <w:color w:val="1E88E5"/>
          <w:sz w:val="20"/>
          <w:szCs w:val="20"/>
        </w:rPr>
        <w:t xml:space="preserve">loi du 26 juillet 2019</w:t>
      </w:r>
      <w:r>
        <w:rPr>
          <w:rFonts w:ascii="Calibri" w:cs="Calibri" w:eastAsia="Calibri" w:hAnsi="Calibri"/>
          <w:color w:val="1A1A1A"/>
          <w:sz w:val="20"/>
          <w:szCs w:val="20"/>
        </w:rPr>
        <w:t xml:space="preserve">) ; obligation de formation jusqu’à 18 ans.</w:t>
      </w:r>
    </w:p>
    <w:p>
      <w:pPr>
        <w:pStyle w:val="ListParagraph"/>
        <w:numPr>
          <w:ilvl w:val="0"/>
          <w:numId w:val="2"/>
        </w:numPr>
        <w:spacing w:after="70" w:line="264"/>
        <w:jc w:val="both"/>
      </w:pPr>
      <w:r>
        <w:rPr>
          <w:rFonts w:ascii="Calibri" w:cs="Calibri" w:eastAsia="Calibri" w:hAnsi="Calibri"/>
          <w:b/>
          <w:bCs/>
          <w:color w:val="1A1A1A"/>
          <w:sz w:val="20"/>
          <w:szCs w:val="20"/>
        </w:rPr>
        <w:t xml:space="preserve">Instruction en famille</w:t>
      </w:r>
      <w:r>
        <w:rPr>
          <w:rFonts w:ascii="Calibri" w:cs="Calibri" w:eastAsia="Calibri" w:hAnsi="Calibri"/>
          <w:color w:val="1A1A1A"/>
          <w:sz w:val="20"/>
          <w:szCs w:val="20"/>
        </w:rPr>
        <w:t xml:space="preserve"> : passage de la déclaration à l’</w:t>
      </w:r>
      <w:r>
        <w:rPr>
          <w:rFonts w:ascii="Calibri" w:cs="Calibri" w:eastAsia="Calibri" w:hAnsi="Calibri"/>
          <w:b/>
          <w:bCs/>
          <w:color w:val="1A1A1A"/>
          <w:sz w:val="20"/>
          <w:szCs w:val="20"/>
        </w:rPr>
        <w:t xml:space="preserve">autorisation</w:t>
      </w:r>
      <w:r>
        <w:rPr>
          <w:rFonts w:ascii="Calibri" w:cs="Calibri" w:eastAsia="Calibri" w:hAnsi="Calibri"/>
          <w:color w:val="1A1A1A"/>
          <w:sz w:val="20"/>
          <w:szCs w:val="20"/>
        </w:rPr>
        <w:t xml:space="preserve"> préalable sur quatre motifs (</w:t>
      </w:r>
      <w:r>
        <w:rPr>
          <w:rFonts w:ascii="Calibri" w:cs="Calibri" w:eastAsia="Calibri" w:hAnsi="Calibri"/>
          <w:color w:val="1E88E5"/>
          <w:sz w:val="20"/>
          <w:szCs w:val="20"/>
        </w:rPr>
        <w:t xml:space="preserve">art. L. 131-5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24 août 2021</w:t>
      </w:r>
      <w:r>
        <w:rPr>
          <w:rFonts w:ascii="Calibri" w:cs="Calibri" w:eastAsia="Calibri" w:hAnsi="Calibri"/>
          <w:color w:val="1A1A1A"/>
          <w:sz w:val="20"/>
          <w:szCs w:val="20"/>
        </w:rPr>
        <w:t xml:space="preserve">) ; validé sous réserve que l’autorisation ne dépende que de la capacité à instruire et de la situation propre de l’enfant (</w:t>
      </w:r>
      <w:r>
        <w:rPr>
          <w:rFonts w:ascii="Calibri" w:cs="Calibri" w:eastAsia="Calibri" w:hAnsi="Calibri"/>
          <w:color w:val="E91E63"/>
          <w:sz w:val="20"/>
          <w:szCs w:val="20"/>
        </w:rPr>
        <w:t xml:space="preserve">2021-823 DC</w:t>
      </w:r>
      <w:r>
        <w:rPr>
          <w:rFonts w:ascii="Calibri" w:cs="Calibri" w:eastAsia="Calibri" w:hAnsi="Calibri"/>
          <w:color w:val="1A1A1A"/>
          <w:sz w:val="20"/>
          <w:szCs w:val="20"/>
        </w:rPr>
        <w:t xml:space="preserve">) ; Strasbourg admet même une interdiction totale (</w:t>
      </w:r>
      <w:r>
        <w:rPr>
          <w:rFonts w:ascii="Calibri" w:cs="Calibri" w:eastAsia="Calibri" w:hAnsi="Calibri"/>
          <w:color w:val="E91E63"/>
          <w:sz w:val="20"/>
          <w:szCs w:val="20"/>
        </w:rPr>
        <w:t xml:space="preserve">CEDH, 11 septembre 2006, Konrad c. Allemagne</w:t>
      </w:r>
      <w:r>
        <w:rPr>
          <w:rFonts w:ascii="Calibri" w:cs="Calibri" w:eastAsia="Calibri" w:hAnsi="Calibri"/>
          <w:color w:val="1A1A1A"/>
          <w:sz w:val="20"/>
          <w:szCs w:val="20"/>
        </w:rPr>
        <w:t xml:space="preserve">, déc. ; </w:t>
      </w:r>
      <w:r>
        <w:rPr>
          <w:rFonts w:ascii="Calibri" w:cs="Calibri" w:eastAsia="Calibri" w:hAnsi="Calibri"/>
          <w:color w:val="E91E63"/>
          <w:sz w:val="20"/>
          <w:szCs w:val="20"/>
        </w:rPr>
        <w:t xml:space="preserve">CEDH, 10 janvier 2019, Wunderlich c. Allemagne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Gratuité</w:t>
      </w:r>
      <w:r>
        <w:rPr>
          <w:rFonts w:ascii="Calibri" w:cs="Calibri" w:eastAsia="Calibri" w:hAnsi="Calibri"/>
          <w:color w:val="1A1A1A"/>
          <w:sz w:val="20"/>
          <w:szCs w:val="20"/>
        </w:rPr>
        <w:t xml:space="preserve"> : l’exigence constitutionnelle de gratuité s’applique à l’enseignement supérieur public, qui admet des droits d’inscription </w:t>
      </w:r>
      <w:r>
        <w:rPr>
          <w:rFonts w:ascii="Calibri" w:cs="Calibri" w:eastAsia="Calibri" w:hAnsi="Calibri"/>
          <w:b/>
          <w:bCs/>
          <w:color w:val="1A1A1A"/>
          <w:sz w:val="20"/>
          <w:szCs w:val="20"/>
        </w:rPr>
        <w:t xml:space="preserve">modiques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2019-809 QPC, 11 octobre 2019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Strasbourg</w:t>
      </w:r>
      <w:r>
        <w:rPr>
          <w:rFonts w:ascii="Calibri" w:cs="Calibri" w:eastAsia="Calibri" w:hAnsi="Calibri"/>
          <w:color w:val="1A1A1A"/>
          <w:sz w:val="20"/>
          <w:szCs w:val="20"/>
        </w:rPr>
        <w:t xml:space="preserve"> : formule négative de l’</w:t>
      </w:r>
      <w:r>
        <w:rPr>
          <w:rFonts w:ascii="Calibri" w:cs="Calibri" w:eastAsia="Calibri" w:hAnsi="Calibri"/>
          <w:color w:val="1E88E5"/>
          <w:sz w:val="20"/>
          <w:szCs w:val="20"/>
        </w:rPr>
        <w:t xml:space="preserve">art. 2 Prot. 1</w:t>
      </w:r>
      <w:r>
        <w:rPr>
          <w:rFonts w:ascii="Calibri" w:cs="Calibri" w:eastAsia="Calibri" w:hAnsi="Calibri"/>
          <w:color w:val="1A1A1A"/>
          <w:sz w:val="20"/>
          <w:szCs w:val="20"/>
        </w:rPr>
        <w:t xml:space="preserve"> — pas d’obligation d’organiser un enseignement d’une forme déterminée (</w:t>
      </w:r>
      <w:r>
        <w:rPr>
          <w:rFonts w:ascii="Calibri" w:cs="Calibri" w:eastAsia="Calibri" w:hAnsi="Calibri"/>
          <w:color w:val="E91E63"/>
          <w:sz w:val="20"/>
          <w:szCs w:val="20"/>
        </w:rPr>
        <w:t xml:space="preserve">CEDH, 23 juillet 1968, Affaire linguistique belge</w:t>
      </w:r>
      <w:r>
        <w:rPr>
          <w:rFonts w:ascii="Calibri" w:cs="Calibri" w:eastAsia="Calibri" w:hAnsi="Calibri"/>
          <w:color w:val="1A1A1A"/>
          <w:sz w:val="20"/>
          <w:szCs w:val="20"/>
        </w:rPr>
        <w:t xml:space="preserve">) ; respect des convictions des parents et interdiction de l’endoctrinement (</w:t>
      </w:r>
      <w:r>
        <w:rPr>
          <w:rFonts w:ascii="Calibri" w:cs="Calibri" w:eastAsia="Calibri" w:hAnsi="Calibri"/>
          <w:color w:val="E91E63"/>
          <w:sz w:val="20"/>
          <w:szCs w:val="20"/>
        </w:rPr>
        <w:t xml:space="preserve">Kjeldsen</w:t>
      </w:r>
      <w:r>
        <w:rPr>
          <w:rFonts w:ascii="Calibri" w:cs="Calibri" w:eastAsia="Calibri" w:hAnsi="Calibri"/>
          <w:color w:val="1A1A1A"/>
          <w:sz w:val="20"/>
          <w:szCs w:val="20"/>
        </w:rPr>
        <w:t xml:space="preserve">, 1976 ; </w:t>
      </w:r>
      <w:r>
        <w:rPr>
          <w:rFonts w:ascii="Calibri" w:cs="Calibri" w:eastAsia="Calibri" w:hAnsi="Calibri"/>
          <w:color w:val="E91E63"/>
          <w:sz w:val="20"/>
          <w:szCs w:val="20"/>
        </w:rPr>
        <w:t xml:space="preserve">CEDH [GC], 29 juin 2007, Folgerø c. Norvège</w:t>
      </w:r>
      <w:r>
        <w:rPr>
          <w:rFonts w:ascii="Calibri" w:cs="Calibri" w:eastAsia="Calibri" w:hAnsi="Calibri"/>
          <w:color w:val="1A1A1A"/>
          <w:sz w:val="20"/>
          <w:szCs w:val="20"/>
        </w:rPr>
        <w:t xml:space="preserve">) ; mais pas de dispense des cours d’éducation sexuelle ou de natation mixte (</w:t>
      </w:r>
      <w:r>
        <w:rPr>
          <w:rFonts w:ascii="Calibri" w:cs="Calibri" w:eastAsia="Calibri" w:hAnsi="Calibri"/>
          <w:color w:val="E91E63"/>
          <w:sz w:val="20"/>
          <w:szCs w:val="20"/>
        </w:rPr>
        <w:t xml:space="preserve">Dojan c. Allemagne</w:t>
      </w:r>
      <w:r>
        <w:rPr>
          <w:rFonts w:ascii="Calibri" w:cs="Calibri" w:eastAsia="Calibri" w:hAnsi="Calibri"/>
          <w:color w:val="1A1A1A"/>
          <w:sz w:val="20"/>
          <w:szCs w:val="20"/>
        </w:rPr>
        <w:t xml:space="preserve">, 2011 ; </w:t>
      </w:r>
      <w:r>
        <w:rPr>
          <w:rFonts w:ascii="Calibri" w:cs="Calibri" w:eastAsia="Calibri" w:hAnsi="Calibri"/>
          <w:color w:val="E91E63"/>
          <w:sz w:val="20"/>
          <w:szCs w:val="20"/>
        </w:rPr>
        <w:t xml:space="preserve">CEDH, 10 janvier 2017, Osmanoğlu et Kocabaş c. Suisse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5.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L’école, institution de la République</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Condorcet</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Cinq mémoires sur l’instruction publique</w:t>
      </w:r>
      <w:r>
        <w:rPr>
          <w:rFonts w:ascii="Calibri" w:cs="Calibri" w:eastAsia="Calibri" w:hAnsi="Calibri"/>
          <w:color w:val="1A1A1A"/>
          <w:sz w:val="20"/>
          <w:szCs w:val="20"/>
        </w:rPr>
        <w:t xml:space="preserve">, 1791) : l’instruction émancipe et forme le citoyen ; </w:t>
      </w:r>
      <w:r>
        <w:rPr>
          <w:rFonts w:ascii="Calibri" w:cs="Calibri" w:eastAsia="Calibri" w:hAnsi="Calibri"/>
          <w:color w:val="2E7D32"/>
          <w:sz w:val="20"/>
          <w:szCs w:val="20"/>
        </w:rPr>
        <w:t xml:space="preserve">Jules Ferry</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Lettre aux instituteurs</w:t>
      </w:r>
      <w:r>
        <w:rPr>
          <w:rFonts w:ascii="Calibri" w:cs="Calibri" w:eastAsia="Calibri" w:hAnsi="Calibri"/>
          <w:color w:val="1A1A1A"/>
          <w:sz w:val="20"/>
          <w:szCs w:val="20"/>
        </w:rPr>
        <w:t xml:space="preserve">, 17 novembre 1883) : neutralité respectueuse des familles. La liberté de l’enseignement, à l’inverse, est historiquement une revendication </w:t>
      </w:r>
      <w:r>
        <w:rPr>
          <w:rFonts w:ascii="Calibri" w:cs="Calibri" w:eastAsia="Calibri" w:hAnsi="Calibri"/>
          <w:b/>
          <w:bCs/>
          <w:color w:val="1A1A1A"/>
          <w:sz w:val="20"/>
          <w:szCs w:val="20"/>
        </w:rPr>
        <w:t xml:space="preserve">catholique</w:t>
      </w:r>
      <w:r>
        <w:rPr>
          <w:rFonts w:ascii="Calibri" w:cs="Calibri" w:eastAsia="Calibri" w:hAnsi="Calibri"/>
          <w:color w:val="1A1A1A"/>
          <w:sz w:val="20"/>
          <w:szCs w:val="20"/>
        </w:rPr>
        <w:t xml:space="preserve"> contre le monopole universitaire.</w:t>
      </w:r>
    </w:p>
    <w:p>
      <w:pPr>
        <w:pStyle w:val="ListParagraph"/>
        <w:numPr>
          <w:ilvl w:val="0"/>
          <w:numId w:val="2"/>
        </w:numPr>
        <w:spacing w:after="70" w:line="264"/>
        <w:jc w:val="both"/>
      </w:pPr>
      <w:r>
        <w:rPr>
          <w:rFonts w:ascii="Calibri" w:cs="Calibri" w:eastAsia="Calibri" w:hAnsi="Calibri"/>
          <w:b/>
          <w:bCs/>
          <w:color w:val="1A1A1A"/>
          <w:sz w:val="20"/>
          <w:szCs w:val="20"/>
        </w:rPr>
        <w:t xml:space="preserve">Un régime d’accommodement de la religion ?</w:t>
      </w:r>
      <w:r>
        <w:rPr>
          <w:rFonts w:ascii="Calibri" w:cs="Calibri" w:eastAsia="Calibri" w:hAnsi="Calibri"/>
          <w:color w:val="1A1A1A"/>
          <w:sz w:val="20"/>
          <w:szCs w:val="20"/>
        </w:rPr>
        <w:t xml:space="preserve"> — Pour </w:t>
      </w:r>
      <w:r>
        <w:rPr>
          <w:rFonts w:ascii="Calibri" w:cs="Calibri" w:eastAsia="Calibri" w:hAnsi="Calibri"/>
          <w:color w:val="2E7D32"/>
          <w:sz w:val="20"/>
          <w:szCs w:val="20"/>
        </w:rPr>
        <w:t xml:space="preserve">Stéphanie Hennette Vauchez</w:t>
      </w:r>
      <w:r>
        <w:rPr>
          <w:rFonts w:ascii="Calibri" w:cs="Calibri" w:eastAsia="Calibri" w:hAnsi="Calibri"/>
          <w:color w:val="1A1A1A"/>
          <w:sz w:val="20"/>
          <w:szCs w:val="20"/>
        </w:rPr>
        <w:t xml:space="preserve"> (Titre VII, 2024), la liberté de l’enseignement fonctionne comme « l’éléphant dans la pièce » de la laïcité : l’État finance des établissements confessionnels qui scolarisent environ un élève sur six.</w:t>
      </w:r>
    </w:p>
    <w:p>
      <w:pPr>
        <w:pStyle w:val="ListParagraph"/>
        <w:numPr>
          <w:ilvl w:val="0"/>
          <w:numId w:val="2"/>
        </w:numPr>
        <w:spacing w:after="70" w:line="264"/>
        <w:jc w:val="both"/>
      </w:pPr>
      <w:r>
        <w:rPr>
          <w:rFonts w:ascii="Calibri" w:cs="Calibri" w:eastAsia="Calibri" w:hAnsi="Calibri"/>
          <w:b/>
          <w:bCs/>
          <w:color w:val="1A1A1A"/>
          <w:sz w:val="20"/>
          <w:szCs w:val="20"/>
        </w:rPr>
        <w:t xml:space="preserve">Mixité sociale</w:t>
      </w:r>
      <w:r>
        <w:rPr>
          <w:rFonts w:ascii="Calibri" w:cs="Calibri" w:eastAsia="Calibri" w:hAnsi="Calibri"/>
          <w:color w:val="1A1A1A"/>
          <w:sz w:val="20"/>
          <w:szCs w:val="20"/>
        </w:rPr>
        <w:t xml:space="preserve"> — la publication des indices de position sociale a relancé le débat sur la contribution du privé sous contrat à la ségrégation scolaire ; les obligations de mixité ne figurent pas dans la loi Debré, ce que la doctrine présente comme l’angle mort du contrat d’association.</w:t>
      </w:r>
    </w:p>
    <w:p>
      <w:pPr>
        <w:pStyle w:val="ListParagraph"/>
        <w:numPr>
          <w:ilvl w:val="0"/>
          <w:numId w:val="2"/>
        </w:numPr>
        <w:spacing w:after="70" w:line="264"/>
        <w:jc w:val="both"/>
      </w:pPr>
      <w:r>
        <w:rPr>
          <w:rFonts w:ascii="Calibri" w:cs="Calibri" w:eastAsia="Calibri" w:hAnsi="Calibri"/>
          <w:b/>
          <w:bCs/>
          <w:color w:val="1A1A1A"/>
          <w:sz w:val="20"/>
          <w:szCs w:val="20"/>
        </w:rPr>
        <w:t xml:space="preserve">Libertés académiques sous pression</w:t>
      </w:r>
      <w:r>
        <w:rPr>
          <w:rFonts w:ascii="Calibri" w:cs="Calibri" w:eastAsia="Calibri" w:hAnsi="Calibri"/>
          <w:color w:val="1A1A1A"/>
          <w:sz w:val="20"/>
          <w:szCs w:val="20"/>
        </w:rPr>
        <w:t xml:space="preserve"> — débats sur l’« islamo-gauchisme » (2021), annulations de conférences, sécurité des campus : la liberté académique protège la recherche contre l’État comme contre les pressions internes à l’université.</w:t>
      </w:r>
    </w:p>
    <w:p>
      <w:pPr>
        <w:pStyle w:val="Heading2"/>
        <w:spacing w:after="120" w:before="280"/>
      </w:pPr>
      <w:r>
        <w:rPr>
          <w:rFonts w:ascii="Calibri" w:cs="Calibri" w:eastAsia="Calibri" w:hAnsi="Calibri"/>
          <w:b/>
          <w:bCs/>
          <w:color w:val="1A1A1A"/>
          <w:sz w:val="24"/>
          <w:szCs w:val="24"/>
        </w:rPr>
        <w:t xml:space="preserve">6. Dispositif « Grand Oral »</w:t>
      </w:r>
    </w:p>
    <w:p>
      <w:pPr>
        <w:pStyle w:val="Heading3"/>
        <w:spacing w:after="90" w:before="200"/>
      </w:pPr>
      <w:r>
        <w:rPr>
          <w:rFonts w:ascii="Calibri" w:cs="Calibri" w:eastAsia="Calibri" w:hAnsi="Calibri"/>
          <w:b/>
          <w:bCs/>
          <w:i/>
          <w:iCs/>
          <w:color w:val="5A5A5A"/>
          <w:sz w:val="21"/>
          <w:szCs w:val="21"/>
        </w:rPr>
        <w:t xml:space="preserve">6.1.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Financer l’école catholique, n’est-ce pas subventionner un culte ? »</w:t>
      </w:r>
      <w:r>
        <w:rPr>
          <w:rFonts w:ascii="Calibri" w:cs="Calibri" w:eastAsia="Calibri" w:hAnsi="Calibri"/>
          <w:color w:val="1A1A1A"/>
          <w:sz w:val="20"/>
          <w:szCs w:val="20"/>
        </w:rPr>
        <w:t xml:space="preserve"> — Non : l’État finance un </w:t>
      </w:r>
      <w:r>
        <w:rPr>
          <w:rFonts w:ascii="Calibri" w:cs="Calibri" w:eastAsia="Calibri" w:hAnsi="Calibri"/>
          <w:b/>
          <w:bCs/>
          <w:color w:val="1A1A1A"/>
          <w:sz w:val="20"/>
          <w:szCs w:val="20"/>
        </w:rPr>
        <w:t xml:space="preserve">service d’enseignement</w:t>
      </w:r>
      <w:r>
        <w:rPr>
          <w:rFonts w:ascii="Calibri" w:cs="Calibri" w:eastAsia="Calibri" w:hAnsi="Calibri"/>
          <w:color w:val="1A1A1A"/>
          <w:sz w:val="20"/>
          <w:szCs w:val="20"/>
        </w:rPr>
        <w:t xml:space="preserve"> associé au service public, sous condition de respect des programmes et de la liberté de conscience des élèves ; l’enseignement religieux reste facultatif et hors temps scolaire de l’État (</w:t>
      </w:r>
      <w:r>
        <w:rPr>
          <w:rFonts w:ascii="Calibri" w:cs="Calibri" w:eastAsia="Calibri" w:hAnsi="Calibri"/>
          <w:color w:val="E91E63"/>
          <w:sz w:val="20"/>
          <w:szCs w:val="20"/>
        </w:rPr>
        <w:t xml:space="preserve">2009-591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L’État peut-il fermer une école parce que sa pédagogie lui déplaît ? »</w:t>
      </w:r>
      <w:r>
        <w:rPr>
          <w:rFonts w:ascii="Calibri" w:cs="Calibri" w:eastAsia="Calibri" w:hAnsi="Calibri"/>
          <w:color w:val="1A1A1A"/>
          <w:sz w:val="20"/>
          <w:szCs w:val="20"/>
        </w:rPr>
        <w:t xml:space="preserve"> — Non : il contrôle les résultats (socle commun), non la méthode (</w:t>
      </w:r>
      <w:r>
        <w:rPr>
          <w:rFonts w:ascii="Calibri" w:cs="Calibri" w:eastAsia="Calibri" w:hAnsi="Calibri"/>
          <w:color w:val="1E88E5"/>
          <w:sz w:val="20"/>
          <w:szCs w:val="20"/>
        </w:rPr>
        <w:t xml:space="preserve">art. L. 442-3</w:t>
      </w:r>
      <w:r>
        <w:rPr>
          <w:rFonts w:ascii="Calibri" w:cs="Calibri" w:eastAsia="Calibri" w:hAnsi="Calibri"/>
          <w:color w:val="1A1A1A"/>
          <w:sz w:val="20"/>
          <w:szCs w:val="20"/>
        </w:rPr>
        <w:t xml:space="preserve">) ; la fermeture suppose une mise en demeure préalable et des manquements persistants (</w:t>
      </w:r>
      <w:r>
        <w:rPr>
          <w:rFonts w:ascii="Calibri" w:cs="Calibri" w:eastAsia="Calibri" w:hAnsi="Calibri"/>
          <w:color w:val="E91E63"/>
          <w:sz w:val="20"/>
          <w:szCs w:val="20"/>
        </w:rPr>
        <w:t xml:space="preserve">L’Arrosoir</w:t>
      </w:r>
      <w:r>
        <w:rPr>
          <w:rFonts w:ascii="Calibri" w:cs="Calibri" w:eastAsia="Calibri" w:hAnsi="Calibri"/>
          <w:color w:val="1A1A1A"/>
          <w:sz w:val="20"/>
          <w:szCs w:val="20"/>
        </w:rPr>
        <w:t xml:space="preserve">, 2025).</w:t>
      </w:r>
    </w:p>
    <w:p>
      <w:pPr>
        <w:pStyle w:val="ListParagraph"/>
        <w:numPr>
          <w:ilvl w:val="0"/>
          <w:numId w:val="2"/>
        </w:numPr>
        <w:spacing w:after="70" w:line="264"/>
        <w:jc w:val="both"/>
      </w:pPr>
      <w:r>
        <w:rPr>
          <w:rFonts w:ascii="Calibri" w:cs="Calibri" w:eastAsia="Calibri" w:hAnsi="Calibri"/>
          <w:b/>
          <w:bCs/>
          <w:color w:val="1A1A1A"/>
          <w:sz w:val="20"/>
          <w:szCs w:val="20"/>
        </w:rPr>
        <w:t xml:space="preserve">« Un professeur d’université peut-il tout dire en cours ? »</w:t>
      </w:r>
      <w:r>
        <w:rPr>
          <w:rFonts w:ascii="Calibri" w:cs="Calibri" w:eastAsia="Calibri" w:hAnsi="Calibri"/>
          <w:color w:val="1A1A1A"/>
          <w:sz w:val="20"/>
          <w:szCs w:val="20"/>
        </w:rPr>
        <w:t xml:space="preserve"> — Il jouit d’une pleine indépendance et d’une entière liberté d’expression, sous les réserves de tolérance et d’objectivité (</w:t>
      </w:r>
      <w:r>
        <w:rPr>
          <w:rFonts w:ascii="Calibri" w:cs="Calibri" w:eastAsia="Calibri" w:hAnsi="Calibri"/>
          <w:color w:val="1E88E5"/>
          <w:sz w:val="20"/>
          <w:szCs w:val="20"/>
        </w:rPr>
        <w:t xml:space="preserve">art. L. 952-2</w:t>
      </w:r>
      <w:r>
        <w:rPr>
          <w:rFonts w:ascii="Calibri" w:cs="Calibri" w:eastAsia="Calibri" w:hAnsi="Calibri"/>
          <w:color w:val="1A1A1A"/>
          <w:sz w:val="20"/>
          <w:szCs w:val="20"/>
        </w:rPr>
        <w:t xml:space="preserve">) ; la liberté académique ne couvre pas la provocation à la haine ni le négationnisme.</w:t>
      </w:r>
    </w:p>
    <w:p>
      <w:pPr>
        <w:pStyle w:val="Heading3"/>
        <w:spacing w:after="90" w:before="200"/>
      </w:pPr>
      <w:r>
        <w:rPr>
          <w:rFonts w:ascii="Calibri" w:cs="Calibri" w:eastAsia="Calibri" w:hAnsi="Calibri"/>
          <w:b/>
          <w:bCs/>
          <w:i/>
          <w:iCs/>
          <w:color w:val="5A5A5A"/>
          <w:sz w:val="21"/>
          <w:szCs w:val="21"/>
        </w:rPr>
        <w:t xml:space="preserve">6.2.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La liberté de l’enseignement — L’école et la laïcité — Le financement de l’enseignement privé — L’instruction en famille — Les libertés académiques — Le droit à l’instruction — Argumentation : « Soutenez que la liberté d’enseignement est un droit fondamental » (sujet « Pour s’entraîner » du fascicule) — Commentaire : </w:t>
      </w:r>
      <w:r>
        <w:rPr>
          <w:rFonts w:ascii="Calibri" w:cs="Calibri" w:eastAsia="Calibri" w:hAnsi="Calibri"/>
          <w:color w:val="E91E63"/>
          <w:sz w:val="20"/>
          <w:szCs w:val="20"/>
        </w:rPr>
        <w:t xml:space="preserve">2025-1145 QPC</w:t>
      </w:r>
      <w:r>
        <w:rPr>
          <w:rFonts w:ascii="Calibri" w:cs="Calibri" w:eastAsia="Calibri" w:hAnsi="Calibri"/>
          <w:color w:val="1A1A1A"/>
          <w:sz w:val="20"/>
          <w:szCs w:val="20"/>
        </w:rPr>
        <w:t xml:space="preserve"> ou </w:t>
      </w:r>
      <w:r>
        <w:rPr>
          <w:rFonts w:ascii="Calibri" w:cs="Calibri" w:eastAsia="Calibri" w:hAnsi="Calibri"/>
          <w:color w:val="E91E63"/>
          <w:sz w:val="20"/>
          <w:szCs w:val="20"/>
        </w:rPr>
        <w:t xml:space="preserve">CE, ord., 21 novembre 2025, L’Arrosoir</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6.3.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Sur quel texte le Conseil constitutionnel a-t-il fondé le PFRLR de liberté de l’enseignement ?</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91 de la loi de finances du 31 mars 1931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77-87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différence entre contrat simple et contrat d’association ?</w:t>
      </w:r>
      <w:r>
        <w:rPr>
          <w:rFonts w:ascii="Calibri" w:cs="Calibri" w:eastAsia="Calibri" w:hAnsi="Calibri"/>
          <w:color w:val="1A1A1A"/>
          <w:sz w:val="20"/>
          <w:szCs w:val="20"/>
        </w:rPr>
        <w:t xml:space="preserve"> — Le contrat simple concerne le seul premier degré, maîtres agréés de droit privé rémunérés par l’État ; le contrat d’association couvre les deux degrés, suppose un besoin scolaire reconnu et fait des maîtres des agents publics.</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loi a abaissé l’âge de l’instruction obligatoire à trois ans ?</w:t>
      </w:r>
      <w:r>
        <w:rPr>
          <w:rFonts w:ascii="Calibri" w:cs="Calibri" w:eastAsia="Calibri" w:hAnsi="Calibri"/>
          <w:color w:val="1A1A1A"/>
          <w:sz w:val="20"/>
          <w:szCs w:val="20"/>
        </w:rPr>
        <w:t xml:space="preserve"> — La </w:t>
      </w:r>
      <w:r>
        <w:rPr>
          <w:rFonts w:ascii="Calibri" w:cs="Calibri" w:eastAsia="Calibri" w:hAnsi="Calibri"/>
          <w:color w:val="1E88E5"/>
          <w:sz w:val="20"/>
          <w:szCs w:val="20"/>
        </w:rPr>
        <w:t xml:space="preserve">loi n° 2019-791 du 26 juillet 2019 pour une école de la confiance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Les droits d’inscription à l’université sont-ils inconstitutionnels ?</w:t>
      </w:r>
      <w:r>
        <w:rPr>
          <w:rFonts w:ascii="Calibri" w:cs="Calibri" w:eastAsia="Calibri" w:hAnsi="Calibri"/>
          <w:color w:val="1A1A1A"/>
          <w:sz w:val="20"/>
          <w:szCs w:val="20"/>
        </w:rPr>
        <w:t xml:space="preserve"> — Non, s’ils sont modiques et tiennent compte des capacités financières des étudiants (</w:t>
      </w:r>
      <w:r>
        <w:rPr>
          <w:rFonts w:ascii="Calibri" w:cs="Calibri" w:eastAsia="Calibri" w:hAnsi="Calibri"/>
          <w:color w:val="E91E63"/>
          <w:sz w:val="20"/>
          <w:szCs w:val="20"/>
        </w:rPr>
        <w:t xml:space="preserve">2019-809 QPC</w:t>
      </w:r>
      <w:r>
        <w:rPr>
          <w:rFonts w:ascii="Calibri" w:cs="Calibri" w:eastAsia="Calibri" w:hAnsi="Calibri"/>
          <w:color w:val="1A1A1A"/>
          <w:sz w:val="20"/>
          <w:szCs w:val="20"/>
        </w:rPr>
        <w:t xml:space="preserve">) ; les droits différenciés des étudiants extracommunautaires ont été validés par le Conseil d’État en 2020.</w:t>
      </w:r>
    </w:p>
    <w:p>
      <w:pPr>
        <w:pStyle w:val="ListParagraph"/>
        <w:numPr>
          <w:ilvl w:val="0"/>
          <w:numId w:val="2"/>
        </w:numPr>
        <w:spacing w:after="70" w:line="264"/>
        <w:jc w:val="both"/>
      </w:pPr>
      <w:r>
        <w:rPr>
          <w:rFonts w:ascii="Calibri" w:cs="Calibri" w:eastAsia="Calibri" w:hAnsi="Calibri"/>
          <w:b/>
          <w:bCs/>
          <w:color w:val="1A1A1A"/>
          <w:sz w:val="20"/>
          <w:szCs w:val="20"/>
        </w:rPr>
        <w:t xml:space="preserve">Q. Qui a dit « l’Église chez elle, l’État chez lui » ?</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Victor Hugo</w:t>
      </w:r>
      <w:r>
        <w:rPr>
          <w:rFonts w:ascii="Calibri" w:cs="Calibri" w:eastAsia="Calibri" w:hAnsi="Calibri"/>
          <w:color w:val="1A1A1A"/>
          <w:sz w:val="20"/>
          <w:szCs w:val="20"/>
        </w:rPr>
        <w:t xml:space="preserve">, contre la loi Falloux (15 janvier 1850).</w:t>
      </w:r>
    </w:p>
    <w:p>
      <w:pPr>
        <w:pStyle w:val="ListParagraph"/>
        <w:numPr>
          <w:ilvl w:val="0"/>
          <w:numId w:val="2"/>
        </w:numPr>
        <w:spacing w:after="70" w:line="264"/>
        <w:jc w:val="both"/>
      </w:pPr>
      <w:r>
        <w:rPr>
          <w:rFonts w:ascii="Calibri" w:cs="Calibri" w:eastAsia="Calibri" w:hAnsi="Calibri"/>
          <w:b/>
          <w:bCs/>
          <w:color w:val="1A1A1A"/>
          <w:sz w:val="20"/>
          <w:szCs w:val="20"/>
        </w:rPr>
        <w:t xml:space="preserve">Q. L’article 2 du Protocole n° 1 garantit-il l’accès à l’université ?</w:t>
      </w:r>
      <w:r>
        <w:rPr>
          <w:rFonts w:ascii="Calibri" w:cs="Calibri" w:eastAsia="Calibri" w:hAnsi="Calibri"/>
          <w:color w:val="1A1A1A"/>
          <w:sz w:val="20"/>
          <w:szCs w:val="20"/>
        </w:rPr>
        <w:t xml:space="preserve"> — Oui, aux établissements existants, l’article s’appliquant à l’enseignement supérieur (</w:t>
      </w:r>
      <w:r>
        <w:rPr>
          <w:rFonts w:ascii="Calibri" w:cs="Calibri" w:eastAsia="Calibri" w:hAnsi="Calibri"/>
          <w:color w:val="E91E63"/>
          <w:sz w:val="20"/>
          <w:szCs w:val="20"/>
        </w:rPr>
        <w:t xml:space="preserve">Leyla Şahin</w:t>
      </w:r>
      <w:r>
        <w:rPr>
          <w:rFonts w:ascii="Calibri" w:cs="Calibri" w:eastAsia="Calibri" w:hAnsi="Calibri"/>
          <w:color w:val="1A1A1A"/>
          <w:sz w:val="20"/>
          <w:szCs w:val="20"/>
        </w:rPr>
        <w:t xml:space="preserve">, 2005), sous réserve de conditions d’accès raisonnables.</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42 — LE DROIT À DES ÉLECTIONS LIBRES</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Le 29 avril 1945, les Françaises votent pour la première fois, en vertu de l’</w:t>
      </w:r>
      <w:r>
        <w:rPr>
          <w:rFonts w:ascii="Calibri" w:cs="Calibri" w:eastAsia="Calibri" w:hAnsi="Calibri"/>
          <w:color w:val="1E88E5"/>
          <w:sz w:val="20"/>
          <w:szCs w:val="20"/>
        </w:rPr>
        <w:t xml:space="preserve">ordonnance du 21 avril 1944</w:t>
      </w:r>
      <w:r>
        <w:rPr>
          <w:rFonts w:ascii="Calibri" w:cs="Calibri" w:eastAsia="Calibri" w:hAnsi="Calibri"/>
          <w:color w:val="1A1A1A"/>
          <w:sz w:val="20"/>
          <w:szCs w:val="20"/>
        </w:rPr>
        <w:t xml:space="preserve">. Le suffrage dit « universel » l’était depuis 1848… pour moitié. Le 7 juillet 2026, la cour d’appel de Paris réduit l’inéligibilité d’une candidate à l’élection présidentielle en appréciant expressément la </w:t>
      </w:r>
      <w:r>
        <w:rPr>
          <w:rFonts w:ascii="Calibri" w:cs="Calibri" w:eastAsia="Calibri" w:hAnsi="Calibri"/>
          <w:b/>
          <w:bCs/>
          <w:color w:val="1A1A1A"/>
          <w:sz w:val="20"/>
          <w:szCs w:val="20"/>
        </w:rPr>
        <w:t xml:space="preserve">liberté de choix de l’électeur</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le droit à des élections libres est à la fois un droit du citoyen et une garantie du système démocratique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la Cour européenne qualifie l’</w:t>
      </w:r>
      <w:r>
        <w:rPr>
          <w:rFonts w:ascii="Calibri" w:cs="Calibri" w:eastAsia="Calibri" w:hAnsi="Calibri"/>
          <w:color w:val="1E88E5"/>
          <w:sz w:val="20"/>
          <w:szCs w:val="20"/>
        </w:rPr>
        <w:t xml:space="preserve">art. 3 du Protocole n° 1</w:t>
      </w:r>
      <w:r>
        <w:rPr>
          <w:rFonts w:ascii="Calibri" w:cs="Calibri" w:eastAsia="Calibri" w:hAnsi="Calibri"/>
          <w:color w:val="1A1A1A"/>
          <w:sz w:val="20"/>
          <w:szCs w:val="20"/>
        </w:rPr>
        <w:t xml:space="preserve"> de disposition qui consacre un « principe caractéristique d’un régime politique véritablement démocratique » (</w:t>
      </w:r>
      <w:r>
        <w:rPr>
          <w:rFonts w:ascii="Calibri" w:cs="Calibri" w:eastAsia="Calibri" w:hAnsi="Calibri"/>
          <w:color w:val="E91E63"/>
          <w:sz w:val="20"/>
          <w:szCs w:val="20"/>
        </w:rPr>
        <w:t xml:space="preserve">Mathieu-Mohin et Clerfayt c. Belgique</w:t>
      </w:r>
      <w:r>
        <w:rPr>
          <w:rFonts w:ascii="Calibri" w:cs="Calibri" w:eastAsia="Calibri" w:hAnsi="Calibri"/>
          <w:color w:val="1A1A1A"/>
          <w:sz w:val="20"/>
          <w:szCs w:val="20"/>
        </w:rPr>
        <w:t xml:space="preserve">, 1987) — c’est le seul article de la Convention rédigé comme une </w:t>
      </w:r>
      <w:r>
        <w:rPr>
          <w:rFonts w:ascii="Calibri" w:cs="Calibri" w:eastAsia="Calibri" w:hAnsi="Calibri"/>
          <w:b/>
          <w:bCs/>
          <w:color w:val="1A1A1A"/>
          <w:sz w:val="20"/>
          <w:szCs w:val="20"/>
        </w:rPr>
        <w:t xml:space="preserve">obligation de l’État</w:t>
      </w:r>
      <w:r>
        <w:rPr>
          <w:rFonts w:ascii="Calibri" w:cs="Calibri" w:eastAsia="Calibri" w:hAnsi="Calibri"/>
          <w:color w:val="1A1A1A"/>
          <w:sz w:val="20"/>
          <w:szCs w:val="20"/>
        </w:rPr>
        <w:t xml:space="preserve">, non comme un droit de la personne.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 droit à des élections libres garantit l’organisation, à intervalles raisonnables, d’élections au scrutin secret assurant la libre expression de l’opinion du peuple ; il comprend un </w:t>
      </w:r>
      <w:r>
        <w:rPr>
          <w:rFonts w:ascii="Calibri" w:cs="Calibri" w:eastAsia="Calibri" w:hAnsi="Calibri"/>
          <w:b/>
          <w:bCs/>
          <w:color w:val="1A1A1A"/>
          <w:sz w:val="20"/>
          <w:szCs w:val="20"/>
        </w:rPr>
        <w:t xml:space="preserve">aspect actif</w:t>
      </w:r>
      <w:r>
        <w:rPr>
          <w:rFonts w:ascii="Calibri" w:cs="Calibri" w:eastAsia="Calibri" w:hAnsi="Calibri"/>
          <w:color w:val="1A1A1A"/>
          <w:sz w:val="20"/>
          <w:szCs w:val="20"/>
        </w:rPr>
        <w:t xml:space="preserve">, le droit de vote, et un </w:t>
      </w:r>
      <w:r>
        <w:rPr>
          <w:rFonts w:ascii="Calibri" w:cs="Calibri" w:eastAsia="Calibri" w:hAnsi="Calibri"/>
          <w:b/>
          <w:bCs/>
          <w:color w:val="1A1A1A"/>
          <w:sz w:val="20"/>
          <w:szCs w:val="20"/>
        </w:rPr>
        <w:t xml:space="preserve">aspect passif</w:t>
      </w:r>
      <w:r>
        <w:rPr>
          <w:rFonts w:ascii="Calibri" w:cs="Calibri" w:eastAsia="Calibri" w:hAnsi="Calibri"/>
          <w:color w:val="1A1A1A"/>
          <w:sz w:val="20"/>
          <w:szCs w:val="20"/>
        </w:rPr>
        <w:t xml:space="preserve">, le droit de se porter candidat et d’exercer son mandat.</w:t>
      </w:r>
    </w:p>
    <w:p>
      <w:pPr>
        <w:pStyle w:val="ListParagraph"/>
        <w:numPr>
          <w:ilvl w:val="0"/>
          <w:numId w:val="2"/>
        </w:numPr>
        <w:spacing w:after="70" w:line="264"/>
        <w:jc w:val="both"/>
      </w:pPr>
      <w:r>
        <w:rPr>
          <w:rFonts w:ascii="Calibri" w:cs="Calibri" w:eastAsia="Calibri" w:hAnsi="Calibri"/>
          <w:color w:val="1A1A1A"/>
          <w:sz w:val="20"/>
          <w:szCs w:val="20"/>
        </w:rPr>
        <w:t xml:space="preserve">En droit français, le suffrage est </w:t>
      </w:r>
      <w:r>
        <w:rPr>
          <w:rFonts w:ascii="Calibri" w:cs="Calibri" w:eastAsia="Calibri" w:hAnsi="Calibri"/>
          <w:b/>
          <w:bCs/>
          <w:color w:val="1A1A1A"/>
          <w:sz w:val="20"/>
          <w:szCs w:val="20"/>
        </w:rPr>
        <w:t xml:space="preserve">universel, égal et secret</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 C.</w:t>
      </w:r>
      <w:r>
        <w:rPr>
          <w:rFonts w:ascii="Calibri" w:cs="Calibri" w:eastAsia="Calibri" w:hAnsi="Calibri"/>
          <w:color w:val="1A1A1A"/>
          <w:sz w:val="20"/>
          <w:szCs w:val="20"/>
        </w:rPr>
        <w:t xml:space="preserve">), libre et sincère ; la Cour européenne laisse une </w:t>
      </w:r>
      <w:r>
        <w:rPr>
          <w:rFonts w:ascii="Calibri" w:cs="Calibri" w:eastAsia="Calibri" w:hAnsi="Calibri"/>
          <w:b/>
          <w:bCs/>
          <w:color w:val="1A1A1A"/>
          <w:sz w:val="20"/>
          <w:szCs w:val="20"/>
        </w:rPr>
        <w:t xml:space="preserve">large marge d’appréciation</w:t>
      </w:r>
      <w:r>
        <w:rPr>
          <w:rFonts w:ascii="Calibri" w:cs="Calibri" w:eastAsia="Calibri" w:hAnsi="Calibri"/>
          <w:color w:val="1A1A1A"/>
          <w:sz w:val="20"/>
          <w:szCs w:val="20"/>
        </w:rPr>
        <w:t xml:space="preserve"> sur les modes de scrutin mais contrôle que les restrictions ne réduisent pas les droits au point de les atteindre dans leur substance.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 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6 DDHC</w:t>
      </w:r>
      <w:r>
        <w:rPr>
          <w:rFonts w:ascii="Calibri" w:cs="Calibri" w:eastAsia="Calibri" w:hAnsi="Calibri"/>
          <w:color w:val="1A1A1A"/>
          <w:sz w:val="20"/>
          <w:szCs w:val="20"/>
        </w:rPr>
        <w:t xml:space="preserve"> (éligibilité) ; </w:t>
      </w:r>
      <w:r>
        <w:rPr>
          <w:rFonts w:ascii="Calibri" w:cs="Calibri" w:eastAsia="Calibri" w:hAnsi="Calibri"/>
          <w:color w:val="1E88E5"/>
          <w:sz w:val="20"/>
          <w:szCs w:val="20"/>
        </w:rPr>
        <w:t xml:space="preserve">art. 3 du Protocole n° 1 CEDH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25 PIDCP</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21 DUDH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39 et 40 CDFUE</w:t>
      </w:r>
      <w:r>
        <w:rPr>
          <w:rFonts w:ascii="Calibri" w:cs="Calibri" w:eastAsia="Calibri" w:hAnsi="Calibri"/>
          <w:color w:val="1A1A1A"/>
          <w:sz w:val="20"/>
          <w:szCs w:val="20"/>
        </w:rPr>
        <w:t xml:space="preserve"> (élections européennes et municipales).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2 mars 1987, Mathieu-Mohin et Clerfayt c. Belgique, n° 9267/81</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3 Prot. 1</w:t>
      </w:r>
      <w:r>
        <w:rPr>
          <w:rFonts w:ascii="Calibri" w:cs="Calibri" w:eastAsia="Calibri" w:hAnsi="Calibri"/>
          <w:color w:val="1A1A1A"/>
          <w:sz w:val="20"/>
          <w:szCs w:val="20"/>
        </w:rPr>
        <w:t xml:space="preserve"> implique des </w:t>
      </w:r>
      <w:r>
        <w:rPr>
          <w:rFonts w:ascii="Calibri" w:cs="Calibri" w:eastAsia="Calibri" w:hAnsi="Calibri"/>
          <w:b/>
          <w:bCs/>
          <w:color w:val="1A1A1A"/>
          <w:sz w:val="20"/>
          <w:szCs w:val="20"/>
        </w:rPr>
        <w:t xml:space="preserve">droits subjectifs</w:t>
      </w:r>
      <w:r>
        <w:rPr>
          <w:rFonts w:ascii="Calibri" w:cs="Calibri" w:eastAsia="Calibri" w:hAnsi="Calibri"/>
          <w:color w:val="1A1A1A"/>
          <w:sz w:val="20"/>
          <w:szCs w:val="20"/>
        </w:rPr>
        <w:t xml:space="preserve"> de vote et d’éligibilité ; marge d’appréciation sur les systèmes électoraux.</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6 octobre 2005, Hirst c. Royaume-Uni (n° 2), n° 74025/01</w:t>
      </w:r>
      <w:r>
        <w:rPr>
          <w:rFonts w:ascii="Calibri" w:cs="Calibri" w:eastAsia="Calibri" w:hAnsi="Calibri"/>
          <w:color w:val="1A1A1A"/>
          <w:sz w:val="20"/>
          <w:szCs w:val="20"/>
        </w:rPr>
        <w:t xml:space="preserve"> : une privation du droit de vote </w:t>
      </w:r>
      <w:r>
        <w:rPr>
          <w:rFonts w:ascii="Calibri" w:cs="Calibri" w:eastAsia="Calibri" w:hAnsi="Calibri"/>
          <w:b/>
          <w:bCs/>
          <w:color w:val="1A1A1A"/>
          <w:sz w:val="20"/>
          <w:szCs w:val="20"/>
        </w:rPr>
        <w:t xml:space="preserve">générale, automatique et indifférenciée</w:t>
      </w:r>
      <w:r>
        <w:rPr>
          <w:rFonts w:ascii="Calibri" w:cs="Calibri" w:eastAsia="Calibri" w:hAnsi="Calibri"/>
          <w:color w:val="1A1A1A"/>
          <w:sz w:val="20"/>
          <w:szCs w:val="20"/>
        </w:rPr>
        <w:t xml:space="preserve"> des détenus viole l’</w:t>
      </w:r>
      <w:r>
        <w:rPr>
          <w:rFonts w:ascii="Calibri" w:cs="Calibri" w:eastAsia="Calibri" w:hAnsi="Calibri"/>
          <w:color w:val="1E88E5"/>
          <w:sz w:val="20"/>
          <w:szCs w:val="20"/>
        </w:rPr>
        <w:t xml:space="preserve">art. 3 Prot. 1</w:t>
      </w:r>
      <w:r>
        <w:rPr>
          <w:rFonts w:ascii="Calibri" w:cs="Calibri" w:eastAsia="Calibri" w:hAnsi="Calibri"/>
          <w:color w:val="1A1A1A"/>
          <w:sz w:val="20"/>
          <w:szCs w:val="20"/>
        </w:rPr>
        <w:t xml:space="preserve"> ; nuancé par </w:t>
      </w:r>
      <w:r>
        <w:rPr>
          <w:rFonts w:ascii="Calibri" w:cs="Calibri" w:eastAsia="Calibri" w:hAnsi="Calibri"/>
          <w:color w:val="E91E63"/>
          <w:sz w:val="20"/>
          <w:szCs w:val="20"/>
        </w:rPr>
        <w:t xml:space="preserve">Scoppola c. Italie (n° 3)</w:t>
      </w:r>
      <w:r>
        <w:rPr>
          <w:rFonts w:ascii="Calibri" w:cs="Calibri" w:eastAsia="Calibri" w:hAnsi="Calibri"/>
          <w:color w:val="1A1A1A"/>
          <w:sz w:val="20"/>
          <w:szCs w:val="20"/>
        </w:rPr>
        <w:t xml:space="preserve"> (GC, 22 mai 2012).</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2010-6/7 QPC, 11 juin 2010, Stéphane A.</w:t>
      </w:r>
      <w:r>
        <w:rPr>
          <w:rFonts w:ascii="Calibri" w:cs="Calibri" w:eastAsia="Calibri" w:hAnsi="Calibri"/>
          <w:color w:val="1A1A1A"/>
          <w:sz w:val="20"/>
          <w:szCs w:val="20"/>
        </w:rPr>
        <w:t xml:space="preserve"> : l’incapacité électorale </w:t>
      </w:r>
      <w:r>
        <w:rPr>
          <w:rFonts w:ascii="Calibri" w:cs="Calibri" w:eastAsia="Calibri" w:hAnsi="Calibri"/>
          <w:b/>
          <w:bCs/>
          <w:color w:val="1A1A1A"/>
          <w:sz w:val="20"/>
          <w:szCs w:val="20"/>
        </w:rPr>
        <w:t xml:space="preserve">automatique</w:t>
      </w:r>
      <w:r>
        <w:rPr>
          <w:rFonts w:ascii="Calibri" w:cs="Calibri" w:eastAsia="Calibri" w:hAnsi="Calibri"/>
          <w:color w:val="1A1A1A"/>
          <w:sz w:val="20"/>
          <w:szCs w:val="20"/>
        </w:rPr>
        <w:t xml:space="preserve"> de l’ancien </w:t>
      </w:r>
      <w:r>
        <w:rPr>
          <w:rFonts w:ascii="Calibri" w:cs="Calibri" w:eastAsia="Calibri" w:hAnsi="Calibri"/>
          <w:color w:val="1E88E5"/>
          <w:sz w:val="20"/>
          <w:szCs w:val="20"/>
        </w:rPr>
        <w:t xml:space="preserve">art. L. 7 C. élect.</w:t>
      </w:r>
      <w:r>
        <w:rPr>
          <w:rFonts w:ascii="Calibri" w:cs="Calibri" w:eastAsia="Calibri" w:hAnsi="Calibri"/>
          <w:color w:val="1A1A1A"/>
          <w:sz w:val="20"/>
          <w:szCs w:val="20"/>
        </w:rPr>
        <w:t xml:space="preserve"> méconnaît le principe d’individualisation des peines (</w:t>
      </w:r>
      <w:r>
        <w:rPr>
          <w:rFonts w:ascii="Calibri" w:cs="Calibri" w:eastAsia="Calibri" w:hAnsi="Calibri"/>
          <w:color w:val="1E88E5"/>
          <w:sz w:val="20"/>
          <w:szCs w:val="20"/>
        </w:rPr>
        <w:t xml:space="preserve">art. 8 DDHC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2025-1129 QPC, 28 mars 2025</w:t>
      </w:r>
      <w:r>
        <w:rPr>
          <w:rFonts w:ascii="Calibri" w:cs="Calibri" w:eastAsia="Calibri" w:hAnsi="Calibri"/>
          <w:color w:val="1A1A1A"/>
          <w:sz w:val="20"/>
          <w:szCs w:val="20"/>
        </w:rPr>
        <w:t xml:space="preserve"> : l’exécution provisoire d’une peine d’inéligibilité est conforme, sous réserve que le juge apprécie son caractère proportionné au regard de la </w:t>
      </w:r>
      <w:r>
        <w:rPr>
          <w:rFonts w:ascii="Calibri" w:cs="Calibri" w:eastAsia="Calibri" w:hAnsi="Calibri"/>
          <w:b/>
          <w:bCs/>
          <w:color w:val="1A1A1A"/>
          <w:sz w:val="20"/>
          <w:szCs w:val="20"/>
        </w:rPr>
        <w:t xml:space="preserve">préservation de la liberté de l’électeur</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droit à des élections libres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droit du citoyen</w:t>
      </w:r>
      <w:r>
        <w:rPr>
          <w:rFonts w:ascii="Calibri" w:cs="Calibri" w:eastAsia="Calibri" w:hAnsi="Calibri"/>
          <w:color w:val="1A1A1A"/>
          <w:sz w:val="20"/>
          <w:szCs w:val="20"/>
        </w:rPr>
        <w:t xml:space="preserve"> (A. Le droit de vote : universalité, conditions et privations — </w:t>
      </w:r>
      <w:r>
        <w:rPr>
          <w:rFonts w:ascii="Calibri" w:cs="Calibri" w:eastAsia="Calibri" w:hAnsi="Calibri"/>
          <w:color w:val="E91E63"/>
          <w:sz w:val="20"/>
          <w:szCs w:val="20"/>
        </w:rPr>
        <w:t xml:space="preserve">Hirst</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2010-6/7 QPC</w:t>
      </w:r>
      <w:r>
        <w:rPr>
          <w:rFonts w:ascii="Calibri" w:cs="Calibri" w:eastAsia="Calibri" w:hAnsi="Calibri"/>
          <w:color w:val="1A1A1A"/>
          <w:sz w:val="20"/>
          <w:szCs w:val="20"/>
        </w:rPr>
        <w:t xml:space="preserve">, majeurs protégés ; B. Le droit d’éligibilité : candidature et mandat — </w:t>
      </w:r>
      <w:r>
        <w:rPr>
          <w:rFonts w:ascii="Calibri" w:cs="Calibri" w:eastAsia="Calibri" w:hAnsi="Calibri"/>
          <w:color w:val="E91E63"/>
          <w:sz w:val="20"/>
          <w:szCs w:val="20"/>
        </w:rPr>
        <w:t xml:space="preserve">Paksas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Tomenko</w:t>
      </w:r>
      <w:r>
        <w:rPr>
          <w:rFonts w:ascii="Calibri" w:cs="Calibri" w:eastAsia="Calibri" w:hAnsi="Calibri"/>
          <w:color w:val="1A1A1A"/>
          <w:sz w:val="20"/>
          <w:szCs w:val="20"/>
        </w:rPr>
        <w:t xml:space="preserve">, inéligibilités) / </w:t>
      </w:r>
      <w:r>
        <w:rPr>
          <w:rFonts w:ascii="Calibri" w:cs="Calibri" w:eastAsia="Calibri" w:hAnsi="Calibri"/>
          <w:b/>
          <w:bCs/>
          <w:color w:val="1A1A1A"/>
          <w:sz w:val="20"/>
          <w:szCs w:val="20"/>
        </w:rPr>
        <w:t xml:space="preserve">II. Une garantie de la démocratie</w:t>
      </w:r>
      <w:r>
        <w:rPr>
          <w:rFonts w:ascii="Calibri" w:cs="Calibri" w:eastAsia="Calibri" w:hAnsi="Calibri"/>
          <w:color w:val="1A1A1A"/>
          <w:sz w:val="20"/>
          <w:szCs w:val="20"/>
        </w:rPr>
        <w:t xml:space="preserve"> (A. Les caractères du suffrage : égalité, secret, sincérité, périodicité — </w:t>
      </w:r>
      <w:r>
        <w:rPr>
          <w:rFonts w:ascii="Calibri" w:cs="Calibri" w:eastAsia="Calibri" w:hAnsi="Calibri"/>
          <w:color w:val="E91E63"/>
          <w:sz w:val="20"/>
          <w:szCs w:val="20"/>
        </w:rPr>
        <w:t xml:space="preserve">90-280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2013-667 DC</w:t>
      </w:r>
      <w:r>
        <w:rPr>
          <w:rFonts w:ascii="Calibri" w:cs="Calibri" w:eastAsia="Calibri" w:hAnsi="Calibri"/>
          <w:color w:val="1A1A1A"/>
          <w:sz w:val="20"/>
          <w:szCs w:val="20"/>
        </w:rPr>
        <w:t xml:space="preserve"> ; B. Le juge de l’élection : contentieux, comptes de campagne, </w:t>
      </w:r>
      <w:r>
        <w:rPr>
          <w:rFonts w:ascii="Calibri" w:cs="Calibri" w:eastAsia="Calibri" w:hAnsi="Calibri"/>
          <w:color w:val="E91E63"/>
          <w:sz w:val="20"/>
          <w:szCs w:val="20"/>
        </w:rPr>
        <w:t xml:space="preserve">Mugemangango c. Belgique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juge et l’élu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La légitimité du contrôle</w:t>
      </w:r>
      <w:r>
        <w:rPr>
          <w:rFonts w:ascii="Calibri" w:cs="Calibri" w:eastAsia="Calibri" w:hAnsi="Calibri"/>
          <w:color w:val="1A1A1A"/>
          <w:sz w:val="20"/>
          <w:szCs w:val="20"/>
        </w:rPr>
        <w:t xml:space="preserve"> (A. L’égalité devant la loi pénale (</w:t>
      </w:r>
      <w:r>
        <w:rPr>
          <w:rFonts w:ascii="Calibri" w:cs="Calibri" w:eastAsia="Calibri" w:hAnsi="Calibri"/>
          <w:color w:val="1E88E5"/>
          <w:sz w:val="20"/>
          <w:szCs w:val="20"/>
        </w:rPr>
        <w:t xml:space="preserve">art. 6 DDHC</w:t>
      </w:r>
      <w:r>
        <w:rPr>
          <w:rFonts w:ascii="Calibri" w:cs="Calibri" w:eastAsia="Calibri" w:hAnsi="Calibri"/>
          <w:color w:val="1A1A1A"/>
          <w:sz w:val="20"/>
          <w:szCs w:val="20"/>
        </w:rPr>
        <w:t xml:space="preserve">) et la probité : inéligibilité obligatoire (</w:t>
      </w:r>
      <w:r>
        <w:rPr>
          <w:rFonts w:ascii="Calibri" w:cs="Calibri" w:eastAsia="Calibri" w:hAnsi="Calibri"/>
          <w:color w:val="1E88E5"/>
          <w:sz w:val="20"/>
          <w:szCs w:val="20"/>
        </w:rPr>
        <w:t xml:space="preserve">art. 131-26-2 C. pén.</w:t>
      </w:r>
      <w:r>
        <w:rPr>
          <w:rFonts w:ascii="Calibri" w:cs="Calibri" w:eastAsia="Calibri" w:hAnsi="Calibri"/>
          <w:color w:val="1A1A1A"/>
          <w:sz w:val="20"/>
          <w:szCs w:val="20"/>
        </w:rPr>
        <w:t xml:space="preserve">) ; B. Les garanties européennes : </w:t>
      </w:r>
      <w:r>
        <w:rPr>
          <w:rFonts w:ascii="Calibri" w:cs="Calibri" w:eastAsia="Calibri" w:hAnsi="Calibri"/>
          <w:color w:val="E91E63"/>
          <w:sz w:val="20"/>
          <w:szCs w:val="20"/>
        </w:rPr>
        <w:t xml:space="preserve">Paksas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Ždanoka</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Les limites du contrôle</w:t>
      </w:r>
      <w:r>
        <w:rPr>
          <w:rFonts w:ascii="Calibri" w:cs="Calibri" w:eastAsia="Calibri" w:hAnsi="Calibri"/>
          <w:color w:val="1A1A1A"/>
          <w:sz w:val="20"/>
          <w:szCs w:val="20"/>
        </w:rPr>
        <w:t xml:space="preserve"> (A. La liberté de l’électeur : </w:t>
      </w:r>
      <w:r>
        <w:rPr>
          <w:rFonts w:ascii="Calibri" w:cs="Calibri" w:eastAsia="Calibri" w:hAnsi="Calibri"/>
          <w:color w:val="E91E63"/>
          <w:sz w:val="20"/>
          <w:szCs w:val="20"/>
        </w:rPr>
        <w:t xml:space="preserve">2025-1129 QPC</w:t>
      </w:r>
      <w:r>
        <w:rPr>
          <w:rFonts w:ascii="Calibri" w:cs="Calibri" w:eastAsia="Calibri" w:hAnsi="Calibri"/>
          <w:color w:val="1A1A1A"/>
          <w:sz w:val="20"/>
          <w:szCs w:val="20"/>
        </w:rPr>
        <w:t xml:space="preserve">, affaire des assistants parlementaires, CA Paris 7 juillet 2026 ; B. La protection du mandat contre les partis et l’arbitraire : </w:t>
      </w:r>
      <w:r>
        <w:rPr>
          <w:rFonts w:ascii="Calibri" w:cs="Calibri" w:eastAsia="Calibri" w:hAnsi="Calibri"/>
          <w:color w:val="E91E63"/>
          <w:sz w:val="20"/>
          <w:szCs w:val="20"/>
        </w:rPr>
        <w:t xml:space="preserve">Tomenko</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Selim Sadak</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Actif ≠ passif</w:t>
      </w:r>
      <w:r>
        <w:rPr>
          <w:rFonts w:ascii="Calibri" w:cs="Calibri" w:eastAsia="Calibri" w:hAnsi="Calibri"/>
          <w:color w:val="1A1A1A"/>
          <w:sz w:val="20"/>
          <w:szCs w:val="20"/>
        </w:rPr>
        <w:t xml:space="preserve"> : dans la terminologie européenne, le </w:t>
      </w:r>
      <w:r>
        <w:rPr>
          <w:rFonts w:ascii="Calibri" w:cs="Calibri" w:eastAsia="Calibri" w:hAnsi="Calibri"/>
          <w:b/>
          <w:bCs/>
          <w:color w:val="1A1A1A"/>
          <w:sz w:val="20"/>
          <w:szCs w:val="20"/>
        </w:rPr>
        <w:t xml:space="preserve">droit de vote</w:t>
      </w:r>
      <w:r>
        <w:rPr>
          <w:rFonts w:ascii="Calibri" w:cs="Calibri" w:eastAsia="Calibri" w:hAnsi="Calibri"/>
          <w:color w:val="1A1A1A"/>
          <w:sz w:val="20"/>
          <w:szCs w:val="20"/>
        </w:rPr>
        <w:t xml:space="preserve"> est l’aspect </w:t>
      </w:r>
      <w:r>
        <w:rPr>
          <w:rFonts w:ascii="Calibri" w:cs="Calibri" w:eastAsia="Calibri" w:hAnsi="Calibri"/>
          <w:b/>
          <w:bCs/>
          <w:color w:val="1A1A1A"/>
          <w:sz w:val="20"/>
          <w:szCs w:val="20"/>
        </w:rPr>
        <w:t xml:space="preserve">actif</w:t>
      </w:r>
      <w:r>
        <w:rPr>
          <w:rFonts w:ascii="Calibri" w:cs="Calibri" w:eastAsia="Calibri" w:hAnsi="Calibri"/>
          <w:color w:val="1A1A1A"/>
          <w:sz w:val="20"/>
          <w:szCs w:val="20"/>
        </w:rPr>
        <w:t xml:space="preserve"> et le </w:t>
      </w:r>
      <w:r>
        <w:rPr>
          <w:rFonts w:ascii="Calibri" w:cs="Calibri" w:eastAsia="Calibri" w:hAnsi="Calibri"/>
          <w:b/>
          <w:bCs/>
          <w:color w:val="1A1A1A"/>
          <w:sz w:val="20"/>
          <w:szCs w:val="20"/>
        </w:rPr>
        <w:t xml:space="preserve">droit d’éligibilité</w:t>
      </w:r>
      <w:r>
        <w:rPr>
          <w:rFonts w:ascii="Calibri" w:cs="Calibri" w:eastAsia="Calibri" w:hAnsi="Calibri"/>
          <w:color w:val="1A1A1A"/>
          <w:sz w:val="20"/>
          <w:szCs w:val="20"/>
        </w:rPr>
        <w:t xml:space="preserve"> l’aspect </w:t>
      </w:r>
      <w:r>
        <w:rPr>
          <w:rFonts w:ascii="Calibri" w:cs="Calibri" w:eastAsia="Calibri" w:hAnsi="Calibri"/>
          <w:b/>
          <w:bCs/>
          <w:color w:val="1A1A1A"/>
          <w:sz w:val="20"/>
          <w:szCs w:val="20"/>
        </w:rPr>
        <w:t xml:space="preserve">passif</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Mathieu-Mohin</w:t>
      </w:r>
      <w:r>
        <w:rPr>
          <w:rFonts w:ascii="Calibri" w:cs="Calibri" w:eastAsia="Calibri" w:hAnsi="Calibri"/>
          <w:color w:val="1A1A1A"/>
          <w:sz w:val="20"/>
          <w:szCs w:val="20"/>
        </w:rPr>
        <w:t xml:space="preserve">) — le fascicule inverse les deux.</w:t>
      </w:r>
    </w:p>
    <w:p>
      <w:pPr>
        <w:pStyle w:val="ListParagraph"/>
        <w:numPr>
          <w:ilvl w:val="0"/>
          <w:numId w:val="2"/>
        </w:numPr>
        <w:spacing w:after="70" w:line="264"/>
        <w:jc w:val="both"/>
      </w:pPr>
      <w:r>
        <w:rPr>
          <w:rFonts w:ascii="Calibri" w:cs="Calibri" w:eastAsia="Calibri" w:hAnsi="Calibri"/>
          <w:b/>
          <w:bCs/>
          <w:color w:val="1A1A1A"/>
          <w:sz w:val="20"/>
          <w:szCs w:val="20"/>
        </w:rPr>
        <w:t xml:space="preserve">Inéligibilité ≠ incompatibilité</w:t>
      </w:r>
      <w:r>
        <w:rPr>
          <w:rFonts w:ascii="Calibri" w:cs="Calibri" w:eastAsia="Calibri" w:hAnsi="Calibri"/>
          <w:color w:val="1A1A1A"/>
          <w:sz w:val="20"/>
          <w:szCs w:val="20"/>
        </w:rPr>
        <w:t xml:space="preserve"> : l’inéligibilité empêche d’être élu (nullité de l’élection ; </w:t>
      </w:r>
      <w:r>
        <w:rPr>
          <w:rFonts w:ascii="Calibri" w:cs="Calibri" w:eastAsia="Calibri" w:hAnsi="Calibri"/>
          <w:color w:val="1E88E5"/>
          <w:sz w:val="20"/>
          <w:szCs w:val="20"/>
        </w:rPr>
        <w:t xml:space="preserve">art. LO 127 et s. C. élect.</w:t>
      </w:r>
      <w:r>
        <w:rPr>
          <w:rFonts w:ascii="Calibri" w:cs="Calibri" w:eastAsia="Calibri" w:hAnsi="Calibri"/>
          <w:color w:val="1A1A1A"/>
          <w:sz w:val="20"/>
          <w:szCs w:val="20"/>
        </w:rPr>
        <w:t xml:space="preserve">) ; l’incompatibilité empêche de cumuler le mandat avec une fonction et oblige à choisir (</w:t>
      </w:r>
      <w:r>
        <w:rPr>
          <w:rFonts w:ascii="Calibri" w:cs="Calibri" w:eastAsia="Calibri" w:hAnsi="Calibri"/>
          <w:color w:val="1E88E5"/>
          <w:sz w:val="20"/>
          <w:szCs w:val="20"/>
        </w:rPr>
        <w:t xml:space="preserve">art. LO 137 et 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Âge des sénateurs : 24 ans</w:t>
      </w:r>
      <w:r>
        <w:rPr>
          <w:rFonts w:ascii="Calibri" w:cs="Calibri" w:eastAsia="Calibri" w:hAnsi="Calibri"/>
          <w:color w:val="1A1A1A"/>
          <w:sz w:val="20"/>
          <w:szCs w:val="20"/>
        </w:rPr>
        <w:t xml:space="preserve"> depuis la </w:t>
      </w:r>
      <w:r>
        <w:rPr>
          <w:rFonts w:ascii="Calibri" w:cs="Calibri" w:eastAsia="Calibri" w:hAnsi="Calibri"/>
          <w:color w:val="1E88E5"/>
          <w:sz w:val="20"/>
          <w:szCs w:val="20"/>
        </w:rPr>
        <w:t xml:space="preserve">loi organique du 14 avril 2011</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LO 296</w:t>
      </w:r>
      <w:r>
        <w:rPr>
          <w:rFonts w:ascii="Calibri" w:cs="Calibri" w:eastAsia="Calibri" w:hAnsi="Calibri"/>
          <w:color w:val="1A1A1A"/>
          <w:sz w:val="20"/>
          <w:szCs w:val="20"/>
        </w:rPr>
        <w:t xml:space="preserve">), non 23 ans ; 18 ans pour les autres mandats.</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21 DUDH</w:t>
      </w:r>
      <w:r>
        <w:rPr>
          <w:rFonts w:ascii="Calibri" w:cs="Calibri" w:eastAsia="Calibri" w:hAnsi="Calibri"/>
          <w:color w:val="1A1A1A"/>
          <w:sz w:val="20"/>
          <w:szCs w:val="20"/>
        </w:rPr>
        <w:t xml:space="preserve"> (élections honnêtes, périodiques, au suffrage universel égal et au vote secret) ; </w:t>
      </w:r>
      <w:r>
        <w:rPr>
          <w:rFonts w:ascii="Calibri" w:cs="Calibri" w:eastAsia="Calibri" w:hAnsi="Calibri"/>
          <w:color w:val="1E88E5"/>
          <w:sz w:val="20"/>
          <w:szCs w:val="20"/>
        </w:rPr>
        <w:t xml:space="preserve">art. 25 PIDCP</w:t>
      </w:r>
      <w:r>
        <w:rPr>
          <w:rFonts w:ascii="Calibri" w:cs="Calibri" w:eastAsia="Calibri" w:hAnsi="Calibri"/>
          <w:color w:val="1A1A1A"/>
          <w:sz w:val="20"/>
          <w:szCs w:val="20"/>
        </w:rPr>
        <w:t xml:space="preserve"> (participer à la direction des affaires publiques, voter et être élu, accéder aux fonctions publiques) ; </w:t>
      </w:r>
      <w:r>
        <w:rPr>
          <w:rFonts w:ascii="Calibri" w:cs="Calibri" w:eastAsia="Calibri" w:hAnsi="Calibri"/>
          <w:color w:val="1E88E5"/>
          <w:sz w:val="20"/>
          <w:szCs w:val="20"/>
        </w:rPr>
        <w:t xml:space="preserve">Observation générale n° 25 (1996)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 Prot. 1</w:t>
      </w:r>
      <w:r>
        <w:rPr>
          <w:rFonts w:ascii="Calibri" w:cs="Calibri" w:eastAsia="Calibri" w:hAnsi="Calibri"/>
          <w:color w:val="1A1A1A"/>
          <w:sz w:val="20"/>
          <w:szCs w:val="20"/>
        </w:rPr>
        <w:t xml:space="preserve"> — limité au « corps législatif », notion appréciée selon la structure constitutionnelle de l’État et qui inclut le </w:t>
      </w:r>
      <w:r>
        <w:rPr>
          <w:rFonts w:ascii="Calibri" w:cs="Calibri" w:eastAsia="Calibri" w:hAnsi="Calibri"/>
          <w:b/>
          <w:bCs/>
          <w:color w:val="1A1A1A"/>
          <w:sz w:val="20"/>
          <w:szCs w:val="20"/>
        </w:rPr>
        <w:t xml:space="preserve">Parlement européen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18 février 1999, Matthews c. Royaume-Uni</w:t>
      </w:r>
      <w:r>
        <w:rPr>
          <w:rFonts w:ascii="Calibri" w:cs="Calibri" w:eastAsia="Calibri" w:hAnsi="Calibri"/>
          <w:color w:val="1A1A1A"/>
          <w:sz w:val="20"/>
          <w:szCs w:val="20"/>
        </w:rPr>
        <w:t xml:space="preserve">) ; ne vise ni l’élection présidentielle ni, en principe, les élections locales et les référendums. </w:t>
      </w:r>
      <w:r>
        <w:rPr>
          <w:rFonts w:ascii="Calibri" w:cs="Calibri" w:eastAsia="Calibri" w:hAnsi="Calibri"/>
          <w:color w:val="1E88E5"/>
          <w:sz w:val="20"/>
          <w:szCs w:val="20"/>
        </w:rPr>
        <w:t xml:space="preserve">Code de bonne conduite en matière électorale de la Commission de Venise (2002)</w:t>
      </w:r>
      <w:r>
        <w:rPr>
          <w:rFonts w:ascii="Calibri" w:cs="Calibri" w:eastAsia="Calibri" w:hAnsi="Calibri"/>
          <w:color w:val="1A1A1A"/>
          <w:sz w:val="20"/>
          <w:szCs w:val="20"/>
        </w:rPr>
        <w:t xml:space="preserve">. Union : </w:t>
      </w:r>
      <w:r>
        <w:rPr>
          <w:rFonts w:ascii="Calibri" w:cs="Calibri" w:eastAsia="Calibri" w:hAnsi="Calibri"/>
          <w:color w:val="1E88E5"/>
          <w:sz w:val="20"/>
          <w:szCs w:val="20"/>
        </w:rPr>
        <w:t xml:space="preserve">art. 22 TFUE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39 et 40 CDFUE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 al. 5</w:t>
      </w:r>
      <w:r>
        <w:rPr>
          <w:rFonts w:ascii="Calibri" w:cs="Calibri" w:eastAsia="Calibri" w:hAnsi="Calibri"/>
          <w:color w:val="1A1A1A"/>
          <w:sz w:val="20"/>
          <w:szCs w:val="20"/>
        </w:rPr>
        <w:t xml:space="preserve"> (« gouvernement du peuple, par le peuple et pour le peuple ») ;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(souveraineté nationale, suffrage universel, égal et secret, électeurs nationaux majeurs ; parité, </w:t>
      </w:r>
      <w:r>
        <w:rPr>
          <w:rFonts w:ascii="Calibri" w:cs="Calibri" w:eastAsia="Calibri" w:hAnsi="Calibri"/>
          <w:color w:val="1E88E5"/>
          <w:sz w:val="20"/>
          <w:szCs w:val="20"/>
        </w:rPr>
        <w:t xml:space="preserve">art. 1er al. 2</w:t>
      </w:r>
      <w:r>
        <w:rPr>
          <w:rFonts w:ascii="Calibri" w:cs="Calibri" w:eastAsia="Calibri" w:hAnsi="Calibri"/>
          <w:color w:val="1A1A1A"/>
          <w:sz w:val="20"/>
          <w:szCs w:val="20"/>
        </w:rPr>
        <w:t xml:space="preserve"> depuis 2008) ; </w:t>
      </w:r>
      <w:r>
        <w:rPr>
          <w:rFonts w:ascii="Calibri" w:cs="Calibri" w:eastAsia="Calibri" w:hAnsi="Calibri"/>
          <w:color w:val="1E88E5"/>
          <w:sz w:val="20"/>
          <w:szCs w:val="20"/>
        </w:rPr>
        <w:t xml:space="preserve">art. 4</w:t>
      </w:r>
      <w:r>
        <w:rPr>
          <w:rFonts w:ascii="Calibri" w:cs="Calibri" w:eastAsia="Calibri" w:hAnsi="Calibri"/>
          <w:color w:val="1A1A1A"/>
          <w:sz w:val="20"/>
          <w:szCs w:val="20"/>
        </w:rPr>
        <w:t xml:space="preserve"> (partis) ; </w:t>
      </w:r>
      <w:r>
        <w:rPr>
          <w:rFonts w:ascii="Calibri" w:cs="Calibri" w:eastAsia="Calibri" w:hAnsi="Calibri"/>
          <w:color w:val="1E88E5"/>
          <w:sz w:val="20"/>
          <w:szCs w:val="20"/>
        </w:rPr>
        <w:t xml:space="preserve">art. 6 DDHC</w:t>
      </w:r>
      <w:r>
        <w:rPr>
          <w:rFonts w:ascii="Calibri" w:cs="Calibri" w:eastAsia="Calibri" w:hAnsi="Calibri"/>
          <w:color w:val="1A1A1A"/>
          <w:sz w:val="20"/>
          <w:szCs w:val="20"/>
        </w:rPr>
        <w:t xml:space="preserve"> (égal accès aux dignités, places et emplois publics, fondement de l’éligibilité) ; </w:t>
      </w:r>
      <w:r>
        <w:rPr>
          <w:rFonts w:ascii="Calibri" w:cs="Calibri" w:eastAsia="Calibri" w:hAnsi="Calibri"/>
          <w:color w:val="1E88E5"/>
          <w:sz w:val="20"/>
          <w:szCs w:val="20"/>
        </w:rPr>
        <w:t xml:space="preserve">art. 88-3</w:t>
      </w:r>
      <w:r>
        <w:rPr>
          <w:rFonts w:ascii="Calibri" w:cs="Calibri" w:eastAsia="Calibri" w:hAnsi="Calibri"/>
          <w:color w:val="1A1A1A"/>
          <w:sz w:val="20"/>
          <w:szCs w:val="20"/>
        </w:rPr>
        <w:t xml:space="preserve"> (citoyens de l’Union aux municipales) ; </w:t>
      </w:r>
      <w:r>
        <w:rPr>
          <w:rFonts w:ascii="Calibri" w:cs="Calibri" w:eastAsia="Calibri" w:hAnsi="Calibri"/>
          <w:color w:val="1E88E5"/>
          <w:sz w:val="20"/>
          <w:szCs w:val="20"/>
        </w:rPr>
        <w:t xml:space="preserve">art. 34</w:t>
      </w:r>
      <w:r>
        <w:rPr>
          <w:rFonts w:ascii="Calibri" w:cs="Calibri" w:eastAsia="Calibri" w:hAnsi="Calibri"/>
          <w:color w:val="1A1A1A"/>
          <w:sz w:val="20"/>
          <w:szCs w:val="20"/>
        </w:rPr>
        <w:t xml:space="preserve"> (régime électoral des assemblées).</w:t>
      </w:r>
    </w:p>
    <w:p>
      <w:pPr>
        <w:pStyle w:val="ListParagraph"/>
        <w:numPr>
          <w:ilvl w:val="0"/>
          <w:numId w:val="2"/>
        </w:numPr>
        <w:spacing w:after="70" w:line="264"/>
        <w:jc w:val="both"/>
      </w:pPr>
      <w:r>
        <w:rPr>
          <w:rFonts w:ascii="Calibri" w:cs="Calibri" w:eastAsia="Calibri" w:hAnsi="Calibri"/>
          <w:b/>
          <w:bCs/>
          <w:color w:val="1A1A1A"/>
          <w:sz w:val="20"/>
          <w:szCs w:val="20"/>
        </w:rPr>
        <w:t xml:space="preserve">Contentieux électoral</w:t>
      </w:r>
      <w:r>
        <w:rPr>
          <w:rFonts w:ascii="Calibri" w:cs="Calibri" w:eastAsia="Calibri" w:hAnsi="Calibri"/>
          <w:color w:val="1A1A1A"/>
          <w:sz w:val="20"/>
          <w:szCs w:val="20"/>
        </w:rPr>
        <w:t xml:space="preserve"> : Conseil constitutionnel pour l’élection présidentielle (</w:t>
      </w:r>
      <w:r>
        <w:rPr>
          <w:rFonts w:ascii="Calibri" w:cs="Calibri" w:eastAsia="Calibri" w:hAnsi="Calibri"/>
          <w:color w:val="1E88E5"/>
          <w:sz w:val="20"/>
          <w:szCs w:val="20"/>
        </w:rPr>
        <w:t xml:space="preserve">art. 58</w:t>
      </w:r>
      <w:r>
        <w:rPr>
          <w:rFonts w:ascii="Calibri" w:cs="Calibri" w:eastAsia="Calibri" w:hAnsi="Calibri"/>
          <w:color w:val="1A1A1A"/>
          <w:sz w:val="20"/>
          <w:szCs w:val="20"/>
        </w:rPr>
        <w:t xml:space="preserve">), les élections législatives et sénatoriales (</w:t>
      </w:r>
      <w:r>
        <w:rPr>
          <w:rFonts w:ascii="Calibri" w:cs="Calibri" w:eastAsia="Calibri" w:hAnsi="Calibri"/>
          <w:color w:val="1E88E5"/>
          <w:sz w:val="20"/>
          <w:szCs w:val="20"/>
        </w:rPr>
        <w:t xml:space="preserve">art. 59</w:t>
      </w:r>
      <w:r>
        <w:rPr>
          <w:rFonts w:ascii="Calibri" w:cs="Calibri" w:eastAsia="Calibri" w:hAnsi="Calibri"/>
          <w:color w:val="1A1A1A"/>
          <w:sz w:val="20"/>
          <w:szCs w:val="20"/>
        </w:rPr>
        <w:t xml:space="preserve">) et les référendums (</w:t>
      </w:r>
      <w:r>
        <w:rPr>
          <w:rFonts w:ascii="Calibri" w:cs="Calibri" w:eastAsia="Calibri" w:hAnsi="Calibri"/>
          <w:color w:val="1E88E5"/>
          <w:sz w:val="20"/>
          <w:szCs w:val="20"/>
        </w:rPr>
        <w:t xml:space="preserve">art. 60</w:t>
      </w:r>
      <w:r>
        <w:rPr>
          <w:rFonts w:ascii="Calibri" w:cs="Calibri" w:eastAsia="Calibri" w:hAnsi="Calibri"/>
          <w:color w:val="1A1A1A"/>
          <w:sz w:val="20"/>
          <w:szCs w:val="20"/>
        </w:rPr>
        <w:t xml:space="preserve">) ; tribunal administratif puis Conseil d’État pour les élections municipales et départementales ; Conseil d’État en premier et dernier ressort pour les régionales et les européennes. Critère : l’irrégularité a-t-elle pu </w:t>
      </w:r>
      <w:r>
        <w:rPr>
          <w:rFonts w:ascii="Calibri" w:cs="Calibri" w:eastAsia="Calibri" w:hAnsi="Calibri"/>
          <w:b/>
          <w:bCs/>
          <w:color w:val="1A1A1A"/>
          <w:sz w:val="20"/>
          <w:szCs w:val="20"/>
        </w:rPr>
        <w:t xml:space="preserve">altérer la sincérité</w:t>
      </w:r>
      <w:r>
        <w:rPr>
          <w:rFonts w:ascii="Calibri" w:cs="Calibri" w:eastAsia="Calibri" w:hAnsi="Calibri"/>
          <w:color w:val="1A1A1A"/>
          <w:sz w:val="20"/>
          <w:szCs w:val="20"/>
        </w:rPr>
        <w:t xml:space="preserve"> du scrutin, compte tenu de l’écart de voix ?</w:t>
      </w:r>
    </w:p>
    <w:p>
      <w:pPr>
        <w:pStyle w:val="Heading2"/>
        <w:spacing w:after="120" w:before="280"/>
      </w:pPr>
      <w:r>
        <w:rPr>
          <w:rFonts w:ascii="Calibri" w:cs="Calibri" w:eastAsia="Calibri" w:hAnsi="Calibri"/>
          <w:b/>
          <w:bCs/>
          <w:color w:val="1A1A1A"/>
          <w:sz w:val="24"/>
          <w:szCs w:val="24"/>
        </w:rPr>
        <w:t xml:space="preserve">2. Le droit de vote (aspect actif)</w:t>
      </w:r>
    </w:p>
    <w:p>
      <w:pPr>
        <w:pStyle w:val="Heading3"/>
        <w:spacing w:after="90" w:before="200"/>
      </w:pPr>
      <w:r>
        <w:rPr>
          <w:rFonts w:ascii="Calibri" w:cs="Calibri" w:eastAsia="Calibri" w:hAnsi="Calibri"/>
          <w:b/>
          <w:bCs/>
          <w:i/>
          <w:iCs/>
          <w:color w:val="5A5A5A"/>
          <w:sz w:val="21"/>
          <w:szCs w:val="21"/>
        </w:rPr>
        <w:t xml:space="preserve">2.1. Conditions</w:t>
      </w:r>
    </w:p>
    <w:p>
      <w:pPr>
        <w:pStyle w:val="ListParagraph"/>
        <w:numPr>
          <w:ilvl w:val="0"/>
          <w:numId w:val="2"/>
        </w:numPr>
        <w:spacing w:after="70" w:line="264"/>
        <w:jc w:val="both"/>
      </w:pPr>
      <w:r>
        <w:rPr>
          <w:rFonts w:ascii="Calibri" w:cs="Calibri" w:eastAsia="Calibri" w:hAnsi="Calibri"/>
          <w:b/>
          <w:bCs/>
          <w:color w:val="1A1A1A"/>
          <w:sz w:val="20"/>
          <w:szCs w:val="20"/>
        </w:rPr>
        <w:t xml:space="preserve">Nationalité</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majorité</w:t>
      </w:r>
      <w:r>
        <w:rPr>
          <w:rFonts w:ascii="Calibri" w:cs="Calibri" w:eastAsia="Calibri" w:hAnsi="Calibri"/>
          <w:color w:val="1A1A1A"/>
          <w:sz w:val="20"/>
          <w:szCs w:val="20"/>
        </w:rPr>
        <w:t xml:space="preserve"> à 18 ans (</w:t>
      </w:r>
      <w:r>
        <w:rPr>
          <w:rFonts w:ascii="Calibri" w:cs="Calibri" w:eastAsia="Calibri" w:hAnsi="Calibri"/>
          <w:color w:val="1E88E5"/>
          <w:sz w:val="20"/>
          <w:szCs w:val="20"/>
        </w:rPr>
        <w:t xml:space="preserve">loi du 5 juillet 1974</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inscription</w:t>
      </w:r>
      <w:r>
        <w:rPr>
          <w:rFonts w:ascii="Calibri" w:cs="Calibri" w:eastAsia="Calibri" w:hAnsi="Calibri"/>
          <w:color w:val="1A1A1A"/>
          <w:sz w:val="20"/>
          <w:szCs w:val="20"/>
        </w:rPr>
        <w:t xml:space="preserve"> sur les listes — d’office pour les jeunes majeurs (</w:t>
      </w:r>
      <w:r>
        <w:rPr>
          <w:rFonts w:ascii="Calibri" w:cs="Calibri" w:eastAsia="Calibri" w:hAnsi="Calibri"/>
          <w:color w:val="1E88E5"/>
          <w:sz w:val="20"/>
          <w:szCs w:val="20"/>
        </w:rPr>
        <w:t xml:space="preserve">loi du 10 novembre 1997</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répertoire électoral unique</w:t>
      </w:r>
      <w:r>
        <w:rPr>
          <w:rFonts w:ascii="Calibri" w:cs="Calibri" w:eastAsia="Calibri" w:hAnsi="Calibri"/>
          <w:color w:val="1A1A1A"/>
          <w:sz w:val="20"/>
          <w:szCs w:val="20"/>
        </w:rPr>
        <w:t xml:space="preserve"> tenu par l’Insee depuis 2019 (</w:t>
      </w:r>
      <w:r>
        <w:rPr>
          <w:rFonts w:ascii="Calibri" w:cs="Calibri" w:eastAsia="Calibri" w:hAnsi="Calibri"/>
          <w:color w:val="1E88E5"/>
          <w:sz w:val="20"/>
          <w:szCs w:val="20"/>
        </w:rPr>
        <w:t xml:space="preserve">loi du 1er août 2016</w:t>
      </w:r>
      <w:r>
        <w:rPr>
          <w:rFonts w:ascii="Calibri" w:cs="Calibri" w:eastAsia="Calibri" w:hAnsi="Calibri"/>
          <w:color w:val="1A1A1A"/>
          <w:sz w:val="20"/>
          <w:szCs w:val="20"/>
        </w:rPr>
        <w:t xml:space="preserve">), le maire statuant sur les inscriptions sous le contrôle d’une commission de contrôle (le fascicule décrit l’ancienne commission administrative de révision annuelle) ; attache avec la commune (domicile, résidence de six mois, contribuable depuis deux ans).</w:t>
      </w:r>
    </w:p>
    <w:p>
      <w:pPr>
        <w:pStyle w:val="ListParagraph"/>
        <w:numPr>
          <w:ilvl w:val="0"/>
          <w:numId w:val="2"/>
        </w:numPr>
        <w:spacing w:after="70" w:line="264"/>
        <w:jc w:val="both"/>
      </w:pPr>
      <w:r>
        <w:rPr>
          <w:rFonts w:ascii="Calibri" w:cs="Calibri" w:eastAsia="Calibri" w:hAnsi="Calibri"/>
          <w:b/>
          <w:bCs/>
          <w:color w:val="1A1A1A"/>
          <w:sz w:val="20"/>
          <w:szCs w:val="20"/>
        </w:rPr>
        <w:t xml:space="preserve">Citoyens de l’Union</w:t>
      </w:r>
      <w:r>
        <w:rPr>
          <w:rFonts w:ascii="Calibri" w:cs="Calibri" w:eastAsia="Calibri" w:hAnsi="Calibri"/>
          <w:color w:val="1A1A1A"/>
          <w:sz w:val="20"/>
          <w:szCs w:val="20"/>
        </w:rPr>
        <w:t xml:space="preserve"> : vote et éligibilité aux municipales et européennes (traité de Maastricht ; </w:t>
      </w:r>
      <w:r>
        <w:rPr>
          <w:rFonts w:ascii="Calibri" w:cs="Calibri" w:eastAsia="Calibri" w:hAnsi="Calibri"/>
          <w:color w:val="1E88E5"/>
          <w:sz w:val="20"/>
          <w:szCs w:val="20"/>
        </w:rPr>
        <w:t xml:space="preserve">art. 88-3 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92-308 DC, 9 avril 1992</w:t>
      </w:r>
      <w:r>
        <w:rPr>
          <w:rFonts w:ascii="Calibri" w:cs="Calibri" w:eastAsia="Calibri" w:hAnsi="Calibri"/>
          <w:color w:val="1A1A1A"/>
          <w:sz w:val="20"/>
          <w:szCs w:val="20"/>
        </w:rPr>
        <w:t xml:space="preserve">) — sans pouvoir être maire ou adjoint, ni participer à l’élection des sénateurs.</w:t>
      </w:r>
    </w:p>
    <w:p>
      <w:pPr>
        <w:pStyle w:val="Heading3"/>
        <w:spacing w:after="90" w:before="200"/>
      </w:pPr>
      <w:r>
        <w:rPr>
          <w:rFonts w:ascii="Calibri" w:cs="Calibri" w:eastAsia="Calibri" w:hAnsi="Calibri"/>
          <w:b/>
          <w:bCs/>
          <w:i/>
          <w:iCs/>
          <w:color w:val="5A5A5A"/>
          <w:sz w:val="21"/>
          <w:szCs w:val="21"/>
        </w:rPr>
        <w:t xml:space="preserve">2.2. Privations et restrictions</w:t>
      </w:r>
    </w:p>
    <w:p>
      <w:pPr>
        <w:pStyle w:val="ListParagraph"/>
        <w:numPr>
          <w:ilvl w:val="0"/>
          <w:numId w:val="2"/>
        </w:numPr>
        <w:spacing w:after="70" w:line="264"/>
        <w:jc w:val="both"/>
      </w:pPr>
      <w:r>
        <w:rPr>
          <w:rFonts w:ascii="Calibri" w:cs="Calibri" w:eastAsia="Calibri" w:hAnsi="Calibri"/>
          <w:b/>
          <w:bCs/>
          <w:color w:val="1A1A1A"/>
          <w:sz w:val="20"/>
          <w:szCs w:val="20"/>
        </w:rPr>
        <w:t xml:space="preserve">Détenus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Hirst (n° 2)</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Scoppola (n° 3)</w:t>
      </w:r>
      <w:r>
        <w:rPr>
          <w:rFonts w:ascii="Calibri" w:cs="Calibri" w:eastAsia="Calibri" w:hAnsi="Calibri"/>
          <w:color w:val="1A1A1A"/>
          <w:sz w:val="20"/>
          <w:szCs w:val="20"/>
        </w:rPr>
        <w:t xml:space="preserve"> (privation proportionnée à la gravité de l’infraction et prévue par la loi) ; en France, privation des droits civiques seulement par peine complémentaire prononcée par le juge (</w:t>
      </w:r>
      <w:r>
        <w:rPr>
          <w:rFonts w:ascii="Calibri" w:cs="Calibri" w:eastAsia="Calibri" w:hAnsi="Calibri"/>
          <w:color w:val="1E88E5"/>
          <w:sz w:val="20"/>
          <w:szCs w:val="20"/>
        </w:rPr>
        <w:t xml:space="preserve">art. 131-26 C. pén.</w:t>
      </w:r>
      <w:r>
        <w:rPr>
          <w:rFonts w:ascii="Calibri" w:cs="Calibri" w:eastAsia="Calibri" w:hAnsi="Calibri"/>
          <w:color w:val="1A1A1A"/>
          <w:sz w:val="20"/>
          <w:szCs w:val="20"/>
        </w:rPr>
        <w:t xml:space="preserve">) ; censure de l’incapacité automatique (</w:t>
      </w:r>
      <w:r>
        <w:rPr>
          <w:rFonts w:ascii="Calibri" w:cs="Calibri" w:eastAsia="Calibri" w:hAnsi="Calibri"/>
          <w:color w:val="E91E63"/>
          <w:sz w:val="20"/>
          <w:szCs w:val="20"/>
        </w:rPr>
        <w:t xml:space="preserve">2010-6/7 QPC</w:t>
      </w:r>
      <w:r>
        <w:rPr>
          <w:rFonts w:ascii="Calibri" w:cs="Calibri" w:eastAsia="Calibri" w:hAnsi="Calibri"/>
          <w:color w:val="1A1A1A"/>
          <w:sz w:val="20"/>
          <w:szCs w:val="20"/>
        </w:rPr>
        <w:t xml:space="preserve">) ; vote par correspondance en détention depuis 2019.</w:t>
      </w:r>
    </w:p>
    <w:p>
      <w:pPr>
        <w:pStyle w:val="ListParagraph"/>
        <w:numPr>
          <w:ilvl w:val="0"/>
          <w:numId w:val="2"/>
        </w:numPr>
        <w:spacing w:after="70" w:line="264"/>
        <w:jc w:val="both"/>
      </w:pPr>
      <w:r>
        <w:rPr>
          <w:rFonts w:ascii="Calibri" w:cs="Calibri" w:eastAsia="Calibri" w:hAnsi="Calibri"/>
          <w:b/>
          <w:bCs/>
          <w:color w:val="1A1A1A"/>
          <w:sz w:val="20"/>
          <w:szCs w:val="20"/>
        </w:rPr>
        <w:t xml:space="preserve">Majeurs protégés</w:t>
      </w:r>
      <w:r>
        <w:rPr>
          <w:rFonts w:ascii="Calibri" w:cs="Calibri" w:eastAsia="Calibri" w:hAnsi="Calibri"/>
          <w:color w:val="1A1A1A"/>
          <w:sz w:val="20"/>
          <w:szCs w:val="20"/>
        </w:rPr>
        <w:t xml:space="preserve"> : la privation automatique du droit de vote des majeurs sous tutelle viole l’</w:t>
      </w:r>
      <w:r>
        <w:rPr>
          <w:rFonts w:ascii="Calibri" w:cs="Calibri" w:eastAsia="Calibri" w:hAnsi="Calibri"/>
          <w:color w:val="1E88E5"/>
          <w:sz w:val="20"/>
          <w:szCs w:val="20"/>
        </w:rPr>
        <w:t xml:space="preserve">art. 3 Prot. 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20 mai 2010, Alajos Kiss c. Hongrie</w:t>
      </w:r>
      <w:r>
        <w:rPr>
          <w:rFonts w:ascii="Calibri" w:cs="Calibri" w:eastAsia="Calibri" w:hAnsi="Calibri"/>
          <w:color w:val="1A1A1A"/>
          <w:sz w:val="20"/>
          <w:szCs w:val="20"/>
        </w:rPr>
        <w:t xml:space="preserve">) ; la </w:t>
      </w:r>
      <w:r>
        <w:rPr>
          <w:rFonts w:ascii="Calibri" w:cs="Calibri" w:eastAsia="Calibri" w:hAnsi="Calibri"/>
          <w:color w:val="1E88E5"/>
          <w:sz w:val="20"/>
          <w:szCs w:val="20"/>
        </w:rPr>
        <w:t xml:space="preserve">loi du 23 mars 2019</w:t>
      </w:r>
      <w:r>
        <w:rPr>
          <w:rFonts w:ascii="Calibri" w:cs="Calibri" w:eastAsia="Calibri" w:hAnsi="Calibri"/>
          <w:color w:val="1A1A1A"/>
          <w:sz w:val="20"/>
          <w:szCs w:val="20"/>
        </w:rPr>
        <w:t xml:space="preserve"> a rendu le droit de vote à tous les majeurs protégés (abrogation de l’</w:t>
      </w:r>
      <w:r>
        <w:rPr>
          <w:rFonts w:ascii="Calibri" w:cs="Calibri" w:eastAsia="Calibri" w:hAnsi="Calibri"/>
          <w:color w:val="1E88E5"/>
          <w:sz w:val="20"/>
          <w:szCs w:val="20"/>
        </w:rPr>
        <w:t xml:space="preserve">art. L. 5 C. élect.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Expatriés</w:t>
      </w:r>
      <w:r>
        <w:rPr>
          <w:rFonts w:ascii="Calibri" w:cs="Calibri" w:eastAsia="Calibri" w:hAnsi="Calibri"/>
          <w:color w:val="1A1A1A"/>
          <w:sz w:val="20"/>
          <w:szCs w:val="20"/>
        </w:rPr>
        <w:t xml:space="preserve"> : pas d’obligation d’organiser le vote depuis l’étranger (</w:t>
      </w:r>
      <w:r>
        <w:rPr>
          <w:rFonts w:ascii="Calibri" w:cs="Calibri" w:eastAsia="Calibri" w:hAnsi="Calibri"/>
          <w:color w:val="E91E63"/>
          <w:sz w:val="20"/>
          <w:szCs w:val="20"/>
        </w:rPr>
        <w:t xml:space="preserve">CEDH [GC], 15 mars 2012, Sitaropoulos et Giakoumopoulos c. Grèce</w:t>
      </w:r>
      <w:r>
        <w:rPr>
          <w:rFonts w:ascii="Calibri" w:cs="Calibri" w:eastAsia="Calibri" w:hAnsi="Calibri"/>
          <w:color w:val="1A1A1A"/>
          <w:sz w:val="20"/>
          <w:szCs w:val="20"/>
        </w:rPr>
        <w:t xml:space="preserve">) ; en France, listes consulaires et onze députés des Français de l’étranger.</w:t>
      </w:r>
    </w:p>
    <w:p>
      <w:pPr>
        <w:pStyle w:val="ListParagraph"/>
        <w:numPr>
          <w:ilvl w:val="0"/>
          <w:numId w:val="2"/>
        </w:numPr>
        <w:spacing w:after="70" w:line="264"/>
        <w:jc w:val="both"/>
      </w:pPr>
      <w:r>
        <w:rPr>
          <w:rFonts w:ascii="Calibri" w:cs="Calibri" w:eastAsia="Calibri" w:hAnsi="Calibri"/>
          <w:b/>
          <w:bCs/>
          <w:color w:val="1A1A1A"/>
          <w:sz w:val="20"/>
          <w:szCs w:val="20"/>
        </w:rPr>
        <w:t xml:space="preserve">Nouvelle-Calédonie</w:t>
      </w:r>
      <w:r>
        <w:rPr>
          <w:rFonts w:ascii="Calibri" w:cs="Calibri" w:eastAsia="Calibri" w:hAnsi="Calibri"/>
          <w:color w:val="1A1A1A"/>
          <w:sz w:val="20"/>
          <w:szCs w:val="20"/>
        </w:rPr>
        <w:t xml:space="preserve"> : corps électoral restreint pour les élections provinciales et au Congrès, admis au titre des « nécessités locales » (</w:t>
      </w:r>
      <w:r>
        <w:rPr>
          <w:rFonts w:ascii="Calibri" w:cs="Calibri" w:eastAsia="Calibri" w:hAnsi="Calibri"/>
          <w:color w:val="E91E63"/>
          <w:sz w:val="20"/>
          <w:szCs w:val="20"/>
        </w:rPr>
        <w:t xml:space="preserve">CEDH, 11 janvier 2005, Py c.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Comité DH, 15 juillet 2002, Gillot c. France</w:t>
      </w:r>
      <w:r>
        <w:rPr>
          <w:rFonts w:ascii="Calibri" w:cs="Calibri" w:eastAsia="Calibri" w:hAnsi="Calibri"/>
          <w:color w:val="1A1A1A"/>
          <w:sz w:val="20"/>
          <w:szCs w:val="20"/>
        </w:rPr>
        <w:t xml:space="preserve">) — fiche 44.</w:t>
      </w:r>
    </w:p>
    <w:p>
      <w:pPr>
        <w:pStyle w:val="Heading2"/>
        <w:spacing w:after="120" w:before="280"/>
      </w:pPr>
      <w:r>
        <w:rPr>
          <w:rFonts w:ascii="Calibri" w:cs="Calibri" w:eastAsia="Calibri" w:hAnsi="Calibri"/>
          <w:b/>
          <w:bCs/>
          <w:color w:val="1A1A1A"/>
          <w:sz w:val="24"/>
          <w:szCs w:val="24"/>
        </w:rPr>
        <w:t xml:space="preserve">3. Le droit d’éligibilité (aspect passif)</w:t>
      </w:r>
    </w:p>
    <w:p>
      <w:pPr>
        <w:pStyle w:val="ListParagraph"/>
        <w:numPr>
          <w:ilvl w:val="0"/>
          <w:numId w:val="2"/>
        </w:numPr>
        <w:spacing w:after="70" w:line="264"/>
        <w:jc w:val="both"/>
      </w:pPr>
      <w:r>
        <w:rPr>
          <w:rFonts w:ascii="Calibri" w:cs="Calibri" w:eastAsia="Calibri" w:hAnsi="Calibri"/>
          <w:b/>
          <w:bCs/>
          <w:color w:val="1A1A1A"/>
          <w:sz w:val="20"/>
          <w:szCs w:val="20"/>
        </w:rPr>
        <w:t xml:space="preserve">Principe</w:t>
      </w:r>
      <w:r>
        <w:rPr>
          <w:rFonts w:ascii="Calibri" w:cs="Calibri" w:eastAsia="Calibri" w:hAnsi="Calibri"/>
          <w:color w:val="1A1A1A"/>
          <w:sz w:val="20"/>
          <w:szCs w:val="20"/>
        </w:rPr>
        <w:t xml:space="preserve"> : fondé sur l’</w:t>
      </w:r>
      <w:r>
        <w:rPr>
          <w:rFonts w:ascii="Calibri" w:cs="Calibri" w:eastAsia="Calibri" w:hAnsi="Calibri"/>
          <w:color w:val="1E88E5"/>
          <w:sz w:val="20"/>
          <w:szCs w:val="20"/>
        </w:rPr>
        <w:t xml:space="preserve">art. 6 DDHC</w:t>
      </w:r>
      <w:r>
        <w:rPr>
          <w:rFonts w:ascii="Calibri" w:cs="Calibri" w:eastAsia="Calibri" w:hAnsi="Calibri"/>
          <w:color w:val="1A1A1A"/>
          <w:sz w:val="20"/>
          <w:szCs w:val="20"/>
        </w:rPr>
        <w:t xml:space="preserve"> ; les inéligibilités sont d’interprétation stricte et ne résultent que de la loi. </w:t>
      </w:r>
      <w:r>
        <w:rPr>
          <w:rFonts w:ascii="Calibri" w:cs="Calibri" w:eastAsia="Calibri" w:hAnsi="Calibri"/>
          <w:b/>
          <w:bCs/>
          <w:color w:val="1A1A1A"/>
          <w:sz w:val="20"/>
          <w:szCs w:val="20"/>
        </w:rPr>
        <w:t xml:space="preserve">Mandat</w:t>
      </w:r>
      <w:r>
        <w:rPr>
          <w:rFonts w:ascii="Calibri" w:cs="Calibri" w:eastAsia="Calibri" w:hAnsi="Calibri"/>
          <w:color w:val="1A1A1A"/>
          <w:sz w:val="20"/>
          <w:szCs w:val="20"/>
        </w:rPr>
        <w:t xml:space="preserve"> : la dissolution d’un parti entraînant la déchéance automatique de ses députés viole le « pouvoir souverain de l’électorat » (</w:t>
      </w:r>
      <w:r>
        <w:rPr>
          <w:rFonts w:ascii="Calibri" w:cs="Calibri" w:eastAsia="Calibri" w:hAnsi="Calibri"/>
          <w:color w:val="E91E63"/>
          <w:sz w:val="20"/>
          <w:szCs w:val="20"/>
        </w:rPr>
        <w:t xml:space="preserve">CEDH, 11 juin 2002, Selim Sadak c. Turquie</w:t>
      </w:r>
      <w:r>
        <w:rPr>
          <w:rFonts w:ascii="Calibri" w:cs="Calibri" w:eastAsia="Calibri" w:hAnsi="Calibri"/>
          <w:color w:val="1A1A1A"/>
          <w:sz w:val="20"/>
          <w:szCs w:val="20"/>
        </w:rPr>
        <w:t xml:space="preserve">) ; perte du mandat d’un député ayant quitté son groupe, appliquée sélectivement : violation (</w:t>
      </w:r>
      <w:r>
        <w:rPr>
          <w:rFonts w:ascii="Calibri" w:cs="Calibri" w:eastAsia="Calibri" w:hAnsi="Calibri"/>
          <w:color w:val="E91E63"/>
          <w:sz w:val="20"/>
          <w:szCs w:val="20"/>
        </w:rPr>
        <w:t xml:space="preserve">CEDH, 10 juillet 2025, Tomenko c. Ukraine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Restrictions admises</w:t>
      </w:r>
      <w:r>
        <w:rPr>
          <w:rFonts w:ascii="Calibri" w:cs="Calibri" w:eastAsia="Calibri" w:hAnsi="Calibri"/>
          <w:color w:val="1A1A1A"/>
          <w:sz w:val="20"/>
          <w:szCs w:val="20"/>
        </w:rPr>
        <w:t xml:space="preserve"> : inéligibilité de fonctionnaires d’autorité dans leur ressort pour garantir la neutralité (</w:t>
      </w:r>
      <w:r>
        <w:rPr>
          <w:rFonts w:ascii="Calibri" w:cs="Calibri" w:eastAsia="Calibri" w:hAnsi="Calibri"/>
          <w:color w:val="E91E63"/>
          <w:sz w:val="20"/>
          <w:szCs w:val="20"/>
        </w:rPr>
        <w:t xml:space="preserve">CEDH, 1er juillet 1997, Gitonas c. Grèce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2 septembre 1998, Ahmed c. Royaume-Uni</w:t>
      </w:r>
      <w:r>
        <w:rPr>
          <w:rFonts w:ascii="Calibri" w:cs="Calibri" w:eastAsia="Calibri" w:hAnsi="Calibri"/>
          <w:color w:val="1A1A1A"/>
          <w:sz w:val="20"/>
          <w:szCs w:val="20"/>
        </w:rPr>
        <w:t xml:space="preserve">) ; inéligibilité d’anciens membres d’un parti ayant tenté un coup d’État (</w:t>
      </w:r>
      <w:r>
        <w:rPr>
          <w:rFonts w:ascii="Calibri" w:cs="Calibri" w:eastAsia="Calibri" w:hAnsi="Calibri"/>
          <w:color w:val="E91E63"/>
          <w:sz w:val="20"/>
          <w:szCs w:val="20"/>
        </w:rPr>
        <w:t xml:space="preserve">CEDH [GC], 16 mars 2006, Ždanoka c. Lettonie</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Restrictions censurées</w:t>
      </w:r>
      <w:r>
        <w:rPr>
          <w:rFonts w:ascii="Calibri" w:cs="Calibri" w:eastAsia="Calibri" w:hAnsi="Calibri"/>
          <w:color w:val="1A1A1A"/>
          <w:sz w:val="20"/>
          <w:szCs w:val="20"/>
        </w:rPr>
        <w:t xml:space="preserve"> : inéligibilité </w:t>
      </w:r>
      <w:r>
        <w:rPr>
          <w:rFonts w:ascii="Calibri" w:cs="Calibri" w:eastAsia="Calibri" w:hAnsi="Calibri"/>
          <w:b/>
          <w:bCs/>
          <w:color w:val="1A1A1A"/>
          <w:sz w:val="20"/>
          <w:szCs w:val="20"/>
        </w:rPr>
        <w:t xml:space="preserve">à vie</w:t>
      </w:r>
      <w:r>
        <w:rPr>
          <w:rFonts w:ascii="Calibri" w:cs="Calibri" w:eastAsia="Calibri" w:hAnsi="Calibri"/>
          <w:color w:val="1A1A1A"/>
          <w:sz w:val="20"/>
          <w:szCs w:val="20"/>
        </w:rPr>
        <w:t xml:space="preserve"> d’un président destitué (</w:t>
      </w:r>
      <w:r>
        <w:rPr>
          <w:rFonts w:ascii="Calibri" w:cs="Calibri" w:eastAsia="Calibri" w:hAnsi="Calibri"/>
          <w:color w:val="E91E63"/>
          <w:sz w:val="20"/>
          <w:szCs w:val="20"/>
        </w:rPr>
        <w:t xml:space="preserve">CEDH [GC], 6 janvier 2011, Paksas c. Lituanie</w:t>
      </w:r>
      <w:r>
        <w:rPr>
          <w:rFonts w:ascii="Calibri" w:cs="Calibri" w:eastAsia="Calibri" w:hAnsi="Calibri"/>
          <w:color w:val="1A1A1A"/>
          <w:sz w:val="20"/>
          <w:szCs w:val="20"/>
        </w:rPr>
        <w:t xml:space="preserve">) ; exclusion des citoyens n’appartenant pas aux « peuples constituants » (</w:t>
      </w:r>
      <w:r>
        <w:rPr>
          <w:rFonts w:ascii="Calibri" w:cs="Calibri" w:eastAsia="Calibri" w:hAnsi="Calibri"/>
          <w:color w:val="E91E63"/>
          <w:sz w:val="20"/>
          <w:szCs w:val="20"/>
        </w:rPr>
        <w:t xml:space="preserve">CEDH [GC], 22 décembre 2009, Sejdić et Finci c. Bosnie-Herzégovine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Inéligibilité pénale</w:t>
      </w:r>
      <w:r>
        <w:rPr>
          <w:rFonts w:ascii="Calibri" w:cs="Calibri" w:eastAsia="Calibri" w:hAnsi="Calibri"/>
          <w:color w:val="1A1A1A"/>
          <w:sz w:val="20"/>
          <w:szCs w:val="20"/>
        </w:rPr>
        <w:t xml:space="preserve"> : peine complémentaire obligatoire pour les atteintes à la probité (</w:t>
      </w:r>
      <w:r>
        <w:rPr>
          <w:rFonts w:ascii="Calibri" w:cs="Calibri" w:eastAsia="Calibri" w:hAnsi="Calibri"/>
          <w:color w:val="1E88E5"/>
          <w:sz w:val="20"/>
          <w:szCs w:val="20"/>
        </w:rPr>
        <w:t xml:space="preserve">art. 131-26-2 C. pén.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Sapin 2</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loi du 15 septembre 2017</w:t>
      </w:r>
      <w:r>
        <w:rPr>
          <w:rFonts w:ascii="Calibri" w:cs="Calibri" w:eastAsia="Calibri" w:hAnsi="Calibri"/>
          <w:color w:val="1A1A1A"/>
          <w:sz w:val="20"/>
          <w:szCs w:val="20"/>
        </w:rPr>
        <w:t xml:space="preserve">), que le juge peut écarter par décision motivée ; exécution provisoire possible (</w:t>
      </w:r>
      <w:r>
        <w:rPr>
          <w:rFonts w:ascii="Calibri" w:cs="Calibri" w:eastAsia="Calibri" w:hAnsi="Calibri"/>
          <w:color w:val="1E88E5"/>
          <w:sz w:val="20"/>
          <w:szCs w:val="20"/>
        </w:rPr>
        <w:t xml:space="preserve">art. 471 CPP</w:t>
      </w:r>
      <w:r>
        <w:rPr>
          <w:rFonts w:ascii="Calibri" w:cs="Calibri" w:eastAsia="Calibri" w:hAnsi="Calibri"/>
          <w:color w:val="1A1A1A"/>
          <w:sz w:val="20"/>
          <w:szCs w:val="20"/>
        </w:rPr>
        <w:t xml:space="preserve">), sous la réserve de </w:t>
      </w:r>
      <w:r>
        <w:rPr>
          <w:rFonts w:ascii="Calibri" w:cs="Calibri" w:eastAsia="Calibri" w:hAnsi="Calibri"/>
          <w:color w:val="E91E63"/>
          <w:sz w:val="20"/>
          <w:szCs w:val="20"/>
        </w:rPr>
        <w:t xml:space="preserve">2025-1129 QPC</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Actualité</w:t>
      </w:r>
      <w:r>
        <w:rPr>
          <w:rFonts w:ascii="Calibri" w:cs="Calibri" w:eastAsia="Calibri" w:hAnsi="Calibri"/>
          <w:color w:val="1A1A1A"/>
          <w:sz w:val="20"/>
          <w:szCs w:val="20"/>
        </w:rPr>
        <w:t xml:space="preserve"> : dans l’affaire des assistants parlementaires européens, condamnation en première instance le 31 mars 2025 (cinq ans d’inéligibilité avec exécution provisoire), puis, le </w:t>
      </w:r>
      <w:r>
        <w:rPr>
          <w:rFonts w:ascii="Calibri" w:cs="Calibri" w:eastAsia="Calibri" w:hAnsi="Calibri"/>
          <w:b/>
          <w:bCs/>
          <w:color w:val="1A1A1A"/>
          <w:sz w:val="20"/>
          <w:szCs w:val="20"/>
        </w:rPr>
        <w:t xml:space="preserve">7 juillet 2026</w:t>
      </w:r>
      <w:r>
        <w:rPr>
          <w:rFonts w:ascii="Calibri" w:cs="Calibri" w:eastAsia="Calibri" w:hAnsi="Calibri"/>
          <w:color w:val="1A1A1A"/>
          <w:sz w:val="20"/>
          <w:szCs w:val="20"/>
        </w:rPr>
        <w:t xml:space="preserve">, la cour d’appel de Paris ramène l’inéligibilité à 45 mois dont 30 avec sursis, la partie ferme étant purgée ; pourvoi pendant, examen annoncé avant la présidentielle de 2027.</w:t>
      </w:r>
    </w:p>
    <w:p>
      <w:pPr>
        <w:pStyle w:val="ListParagraph"/>
        <w:numPr>
          <w:ilvl w:val="0"/>
          <w:numId w:val="2"/>
        </w:numPr>
        <w:spacing w:after="70" w:line="264"/>
        <w:jc w:val="both"/>
      </w:pPr>
      <w:r>
        <w:rPr>
          <w:rFonts w:ascii="Calibri" w:cs="Calibri" w:eastAsia="Calibri" w:hAnsi="Calibri"/>
          <w:b/>
          <w:bCs/>
          <w:color w:val="1A1A1A"/>
          <w:sz w:val="20"/>
          <w:szCs w:val="20"/>
        </w:rPr>
        <w:t xml:space="preserve">Conditions renforcées</w:t>
      </w:r>
      <w:r>
        <w:rPr>
          <w:rFonts w:ascii="Calibri" w:cs="Calibri" w:eastAsia="Calibri" w:hAnsi="Calibri"/>
          <w:color w:val="1A1A1A"/>
          <w:sz w:val="20"/>
          <w:szCs w:val="20"/>
        </w:rPr>
        <w:t xml:space="preserve"> : 24 ans pour le Sénat (</w:t>
      </w:r>
      <w:r>
        <w:rPr>
          <w:rFonts w:ascii="Calibri" w:cs="Calibri" w:eastAsia="Calibri" w:hAnsi="Calibri"/>
          <w:color w:val="1E88E5"/>
          <w:sz w:val="20"/>
          <w:szCs w:val="20"/>
        </w:rPr>
        <w:t xml:space="preserve">art. LO 296</w:t>
      </w:r>
      <w:r>
        <w:rPr>
          <w:rFonts w:ascii="Calibri" w:cs="Calibri" w:eastAsia="Calibri" w:hAnsi="Calibri"/>
          <w:color w:val="1A1A1A"/>
          <w:sz w:val="20"/>
          <w:szCs w:val="20"/>
        </w:rPr>
        <w:t xml:space="preserve">) ; attache communale pour les municipales ; incompatibilités professionnelles (</w:t>
      </w:r>
      <w:r>
        <w:rPr>
          <w:rFonts w:ascii="Calibri" w:cs="Calibri" w:eastAsia="Calibri" w:hAnsi="Calibri"/>
          <w:color w:val="1E88E5"/>
          <w:sz w:val="20"/>
          <w:szCs w:val="20"/>
        </w:rPr>
        <w:t xml:space="preserve">art. LO 137 et s.</w:t>
      </w:r>
      <w:r>
        <w:rPr>
          <w:rFonts w:ascii="Calibri" w:cs="Calibri" w:eastAsia="Calibri" w:hAnsi="Calibri"/>
          <w:color w:val="1A1A1A"/>
          <w:sz w:val="20"/>
          <w:szCs w:val="20"/>
        </w:rPr>
        <w:t xml:space="preserve">) et non-cumul des mandats (</w:t>
      </w:r>
      <w:r>
        <w:rPr>
          <w:rFonts w:ascii="Calibri" w:cs="Calibri" w:eastAsia="Calibri" w:hAnsi="Calibri"/>
          <w:color w:val="1E88E5"/>
          <w:sz w:val="20"/>
          <w:szCs w:val="20"/>
        </w:rPr>
        <w:t xml:space="preserve">loi organique du 14 février 2014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Partis politiques</w:t>
      </w:r>
      <w:r>
        <w:rPr>
          <w:rFonts w:ascii="Calibri" w:cs="Calibri" w:eastAsia="Calibri" w:hAnsi="Calibri"/>
          <w:color w:val="1A1A1A"/>
          <w:sz w:val="20"/>
          <w:szCs w:val="20"/>
        </w:rPr>
        <w:t xml:space="preserve"> : liberté de formation (</w:t>
      </w:r>
      <w:r>
        <w:rPr>
          <w:rFonts w:ascii="Calibri" w:cs="Calibri" w:eastAsia="Calibri" w:hAnsi="Calibri"/>
          <w:color w:val="1E88E5"/>
          <w:sz w:val="20"/>
          <w:szCs w:val="20"/>
        </w:rPr>
        <w:t xml:space="preserve">art. 4 C.</w:t>
      </w:r>
      <w:r>
        <w:rPr>
          <w:rFonts w:ascii="Calibri" w:cs="Calibri" w:eastAsia="Calibri" w:hAnsi="Calibri"/>
          <w:color w:val="1A1A1A"/>
          <w:sz w:val="20"/>
          <w:szCs w:val="20"/>
        </w:rPr>
        <w:t xml:space="preserve">), financement public et encadré (</w:t>
      </w:r>
      <w:r>
        <w:rPr>
          <w:rFonts w:ascii="Calibri" w:cs="Calibri" w:eastAsia="Calibri" w:hAnsi="Calibri"/>
          <w:color w:val="1E88E5"/>
          <w:sz w:val="20"/>
          <w:szCs w:val="20"/>
        </w:rPr>
        <w:t xml:space="preserve">loi du 11 mars 1988</w:t>
      </w:r>
      <w:r>
        <w:rPr>
          <w:rFonts w:ascii="Calibri" w:cs="Calibri" w:eastAsia="Calibri" w:hAnsi="Calibri"/>
          <w:color w:val="1A1A1A"/>
          <w:sz w:val="20"/>
          <w:szCs w:val="20"/>
        </w:rPr>
        <w:t xml:space="preserve">) ; interdiction du financement par une personne morale étrangère, y compris un parti frère, admise (</w:t>
      </w:r>
      <w:r>
        <w:rPr>
          <w:rFonts w:ascii="Calibri" w:cs="Calibri" w:eastAsia="Calibri" w:hAnsi="Calibri"/>
          <w:color w:val="E91E63"/>
          <w:sz w:val="20"/>
          <w:szCs w:val="20"/>
        </w:rPr>
        <w:t xml:space="preserve">CEDH, 7 juin 2007, Parti nationaliste basque – Organisation régionale d’Iparralde c. France, n° 71251/01</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Les caractères du suffrage</w:t>
      </w:r>
    </w:p>
    <w:p>
      <w:pPr>
        <w:pStyle w:val="ListParagraph"/>
        <w:numPr>
          <w:ilvl w:val="0"/>
          <w:numId w:val="2"/>
        </w:numPr>
        <w:spacing w:after="70" w:line="264"/>
        <w:jc w:val="both"/>
      </w:pPr>
      <w:r>
        <w:rPr>
          <w:rFonts w:ascii="Calibri" w:cs="Calibri" w:eastAsia="Calibri" w:hAnsi="Calibri"/>
          <w:b/>
          <w:bCs/>
          <w:color w:val="1A1A1A"/>
          <w:sz w:val="20"/>
          <w:szCs w:val="20"/>
        </w:rPr>
        <w:t xml:space="preserve">Universalité</w:t>
      </w:r>
      <w:r>
        <w:rPr>
          <w:rFonts w:ascii="Calibri" w:cs="Calibri" w:eastAsia="Calibri" w:hAnsi="Calibri"/>
          <w:color w:val="1A1A1A"/>
          <w:sz w:val="20"/>
          <w:szCs w:val="20"/>
        </w:rPr>
        <w:t xml:space="preserve"> : suffrage universel masculin (</w:t>
      </w:r>
      <w:r>
        <w:rPr>
          <w:rFonts w:ascii="Calibri" w:cs="Calibri" w:eastAsia="Calibri" w:hAnsi="Calibri"/>
          <w:color w:val="1E88E5"/>
          <w:sz w:val="20"/>
          <w:szCs w:val="20"/>
        </w:rPr>
        <w:t xml:space="preserve">décret du 5 mars 1848</w:t>
      </w:r>
      <w:r>
        <w:rPr>
          <w:rFonts w:ascii="Calibri" w:cs="Calibri" w:eastAsia="Calibri" w:hAnsi="Calibri"/>
          <w:color w:val="1A1A1A"/>
          <w:sz w:val="20"/>
          <w:szCs w:val="20"/>
        </w:rPr>
        <w:t xml:space="preserve">) ; vote des femmes (</w:t>
      </w:r>
      <w:r>
        <w:rPr>
          <w:rFonts w:ascii="Calibri" w:cs="Calibri" w:eastAsia="Calibri" w:hAnsi="Calibri"/>
          <w:color w:val="1E88E5"/>
          <w:sz w:val="20"/>
          <w:szCs w:val="20"/>
        </w:rPr>
        <w:t xml:space="preserve">ordonnance du 21 avril 1944</w:t>
      </w:r>
      <w:r>
        <w:rPr>
          <w:rFonts w:ascii="Calibri" w:cs="Calibri" w:eastAsia="Calibri" w:hAnsi="Calibri"/>
          <w:color w:val="1A1A1A"/>
          <w:sz w:val="20"/>
          <w:szCs w:val="20"/>
        </w:rPr>
        <w:t xml:space="preserve">) ; militaires (</w:t>
      </w:r>
      <w:r>
        <w:rPr>
          <w:rFonts w:ascii="Calibri" w:cs="Calibri" w:eastAsia="Calibri" w:hAnsi="Calibri"/>
          <w:color w:val="1E88E5"/>
          <w:sz w:val="20"/>
          <w:szCs w:val="20"/>
        </w:rPr>
        <w:t xml:space="preserve">ordonnance du 17 août 1945</w:t>
      </w:r>
      <w:r>
        <w:rPr>
          <w:rFonts w:ascii="Calibri" w:cs="Calibri" w:eastAsia="Calibri" w:hAnsi="Calibri"/>
          <w:color w:val="1A1A1A"/>
          <w:sz w:val="20"/>
          <w:szCs w:val="20"/>
        </w:rPr>
        <w:t xml:space="preserve">) ; majorité à 18 ans (1974). La « citoyenneté » ne se divise pas en catégories : quotas par sexe censurés (</w:t>
      </w:r>
      <w:r>
        <w:rPr>
          <w:rFonts w:ascii="Calibri" w:cs="Calibri" w:eastAsia="Calibri" w:hAnsi="Calibri"/>
          <w:color w:val="E91E63"/>
          <w:sz w:val="20"/>
          <w:szCs w:val="20"/>
        </w:rPr>
        <w:t xml:space="preserve">82-146 DC, 18 novembre 1982</w:t>
      </w:r>
      <w:r>
        <w:rPr>
          <w:rFonts w:ascii="Calibri" w:cs="Calibri" w:eastAsia="Calibri" w:hAnsi="Calibri"/>
          <w:color w:val="1A1A1A"/>
          <w:sz w:val="20"/>
          <w:szCs w:val="20"/>
        </w:rPr>
        <w:t xml:space="preserve">) avant la révision du </w:t>
      </w:r>
      <w:r>
        <w:rPr>
          <w:rFonts w:ascii="Calibri" w:cs="Calibri" w:eastAsia="Calibri" w:hAnsi="Calibri"/>
          <w:color w:val="1E88E5"/>
          <w:sz w:val="20"/>
          <w:szCs w:val="20"/>
        </w:rPr>
        <w:t xml:space="preserve">8 juillet 1999</w:t>
      </w:r>
      <w:r>
        <w:rPr>
          <w:rFonts w:ascii="Calibri" w:cs="Calibri" w:eastAsia="Calibri" w:hAnsi="Calibri"/>
          <w:color w:val="1A1A1A"/>
          <w:sz w:val="20"/>
          <w:szCs w:val="20"/>
        </w:rPr>
        <w:t xml:space="preserve"> (parité).</w:t>
      </w:r>
    </w:p>
    <w:p>
      <w:pPr>
        <w:pStyle w:val="ListParagraph"/>
        <w:numPr>
          <w:ilvl w:val="0"/>
          <w:numId w:val="2"/>
        </w:numPr>
        <w:spacing w:after="70" w:line="264"/>
        <w:jc w:val="both"/>
      </w:pPr>
      <w:r>
        <w:rPr>
          <w:rFonts w:ascii="Calibri" w:cs="Calibri" w:eastAsia="Calibri" w:hAnsi="Calibri"/>
          <w:b/>
          <w:bCs/>
          <w:color w:val="1A1A1A"/>
          <w:sz w:val="20"/>
          <w:szCs w:val="20"/>
        </w:rPr>
        <w:t xml:space="preserve">Égalité</w:t>
      </w:r>
      <w:r>
        <w:rPr>
          <w:rFonts w:ascii="Calibri" w:cs="Calibri" w:eastAsia="Calibri" w:hAnsi="Calibri"/>
          <w:color w:val="1A1A1A"/>
          <w:sz w:val="20"/>
          <w:szCs w:val="20"/>
        </w:rPr>
        <w:t xml:space="preserve"> : découpage sur des bases essentiellement démographiques, avec des tempéraments limités (</w:t>
      </w:r>
      <w:r>
        <w:rPr>
          <w:rFonts w:ascii="Calibri" w:cs="Calibri" w:eastAsia="Calibri" w:hAnsi="Calibri"/>
          <w:color w:val="E91E63"/>
          <w:sz w:val="20"/>
          <w:szCs w:val="20"/>
        </w:rPr>
        <w:t xml:space="preserve">86-208 DC, 1er et 2 juillet 1986</w:t>
      </w:r>
      <w:r>
        <w:rPr>
          <w:rFonts w:ascii="Calibri" w:cs="Calibri" w:eastAsia="Calibri" w:hAnsi="Calibri"/>
          <w:color w:val="1A1A1A"/>
          <w:sz w:val="20"/>
          <w:szCs w:val="20"/>
        </w:rPr>
        <w:t xml:space="preserve">) ; obligation de révision périodique du découpage ; parité désormais étendue à toutes les communes par la </w:t>
      </w:r>
      <w:r>
        <w:rPr>
          <w:rFonts w:ascii="Calibri" w:cs="Calibri" w:eastAsia="Calibri" w:hAnsi="Calibri"/>
          <w:color w:val="1E88E5"/>
          <w:sz w:val="20"/>
          <w:szCs w:val="20"/>
        </w:rPr>
        <w:t xml:space="preserve">loi du 21 mai 2025</w:t>
      </w:r>
      <w:r>
        <w:rPr>
          <w:rFonts w:ascii="Calibri" w:cs="Calibri" w:eastAsia="Calibri" w:hAnsi="Calibri"/>
          <w:color w:val="1A1A1A"/>
          <w:sz w:val="20"/>
          <w:szCs w:val="20"/>
        </w:rPr>
        <w:t xml:space="preserve"> (scrutin de liste paritaire même sous 1 000 habitants), validée (</w:t>
      </w:r>
      <w:r>
        <w:rPr>
          <w:rFonts w:ascii="Calibri" w:cs="Calibri" w:eastAsia="Calibri" w:hAnsi="Calibri"/>
          <w:color w:val="E91E63"/>
          <w:sz w:val="20"/>
          <w:szCs w:val="20"/>
        </w:rPr>
        <w:t xml:space="preserve">2025-883 DC, 15 mai 2025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Secret et liberté</w:t>
      </w:r>
      <w:r>
        <w:rPr>
          <w:rFonts w:ascii="Calibri" w:cs="Calibri" w:eastAsia="Calibri" w:hAnsi="Calibri"/>
          <w:color w:val="1A1A1A"/>
          <w:sz w:val="20"/>
          <w:szCs w:val="20"/>
        </w:rPr>
        <w:t xml:space="preserve"> : isoloir, enveloppe, urne (</w:t>
      </w:r>
      <w:r>
        <w:rPr>
          <w:rFonts w:ascii="Calibri" w:cs="Calibri" w:eastAsia="Calibri" w:hAnsi="Calibri"/>
          <w:color w:val="1E88E5"/>
          <w:sz w:val="20"/>
          <w:szCs w:val="20"/>
        </w:rPr>
        <w:t xml:space="preserve">art. L. 59 à L. 66 C. élect.</w:t>
      </w:r>
      <w:r>
        <w:rPr>
          <w:rFonts w:ascii="Calibri" w:cs="Calibri" w:eastAsia="Calibri" w:hAnsi="Calibri"/>
          <w:color w:val="1A1A1A"/>
          <w:sz w:val="20"/>
          <w:szCs w:val="20"/>
        </w:rPr>
        <w:t xml:space="preserve">) ; le vote n’est pas obligatoire en France ; vote blanc décompté séparément depuis la </w:t>
      </w:r>
      <w:r>
        <w:rPr>
          <w:rFonts w:ascii="Calibri" w:cs="Calibri" w:eastAsia="Calibri" w:hAnsi="Calibri"/>
          <w:color w:val="1E88E5"/>
          <w:sz w:val="20"/>
          <w:szCs w:val="20"/>
        </w:rPr>
        <w:t xml:space="preserve">loi du 21 février 2014</w:t>
      </w:r>
      <w:r>
        <w:rPr>
          <w:rFonts w:ascii="Calibri" w:cs="Calibri" w:eastAsia="Calibri" w:hAnsi="Calibri"/>
          <w:color w:val="1A1A1A"/>
          <w:sz w:val="20"/>
          <w:szCs w:val="20"/>
        </w:rPr>
        <w:t xml:space="preserve">, sans être compté parmi les suffrages exprimés.</w:t>
      </w:r>
    </w:p>
    <w:p>
      <w:pPr>
        <w:pStyle w:val="ListParagraph"/>
        <w:numPr>
          <w:ilvl w:val="0"/>
          <w:numId w:val="2"/>
        </w:numPr>
        <w:spacing w:after="70" w:line="264"/>
        <w:jc w:val="both"/>
      </w:pPr>
      <w:r>
        <w:rPr>
          <w:rFonts w:ascii="Calibri" w:cs="Calibri" w:eastAsia="Calibri" w:hAnsi="Calibri"/>
          <w:b/>
          <w:bCs/>
          <w:color w:val="1A1A1A"/>
          <w:sz w:val="20"/>
          <w:szCs w:val="20"/>
        </w:rPr>
        <w:t xml:space="preserve">Sincérité</w:t>
      </w:r>
      <w:r>
        <w:rPr>
          <w:rFonts w:ascii="Calibri" w:cs="Calibri" w:eastAsia="Calibri" w:hAnsi="Calibri"/>
          <w:color w:val="1A1A1A"/>
          <w:sz w:val="20"/>
          <w:szCs w:val="20"/>
        </w:rPr>
        <w:t xml:space="preserve"> : fraudes sanctionnées (</w:t>
      </w:r>
      <w:r>
        <w:rPr>
          <w:rFonts w:ascii="Calibri" w:cs="Calibri" w:eastAsia="Calibri" w:hAnsi="Calibri"/>
          <w:color w:val="1E88E5"/>
          <w:sz w:val="20"/>
          <w:szCs w:val="20"/>
        </w:rPr>
        <w:t xml:space="preserve">art. L. 86 et s.</w:t>
      </w:r>
      <w:r>
        <w:rPr>
          <w:rFonts w:ascii="Calibri" w:cs="Calibri" w:eastAsia="Calibri" w:hAnsi="Calibri"/>
          <w:color w:val="1A1A1A"/>
          <w:sz w:val="20"/>
          <w:szCs w:val="20"/>
        </w:rPr>
        <w:t xml:space="preserve">) ; annulation si l’irrégularité a pu inverser le résultat (« fraude à la chaussette », </w:t>
      </w:r>
      <w:r>
        <w:rPr>
          <w:rFonts w:ascii="Calibri" w:cs="Calibri" w:eastAsia="Calibri" w:hAnsi="Calibri"/>
          <w:color w:val="E91E63"/>
          <w:sz w:val="20"/>
          <w:szCs w:val="20"/>
        </w:rPr>
        <w:t xml:space="preserve">CE, 23 avril 2009, Élections municipales de Perpignan</w:t>
      </w:r>
      <w:r>
        <w:rPr>
          <w:rFonts w:ascii="Calibri" w:cs="Calibri" w:eastAsia="Calibri" w:hAnsi="Calibri"/>
          <w:color w:val="1A1A1A"/>
          <w:sz w:val="20"/>
          <w:szCs w:val="20"/>
        </w:rPr>
        <w:t xml:space="preserve">) ; rejet des comptes de campagne présidentielle de 2012 (</w:t>
      </w:r>
      <w:r>
        <w:rPr>
          <w:rFonts w:ascii="Calibri" w:cs="Calibri" w:eastAsia="Calibri" w:hAnsi="Calibri"/>
          <w:color w:val="E91E63"/>
          <w:sz w:val="20"/>
          <w:szCs w:val="20"/>
        </w:rPr>
        <w:t xml:space="preserve">Cons. const., 4 juillet 2013</w:t>
      </w:r>
      <w:r>
        <w:rPr>
          <w:rFonts w:ascii="Calibri" w:cs="Calibri" w:eastAsia="Calibri" w:hAnsi="Calibri"/>
          <w:color w:val="1A1A1A"/>
          <w:sz w:val="20"/>
          <w:szCs w:val="20"/>
        </w:rPr>
        <w:t xml:space="preserve">). Recours effectif : un parlement juge de ses propres élections sans garanties d’impartialité viole l’</w:t>
      </w:r>
      <w:r>
        <w:rPr>
          <w:rFonts w:ascii="Calibri" w:cs="Calibri" w:eastAsia="Calibri" w:hAnsi="Calibri"/>
          <w:color w:val="1E88E5"/>
          <w:sz w:val="20"/>
          <w:szCs w:val="20"/>
        </w:rPr>
        <w:t xml:space="preserve">art. 3 Prot. 1</w:t>
      </w:r>
      <w:r>
        <w:rPr>
          <w:rFonts w:ascii="Calibri" w:cs="Calibri" w:eastAsia="Calibri" w:hAnsi="Calibri"/>
          <w:color w:val="1A1A1A"/>
          <w:sz w:val="20"/>
          <w:szCs w:val="20"/>
        </w:rPr>
        <w:t xml:space="preserve"> et l’</w:t>
      </w:r>
      <w:r>
        <w:rPr>
          <w:rFonts w:ascii="Calibri" w:cs="Calibri" w:eastAsia="Calibri" w:hAnsi="Calibri"/>
          <w:color w:val="1E88E5"/>
          <w:sz w:val="20"/>
          <w:szCs w:val="20"/>
        </w:rPr>
        <w:t xml:space="preserve">art. 13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10 juillet 2020, Mugemangango c. Belgique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Périodicité</w:t>
      </w:r>
      <w:r>
        <w:rPr>
          <w:rFonts w:ascii="Calibri" w:cs="Calibri" w:eastAsia="Calibri" w:hAnsi="Calibri"/>
          <w:color w:val="1A1A1A"/>
          <w:sz w:val="20"/>
          <w:szCs w:val="20"/>
        </w:rPr>
        <w:t xml:space="preserve"> : principe de valeur constitutionnelle (</w:t>
      </w:r>
      <w:r>
        <w:rPr>
          <w:rFonts w:ascii="Calibri" w:cs="Calibri" w:eastAsia="Calibri" w:hAnsi="Calibri"/>
          <w:color w:val="E91E63"/>
          <w:sz w:val="20"/>
          <w:szCs w:val="20"/>
        </w:rPr>
        <w:t xml:space="preserve">90-280 DC, 6 décembre 1990</w:t>
      </w:r>
      <w:r>
        <w:rPr>
          <w:rFonts w:ascii="Calibri" w:cs="Calibri" w:eastAsia="Calibri" w:hAnsi="Calibri"/>
          <w:color w:val="1A1A1A"/>
          <w:sz w:val="20"/>
          <w:szCs w:val="20"/>
        </w:rPr>
        <w:t xml:space="preserve">) ; report possible si motif d’intérêt général et caractère exceptionnel et transitoire (</w:t>
      </w:r>
      <w:r>
        <w:rPr>
          <w:rFonts w:ascii="Calibri" w:cs="Calibri" w:eastAsia="Calibri" w:hAnsi="Calibri"/>
          <w:color w:val="E91E63"/>
          <w:sz w:val="20"/>
          <w:szCs w:val="20"/>
        </w:rPr>
        <w:t xml:space="preserve">2013-667 DC, 16 mai 2013</w:t>
      </w:r>
      <w:r>
        <w:rPr>
          <w:rFonts w:ascii="Calibri" w:cs="Calibri" w:eastAsia="Calibri" w:hAnsi="Calibri"/>
          <w:color w:val="1A1A1A"/>
          <w:sz w:val="20"/>
          <w:szCs w:val="20"/>
        </w:rPr>
        <w:t xml:space="preserve">) ; report du second tour des municipales de 2020 validé (</w:t>
      </w:r>
      <w:r>
        <w:rPr>
          <w:rFonts w:ascii="Calibri" w:cs="Calibri" w:eastAsia="Calibri" w:hAnsi="Calibri"/>
          <w:color w:val="E91E63"/>
          <w:sz w:val="20"/>
          <w:szCs w:val="20"/>
        </w:rPr>
        <w:t xml:space="preserve">2020-849 QPC, 17 juin 2020</w:t>
      </w:r>
      <w:r>
        <w:rPr>
          <w:rFonts w:ascii="Calibri" w:cs="Calibri" w:eastAsia="Calibri" w:hAnsi="Calibri"/>
          <w:color w:val="1A1A1A"/>
          <w:sz w:val="20"/>
          <w:szCs w:val="20"/>
        </w:rPr>
        <w:t xml:space="preserve">) ; reports successifs des provinciales calédoniennes (tenues le 28 juin 2026).</w:t>
      </w:r>
    </w:p>
    <w:p>
      <w:pPr>
        <w:pStyle w:val="Heading2"/>
        <w:spacing w:after="120" w:before="280"/>
      </w:pPr>
      <w:r>
        <w:rPr>
          <w:rFonts w:ascii="Calibri" w:cs="Calibri" w:eastAsia="Calibri" w:hAnsi="Calibri"/>
          <w:b/>
          <w:bCs/>
          <w:color w:val="1A1A1A"/>
          <w:sz w:val="24"/>
          <w:szCs w:val="24"/>
        </w:rPr>
        <w:t xml:space="preserve">5.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Électorat-droit ou électorat-fonction ?</w:t>
      </w:r>
      <w:r>
        <w:rPr>
          <w:rFonts w:ascii="Calibri" w:cs="Calibri" w:eastAsia="Calibri" w:hAnsi="Calibri"/>
          <w:color w:val="1A1A1A"/>
          <w:sz w:val="20"/>
          <w:szCs w:val="20"/>
        </w:rPr>
        <w:t xml:space="preserve"> — la souveraineté nationale (</w:t>
      </w:r>
      <w:r>
        <w:rPr>
          <w:rFonts w:ascii="Calibri" w:cs="Calibri" w:eastAsia="Calibri" w:hAnsi="Calibri"/>
          <w:color w:val="2E7D32"/>
          <w:sz w:val="20"/>
          <w:szCs w:val="20"/>
        </w:rPr>
        <w:t xml:space="preserve">Sieyès</w:t>
      </w:r>
      <w:r>
        <w:rPr>
          <w:rFonts w:ascii="Calibri" w:cs="Calibri" w:eastAsia="Calibri" w:hAnsi="Calibri"/>
          <w:color w:val="1A1A1A"/>
          <w:sz w:val="20"/>
          <w:szCs w:val="20"/>
        </w:rPr>
        <w:t xml:space="preserve">) a fondé le suffrage censitaire (l’électorat est une fonction confiée aux plus capables), la souveraineté populaire (</w:t>
      </w:r>
      <w:r>
        <w:rPr>
          <w:rFonts w:ascii="Calibri" w:cs="Calibri" w:eastAsia="Calibri" w:hAnsi="Calibri"/>
          <w:color w:val="2E7D32"/>
          <w:sz w:val="20"/>
          <w:szCs w:val="20"/>
        </w:rPr>
        <w:t xml:space="preserve">Rousseau</w:t>
      </w:r>
      <w:r>
        <w:rPr>
          <w:rFonts w:ascii="Calibri" w:cs="Calibri" w:eastAsia="Calibri" w:hAnsi="Calibri"/>
          <w:color w:val="1A1A1A"/>
          <w:sz w:val="20"/>
          <w:szCs w:val="20"/>
        </w:rPr>
        <w:t xml:space="preserve">) le suffrage universel (chaque citoyen détient une part de souveraineté). L’</w:t>
      </w:r>
      <w:r>
        <w:rPr>
          <w:rFonts w:ascii="Calibri" w:cs="Calibri" w:eastAsia="Calibri" w:hAnsi="Calibri"/>
          <w:color w:val="1E88E5"/>
          <w:sz w:val="20"/>
          <w:szCs w:val="20"/>
        </w:rPr>
        <w:t xml:space="preserve">art. 3 C.</w:t>
      </w:r>
      <w:r>
        <w:rPr>
          <w:rFonts w:ascii="Calibri" w:cs="Calibri" w:eastAsia="Calibri" w:hAnsi="Calibri"/>
          <w:color w:val="1A1A1A"/>
          <w:sz w:val="20"/>
          <w:szCs w:val="20"/>
        </w:rPr>
        <w:t xml:space="preserve"> combine les deux, d’où la constitutionnalité du vote facultatif.</w:t>
      </w:r>
    </w:p>
    <w:p>
      <w:pPr>
        <w:pStyle w:val="ListParagraph"/>
        <w:numPr>
          <w:ilvl w:val="0"/>
          <w:numId w:val="2"/>
        </w:numPr>
        <w:spacing w:after="70" w:line="264"/>
        <w:jc w:val="both"/>
      </w:pPr>
      <w:r>
        <w:rPr>
          <w:rFonts w:ascii="Calibri" w:cs="Calibri" w:eastAsia="Calibri" w:hAnsi="Calibri"/>
          <w:b/>
          <w:bCs/>
          <w:color w:val="1A1A1A"/>
          <w:sz w:val="20"/>
          <w:szCs w:val="20"/>
        </w:rPr>
        <w:t xml:space="preserve">« Gouvernement des juges » et inéligibilité</w:t>
      </w:r>
      <w:r>
        <w:rPr>
          <w:rFonts w:ascii="Calibri" w:cs="Calibri" w:eastAsia="Calibri" w:hAnsi="Calibri"/>
          <w:color w:val="1A1A1A"/>
          <w:sz w:val="20"/>
          <w:szCs w:val="20"/>
        </w:rPr>
        <w:t xml:space="preserve"> — la critique vise l’exécution provisoire, qui peut écarter un candidat avant toute décision définitive ; réponse : la peine est prévue par la loi, le juge peut l’écarter, et le Conseil exige un contrôle de proportionnalité incluant la liberté de l’électeur. </w:t>
      </w:r>
      <w:r>
        <w:rPr>
          <w:rFonts w:ascii="Calibri" w:cs="Calibri" w:eastAsia="Calibri" w:hAnsi="Calibri"/>
          <w:b/>
          <w:bCs/>
          <w:color w:val="1A1A1A"/>
          <w:sz w:val="20"/>
          <w:szCs w:val="20"/>
        </w:rPr>
        <w:t xml:space="preserve">Critiquer une règle n’est pas contester la chose jugée.</w:t>
      </w:r>
    </w:p>
    <w:p>
      <w:pPr>
        <w:pStyle w:val="ListParagraph"/>
        <w:numPr>
          <w:ilvl w:val="0"/>
          <w:numId w:val="2"/>
        </w:numPr>
        <w:spacing w:after="70" w:line="264"/>
        <w:jc w:val="both"/>
      </w:pPr>
      <w:r>
        <w:rPr>
          <w:rFonts w:ascii="Calibri" w:cs="Calibri" w:eastAsia="Calibri" w:hAnsi="Calibri"/>
          <w:b/>
          <w:bCs/>
          <w:color w:val="1A1A1A"/>
          <w:sz w:val="20"/>
          <w:szCs w:val="20"/>
        </w:rPr>
        <w:t xml:space="preserve">Parité contre universalisme</w:t>
      </w:r>
      <w:r>
        <w:rPr>
          <w:rFonts w:ascii="Calibri" w:cs="Calibri" w:eastAsia="Calibri" w:hAnsi="Calibri"/>
          <w:color w:val="1A1A1A"/>
          <w:sz w:val="20"/>
          <w:szCs w:val="20"/>
        </w:rPr>
        <w:t xml:space="preserve"> — la doctrine universaliste (</w:t>
      </w:r>
      <w:r>
        <w:rPr>
          <w:rFonts w:ascii="Calibri" w:cs="Calibri" w:eastAsia="Calibri" w:hAnsi="Calibri"/>
          <w:color w:val="2E7D32"/>
          <w:sz w:val="20"/>
          <w:szCs w:val="20"/>
        </w:rPr>
        <w:t xml:space="preserve">Élisabeth Badinter</w:t>
      </w:r>
      <w:r>
        <w:rPr>
          <w:rFonts w:ascii="Calibri" w:cs="Calibri" w:eastAsia="Calibri" w:hAnsi="Calibri"/>
          <w:color w:val="1A1A1A"/>
          <w:sz w:val="20"/>
          <w:szCs w:val="20"/>
        </w:rPr>
        <w:t xml:space="preserve">) a dénoncé une catégorisation des citoyens ; les partisans de la parité y voient la condition d’une représentation réelle. La généralisation de 2025 aux petites communes ravive la question du </w:t>
      </w:r>
      <w:r>
        <w:rPr>
          <w:rFonts w:ascii="Calibri" w:cs="Calibri" w:eastAsia="Calibri" w:hAnsi="Calibri"/>
          <w:b/>
          <w:bCs/>
          <w:color w:val="1A1A1A"/>
          <w:sz w:val="20"/>
          <w:szCs w:val="20"/>
        </w:rPr>
        <w:t xml:space="preserve">pluralisme</w:t>
      </w:r>
      <w:r>
        <w:rPr>
          <w:rFonts w:ascii="Calibri" w:cs="Calibri" w:eastAsia="Calibri" w:hAnsi="Calibri"/>
          <w:color w:val="1A1A1A"/>
          <w:sz w:val="20"/>
          <w:szCs w:val="20"/>
        </w:rPr>
        <w:t xml:space="preserve"> (difficulté à constituer des listes).</w:t>
      </w:r>
    </w:p>
    <w:p>
      <w:pPr>
        <w:pStyle w:val="ListParagraph"/>
        <w:numPr>
          <w:ilvl w:val="0"/>
          <w:numId w:val="2"/>
        </w:numPr>
        <w:spacing w:after="70" w:line="264"/>
        <w:jc w:val="both"/>
      </w:pPr>
      <w:r>
        <w:rPr>
          <w:rFonts w:ascii="Calibri" w:cs="Calibri" w:eastAsia="Calibri" w:hAnsi="Calibri"/>
          <w:b/>
          <w:bCs/>
          <w:color w:val="1A1A1A"/>
          <w:sz w:val="20"/>
          <w:szCs w:val="20"/>
        </w:rPr>
        <w:t xml:space="preserve">Abstention et vote obligatoire</w:t>
      </w:r>
      <w:r>
        <w:rPr>
          <w:rFonts w:ascii="Calibri" w:cs="Calibri" w:eastAsia="Calibri" w:hAnsi="Calibri"/>
          <w:color w:val="1A1A1A"/>
          <w:sz w:val="20"/>
          <w:szCs w:val="20"/>
        </w:rPr>
        <w:t xml:space="preserve"> — la Belgique, le Luxembourg ou la Grèce imposent le vote ; en France, le vote obligatoire est régulièrement proposé ; objection : la liberté de l’électeur inclut celle de s’abstenir.</w:t>
      </w:r>
    </w:p>
    <w:p>
      <w:pPr>
        <w:pStyle w:val="Heading2"/>
        <w:spacing w:after="120" w:before="280"/>
      </w:pPr>
      <w:r>
        <w:rPr>
          <w:rFonts w:ascii="Calibri" w:cs="Calibri" w:eastAsia="Calibri" w:hAnsi="Calibri"/>
          <w:b/>
          <w:bCs/>
          <w:color w:val="1A1A1A"/>
          <w:sz w:val="24"/>
          <w:szCs w:val="24"/>
        </w:rPr>
        <w:t xml:space="preserve">6. Dispositif « Grand Oral »</w:t>
      </w:r>
    </w:p>
    <w:p>
      <w:pPr>
        <w:pStyle w:val="Heading3"/>
        <w:spacing w:after="90" w:before="200"/>
      </w:pPr>
      <w:r>
        <w:rPr>
          <w:rFonts w:ascii="Calibri" w:cs="Calibri" w:eastAsia="Calibri" w:hAnsi="Calibri"/>
          <w:b/>
          <w:bCs/>
          <w:i/>
          <w:iCs/>
          <w:color w:val="5A5A5A"/>
          <w:sz w:val="21"/>
          <w:szCs w:val="21"/>
        </w:rPr>
        <w:t xml:space="preserve">6.1.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L’article 3 du Protocole n° 1 s’applique-t-il à l’élection présidentielle ? »</w:t>
      </w:r>
      <w:r>
        <w:rPr>
          <w:rFonts w:ascii="Calibri" w:cs="Calibri" w:eastAsia="Calibri" w:hAnsi="Calibri"/>
          <w:color w:val="1A1A1A"/>
          <w:sz w:val="20"/>
          <w:szCs w:val="20"/>
        </w:rPr>
        <w:t xml:space="preserve"> — En principe non, le président n’étant pas le « corps législatif », sauf s’il dispose de pouvoirs législatifs propres ; il s’applique au Parlement européen (</w:t>
      </w:r>
      <w:r>
        <w:rPr>
          <w:rFonts w:ascii="Calibri" w:cs="Calibri" w:eastAsia="Calibri" w:hAnsi="Calibri"/>
          <w:color w:val="E91E63"/>
          <w:sz w:val="20"/>
          <w:szCs w:val="20"/>
        </w:rPr>
        <w:t xml:space="preserve">Matthews</w:t>
      </w:r>
      <w:r>
        <w:rPr>
          <w:rFonts w:ascii="Calibri" w:cs="Calibri" w:eastAsia="Calibri" w:hAnsi="Calibri"/>
          <w:color w:val="1A1A1A"/>
          <w:sz w:val="20"/>
          <w:szCs w:val="20"/>
        </w:rPr>
        <w:t xml:space="preserve">, 1999) mais pas aux référendums.</w:t>
      </w:r>
    </w:p>
    <w:p>
      <w:pPr>
        <w:pStyle w:val="ListParagraph"/>
        <w:numPr>
          <w:ilvl w:val="0"/>
          <w:numId w:val="2"/>
        </w:numPr>
        <w:spacing w:after="70" w:line="264"/>
        <w:jc w:val="both"/>
      </w:pPr>
      <w:r>
        <w:rPr>
          <w:rFonts w:ascii="Calibri" w:cs="Calibri" w:eastAsia="Calibri" w:hAnsi="Calibri"/>
          <w:b/>
          <w:bCs/>
          <w:color w:val="1A1A1A"/>
          <w:sz w:val="20"/>
          <w:szCs w:val="20"/>
        </w:rPr>
        <w:t xml:space="preserve">« Un détenu peut-il voter en France ? »</w:t>
      </w:r>
      <w:r>
        <w:rPr>
          <w:rFonts w:ascii="Calibri" w:cs="Calibri" w:eastAsia="Calibri" w:hAnsi="Calibri"/>
          <w:color w:val="1A1A1A"/>
          <w:sz w:val="20"/>
          <w:szCs w:val="20"/>
        </w:rPr>
        <w:t xml:space="preserve"> — Oui, sauf si le juge a prononcé la privation des droits civiques (</w:t>
      </w:r>
      <w:r>
        <w:rPr>
          <w:rFonts w:ascii="Calibri" w:cs="Calibri" w:eastAsia="Calibri" w:hAnsi="Calibri"/>
          <w:color w:val="1E88E5"/>
          <w:sz w:val="20"/>
          <w:szCs w:val="20"/>
        </w:rPr>
        <w:t xml:space="preserve">art. 131-26 C. pén.</w:t>
      </w:r>
      <w:r>
        <w:rPr>
          <w:rFonts w:ascii="Calibri" w:cs="Calibri" w:eastAsia="Calibri" w:hAnsi="Calibri"/>
          <w:color w:val="1A1A1A"/>
          <w:sz w:val="20"/>
          <w:szCs w:val="20"/>
        </w:rPr>
        <w:t xml:space="preserve">) ; aucune privation automatique (</w:t>
      </w:r>
      <w:r>
        <w:rPr>
          <w:rFonts w:ascii="Calibri" w:cs="Calibri" w:eastAsia="Calibri" w:hAnsi="Calibri"/>
          <w:color w:val="E91E63"/>
          <w:sz w:val="20"/>
          <w:szCs w:val="20"/>
        </w:rPr>
        <w:t xml:space="preserve">2010-6/7 QPC</w:t>
      </w:r>
      <w:r>
        <w:rPr>
          <w:rFonts w:ascii="Calibri" w:cs="Calibri" w:eastAsia="Calibri" w:hAnsi="Calibri"/>
          <w:color w:val="1A1A1A"/>
          <w:sz w:val="20"/>
          <w:szCs w:val="20"/>
        </w:rPr>
        <w:t xml:space="preserve">) ; vote par correspondance depuis l’établissement.</w:t>
      </w:r>
    </w:p>
    <w:p>
      <w:pPr>
        <w:pStyle w:val="ListParagraph"/>
        <w:numPr>
          <w:ilvl w:val="0"/>
          <w:numId w:val="2"/>
        </w:numPr>
        <w:spacing w:after="70" w:line="264"/>
        <w:jc w:val="both"/>
      </w:pPr>
      <w:r>
        <w:rPr>
          <w:rFonts w:ascii="Calibri" w:cs="Calibri" w:eastAsia="Calibri" w:hAnsi="Calibri"/>
          <w:b/>
          <w:bCs/>
          <w:color w:val="1A1A1A"/>
          <w:sz w:val="20"/>
          <w:szCs w:val="20"/>
        </w:rPr>
        <w:t xml:space="preserve">« Un parti peut-il retirer son mandat à un élu qui le quitte ? »</w:t>
      </w:r>
      <w:r>
        <w:rPr>
          <w:rFonts w:ascii="Calibri" w:cs="Calibri" w:eastAsia="Calibri" w:hAnsi="Calibri"/>
          <w:color w:val="1A1A1A"/>
          <w:sz w:val="20"/>
          <w:szCs w:val="20"/>
        </w:rPr>
        <w:t xml:space="preserve"> — Non : le mandat appartient à l’élu et, à travers lui, aux électeurs ; le mandat impératif est nul (</w:t>
      </w:r>
      <w:r>
        <w:rPr>
          <w:rFonts w:ascii="Calibri" w:cs="Calibri" w:eastAsia="Calibri" w:hAnsi="Calibri"/>
          <w:color w:val="1E88E5"/>
          <w:sz w:val="20"/>
          <w:szCs w:val="20"/>
        </w:rPr>
        <w:t xml:space="preserve">art. 27 C.</w:t>
      </w:r>
      <w:r>
        <w:rPr>
          <w:rFonts w:ascii="Calibri" w:cs="Calibri" w:eastAsia="Calibri" w:hAnsi="Calibri"/>
          <w:color w:val="1A1A1A"/>
          <w:sz w:val="20"/>
          <w:szCs w:val="20"/>
        </w:rPr>
        <w:t xml:space="preserve">) et Strasbourg sanctionne la cessation imposée par le parti (</w:t>
      </w:r>
      <w:r>
        <w:rPr>
          <w:rFonts w:ascii="Calibri" w:cs="Calibri" w:eastAsia="Calibri" w:hAnsi="Calibri"/>
          <w:color w:val="E91E63"/>
          <w:sz w:val="20"/>
          <w:szCs w:val="20"/>
        </w:rPr>
        <w:t xml:space="preserve">Tomenko</w:t>
      </w:r>
      <w:r>
        <w:rPr>
          <w:rFonts w:ascii="Calibri" w:cs="Calibri" w:eastAsia="Calibri" w:hAnsi="Calibri"/>
          <w:color w:val="1A1A1A"/>
          <w:sz w:val="20"/>
          <w:szCs w:val="20"/>
        </w:rPr>
        <w:t xml:space="preserve">, 2025).</w:t>
      </w:r>
    </w:p>
    <w:p>
      <w:pPr>
        <w:pStyle w:val="Heading3"/>
        <w:spacing w:after="90" w:before="200"/>
      </w:pPr>
      <w:r>
        <w:rPr>
          <w:rFonts w:ascii="Calibri" w:cs="Calibri" w:eastAsia="Calibri" w:hAnsi="Calibri"/>
          <w:b/>
          <w:bCs/>
          <w:i/>
          <w:iCs/>
          <w:color w:val="5A5A5A"/>
          <w:sz w:val="21"/>
          <w:szCs w:val="21"/>
        </w:rPr>
        <w:t xml:space="preserve">6.2.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Le droit à des élections libres (sujet « Pour s’entraîner » du fascicule) — Le suffrage universel — Le juge de l’élection — La parité — L’inéligibilité — Le droit de vote des étrangers — Vote et détention — La sincérité du scrutin — Commentaire : </w:t>
      </w:r>
      <w:r>
        <w:rPr>
          <w:rFonts w:ascii="Calibri" w:cs="Calibri" w:eastAsia="Calibri" w:hAnsi="Calibri"/>
          <w:color w:val="E91E63"/>
          <w:sz w:val="20"/>
          <w:szCs w:val="20"/>
        </w:rPr>
        <w:t xml:space="preserve">2025-1129 QPC</w:t>
      </w:r>
      <w:r>
        <w:rPr>
          <w:rFonts w:ascii="Calibri" w:cs="Calibri" w:eastAsia="Calibri" w:hAnsi="Calibri"/>
          <w:color w:val="1A1A1A"/>
          <w:sz w:val="20"/>
          <w:szCs w:val="20"/>
        </w:rPr>
        <w:t xml:space="preserve"> — Commentaire : </w:t>
      </w:r>
      <w:r>
        <w:rPr>
          <w:rFonts w:ascii="Calibri" w:cs="Calibri" w:eastAsia="Calibri" w:hAnsi="Calibri"/>
          <w:color w:val="E91E63"/>
          <w:sz w:val="20"/>
          <w:szCs w:val="20"/>
        </w:rPr>
        <w:t xml:space="preserve">Tomenko c. Ukraine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6.3.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Depuis quand les femmes votent-elles en France ?</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Ordonnance du 21 avril 1944</w:t>
      </w:r>
      <w:r>
        <w:rPr>
          <w:rFonts w:ascii="Calibri" w:cs="Calibri" w:eastAsia="Calibri" w:hAnsi="Calibri"/>
          <w:color w:val="1A1A1A"/>
          <w:sz w:val="20"/>
          <w:szCs w:val="20"/>
        </w:rPr>
        <w:t xml:space="preserve"> ; premier vote aux municipales du 29 avril 1945.</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décision a ouvert le contrôle de la loi au regard de l’égalité du suffrage dans le découpage ?</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86-208 DC</w:t>
      </w:r>
      <w:r>
        <w:rPr>
          <w:rFonts w:ascii="Calibri" w:cs="Calibri" w:eastAsia="Calibri" w:hAnsi="Calibri"/>
          <w:color w:val="1A1A1A"/>
          <w:sz w:val="20"/>
          <w:szCs w:val="20"/>
        </w:rPr>
        <w:t xml:space="preserve"> (1986) : bases essentiellement démographiques.</w:t>
      </w:r>
    </w:p>
    <w:p>
      <w:pPr>
        <w:pStyle w:val="ListParagraph"/>
        <w:numPr>
          <w:ilvl w:val="0"/>
          <w:numId w:val="2"/>
        </w:numPr>
        <w:spacing w:after="70" w:line="264"/>
        <w:jc w:val="both"/>
      </w:pPr>
      <w:r>
        <w:rPr>
          <w:rFonts w:ascii="Calibri" w:cs="Calibri" w:eastAsia="Calibri" w:hAnsi="Calibri"/>
          <w:b/>
          <w:bCs/>
          <w:color w:val="1A1A1A"/>
          <w:sz w:val="20"/>
          <w:szCs w:val="20"/>
        </w:rPr>
        <w:t xml:space="preserve">Q. Un ressortissant britannique peut-il encore voter aux municipales en France ?</w:t>
      </w:r>
      <w:r>
        <w:rPr>
          <w:rFonts w:ascii="Calibri" w:cs="Calibri" w:eastAsia="Calibri" w:hAnsi="Calibri"/>
          <w:color w:val="1A1A1A"/>
          <w:sz w:val="20"/>
          <w:szCs w:val="20"/>
        </w:rPr>
        <w:t xml:space="preserve"> — Non depuis le retrait du Royaume-Uni de l’Union (1er février 2020), faute de citoyenneté européenne.</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 Commission de Venise ?</w:t>
      </w:r>
      <w:r>
        <w:rPr>
          <w:rFonts w:ascii="Calibri" w:cs="Calibri" w:eastAsia="Calibri" w:hAnsi="Calibri"/>
          <w:color w:val="1A1A1A"/>
          <w:sz w:val="20"/>
          <w:szCs w:val="20"/>
        </w:rPr>
        <w:t xml:space="preserve"> — La Commission européenne pour la démocratie par le droit du Conseil de l’Europe (1990), auteur du Code de bonne conduite en matière électorale (2002).</w:t>
      </w:r>
    </w:p>
    <w:p>
      <w:pPr>
        <w:pStyle w:val="ListParagraph"/>
        <w:numPr>
          <w:ilvl w:val="0"/>
          <w:numId w:val="2"/>
        </w:numPr>
        <w:spacing w:after="70" w:line="264"/>
        <w:jc w:val="both"/>
      </w:pPr>
      <w:r>
        <w:rPr>
          <w:rFonts w:ascii="Calibri" w:cs="Calibri" w:eastAsia="Calibri" w:hAnsi="Calibri"/>
          <w:b/>
          <w:bCs/>
          <w:color w:val="1A1A1A"/>
          <w:sz w:val="20"/>
          <w:szCs w:val="20"/>
        </w:rPr>
        <w:t xml:space="preserve">Q. Le vote blanc est-il un suffrage exprimé ?</w:t>
      </w:r>
      <w:r>
        <w:rPr>
          <w:rFonts w:ascii="Calibri" w:cs="Calibri" w:eastAsia="Calibri" w:hAnsi="Calibri"/>
          <w:color w:val="1A1A1A"/>
          <w:sz w:val="20"/>
          <w:szCs w:val="20"/>
        </w:rPr>
        <w:t xml:space="preserve"> — Non : depuis 2014, il est décompté séparément et mentionné au procès-verbal, sans être pris en compte dans les suffrages exprimés.</w:t>
      </w:r>
    </w:p>
    <w:p>
      <w:pPr>
        <w:pStyle w:val="ListParagraph"/>
        <w:numPr>
          <w:ilvl w:val="0"/>
          <w:numId w:val="2"/>
        </w:numPr>
        <w:spacing w:after="70" w:line="264"/>
        <w:jc w:val="both"/>
      </w:pPr>
      <w:r>
        <w:rPr>
          <w:rFonts w:ascii="Calibri" w:cs="Calibri" w:eastAsia="Calibri" w:hAnsi="Calibri"/>
          <w:b/>
          <w:bCs/>
          <w:color w:val="1A1A1A"/>
          <w:sz w:val="20"/>
          <w:szCs w:val="20"/>
        </w:rPr>
        <w:t xml:space="preserve">Q. Qui juge l’élection des sénateurs ?</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Conseil constitutionnel</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59 C.</w:t>
      </w:r>
      <w:r>
        <w:rPr>
          <w:rFonts w:ascii="Calibri" w:cs="Calibri" w:eastAsia="Calibri" w:hAnsi="Calibri"/>
          <w:color w:val="1A1A1A"/>
          <w:sz w:val="20"/>
          <w:szCs w:val="20"/>
        </w:rPr>
        <w:t xml:space="preserv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43 — LES PROTECTIONS FONDAMENTALES EN CAS D’ÉLOIGNEMENT, D’EXPULSION ET D’EXTRADITION</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En 1986, Jens Soering, jeune Allemand, est arrêté en Angleterre ; la Virginie le réclame pour un double meurtre passible de la peine capitale. Le 7 juillet 1989, la Cour européenne juge que l’extrader l’exposerait au </w:t>
      </w:r>
      <w:r>
        <w:rPr>
          <w:rFonts w:ascii="Calibri" w:cs="Calibri" w:eastAsia="Calibri" w:hAnsi="Calibri"/>
          <w:b/>
          <w:bCs/>
          <w:color w:val="1A1A1A"/>
          <w:sz w:val="20"/>
          <w:szCs w:val="20"/>
        </w:rPr>
        <w:t xml:space="preserve">« syndrome du couloir de la mort »</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Soering c. Royaume-Uni</w:t>
      </w:r>
      <w:r>
        <w:rPr>
          <w:rFonts w:ascii="Calibri" w:cs="Calibri" w:eastAsia="Calibri" w:hAnsi="Calibri"/>
          <w:color w:val="1A1A1A"/>
          <w:sz w:val="20"/>
          <w:szCs w:val="20"/>
        </w:rPr>
        <w:t xml:space="preserve">) : pour la première fois, un État répond de ce qui arrivera </w:t>
      </w:r>
      <w:r>
        <w:rPr>
          <w:rFonts w:ascii="Calibri" w:cs="Calibri" w:eastAsia="Calibri" w:hAnsi="Calibri"/>
          <w:b/>
          <w:bCs/>
          <w:color w:val="1A1A1A"/>
          <w:sz w:val="20"/>
          <w:szCs w:val="20"/>
        </w:rPr>
        <w:t xml:space="preserve">ailleurs</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La protection « par ricochet » a fait du droit des étrangers un droit des droits de l’homme.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w:t>
      </w:r>
      <w:r>
        <w:rPr>
          <w:rFonts w:ascii="Calibri" w:cs="Calibri" w:eastAsia="Calibri" w:hAnsi="Calibri"/>
          <w:color w:val="2E7D32"/>
          <w:sz w:val="20"/>
          <w:szCs w:val="20"/>
        </w:rPr>
        <w:t xml:space="preserve">Hannah Arendt</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Les Origines du totalitarisme</w:t>
      </w:r>
      <w:r>
        <w:rPr>
          <w:rFonts w:ascii="Calibri" w:cs="Calibri" w:eastAsia="Calibri" w:hAnsi="Calibri"/>
          <w:color w:val="1A1A1A"/>
          <w:sz w:val="20"/>
          <w:szCs w:val="20"/>
        </w:rPr>
        <w:t xml:space="preserve">, 1951) voit dans l’apatride celui qui a perdu « le droit d’avoir des droits ». Le droit de l’éloignement est le lieu où l’on mesure ce qui reste à l’étranger quand la souveraineté de l’État reprend la main.</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w:t>
      </w:r>
      <w:r>
        <w:rPr>
          <w:rFonts w:ascii="Calibri" w:cs="Calibri" w:eastAsia="Calibri" w:hAnsi="Calibri"/>
          <w:b/>
          <w:bCs/>
          <w:color w:val="1A1A1A"/>
          <w:sz w:val="20"/>
          <w:szCs w:val="20"/>
        </w:rPr>
        <w:t xml:space="preserve">éloignement</w:t>
      </w:r>
      <w:r>
        <w:rPr>
          <w:rFonts w:ascii="Calibri" w:cs="Calibri" w:eastAsia="Calibri" w:hAnsi="Calibri"/>
          <w:color w:val="1A1A1A"/>
          <w:sz w:val="20"/>
          <w:szCs w:val="20"/>
        </w:rPr>
        <w:t xml:space="preserve"> regroupe les mesures contraignant un étranger à quitter le territoire : </w:t>
      </w:r>
      <w:r>
        <w:rPr>
          <w:rFonts w:ascii="Calibri" w:cs="Calibri" w:eastAsia="Calibri" w:hAnsi="Calibri"/>
          <w:b/>
          <w:bCs/>
          <w:color w:val="1A1A1A"/>
          <w:sz w:val="20"/>
          <w:szCs w:val="20"/>
        </w:rPr>
        <w:t xml:space="preserve">OQTF</w:t>
      </w:r>
      <w:r>
        <w:rPr>
          <w:rFonts w:ascii="Calibri" w:cs="Calibri" w:eastAsia="Calibri" w:hAnsi="Calibri"/>
          <w:color w:val="1A1A1A"/>
          <w:sz w:val="20"/>
          <w:szCs w:val="20"/>
        </w:rPr>
        <w:t xml:space="preserve"> (séjour irrégulier, </w:t>
      </w:r>
      <w:r>
        <w:rPr>
          <w:rFonts w:ascii="Calibri" w:cs="Calibri" w:eastAsia="Calibri" w:hAnsi="Calibri"/>
          <w:color w:val="1E88E5"/>
          <w:sz w:val="20"/>
          <w:szCs w:val="20"/>
        </w:rPr>
        <w:t xml:space="preserve">art. L. 611-1 CESEDA</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expulsion</w:t>
      </w:r>
      <w:r>
        <w:rPr>
          <w:rFonts w:ascii="Calibri" w:cs="Calibri" w:eastAsia="Calibri" w:hAnsi="Calibri"/>
          <w:color w:val="1A1A1A"/>
          <w:sz w:val="20"/>
          <w:szCs w:val="20"/>
        </w:rPr>
        <w:t xml:space="preserve"> (menace grave pour l’ordre public, </w:t>
      </w:r>
      <w:r>
        <w:rPr>
          <w:rFonts w:ascii="Calibri" w:cs="Calibri" w:eastAsia="Calibri" w:hAnsi="Calibri"/>
          <w:color w:val="1E88E5"/>
          <w:sz w:val="20"/>
          <w:szCs w:val="20"/>
        </w:rPr>
        <w:t xml:space="preserve">art. L. 631-1</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extradition</w:t>
      </w:r>
      <w:r>
        <w:rPr>
          <w:rFonts w:ascii="Calibri" w:cs="Calibri" w:eastAsia="Calibri" w:hAnsi="Calibri"/>
          <w:color w:val="1A1A1A"/>
          <w:sz w:val="20"/>
          <w:szCs w:val="20"/>
        </w:rPr>
        <w:t xml:space="preserve"> (coopération pénale, </w:t>
      </w:r>
      <w:r>
        <w:rPr>
          <w:rFonts w:ascii="Calibri" w:cs="Calibri" w:eastAsia="Calibri" w:hAnsi="Calibri"/>
          <w:color w:val="1E88E5"/>
          <w:sz w:val="20"/>
          <w:szCs w:val="20"/>
        </w:rPr>
        <w:t xml:space="preserve">art. 696-1 et s. CPP</w:t>
      </w:r>
      <w:r>
        <w:rPr>
          <w:rFonts w:ascii="Calibri" w:cs="Calibri" w:eastAsia="Calibri" w:hAnsi="Calibri"/>
          <w:color w:val="1A1A1A"/>
          <w:sz w:val="20"/>
          <w:szCs w:val="20"/>
        </w:rPr>
        <w:t xml:space="preserve">) ; leur point commun est le contrôle par des garanties qui ne cèdent jamais : non-refoulement, vie familiale, recours effectif.</w:t>
      </w:r>
    </w:p>
    <w:p>
      <w:pPr>
        <w:pStyle w:val="ListParagraph"/>
        <w:numPr>
          <w:ilvl w:val="0"/>
          <w:numId w:val="2"/>
        </w:numPr>
        <w:spacing w:after="70" w:line="264"/>
        <w:jc w:val="both"/>
      </w:pPr>
      <w:r>
        <w:rPr>
          <w:rFonts w:ascii="Calibri" w:cs="Calibri" w:eastAsia="Calibri" w:hAnsi="Calibri"/>
          <w:color w:val="1A1A1A"/>
          <w:sz w:val="20"/>
          <w:szCs w:val="20"/>
        </w:rPr>
        <w:t xml:space="preserve">Aucun étranger n’a de droit général et absolu d’accès et de séjour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2011-631 DC</w:t>
      </w:r>
      <w:r>
        <w:rPr>
          <w:rFonts w:ascii="Calibri" w:cs="Calibri" w:eastAsia="Calibri" w:hAnsi="Calibri"/>
          <w:color w:val="1A1A1A"/>
          <w:sz w:val="20"/>
          <w:szCs w:val="20"/>
        </w:rPr>
        <w:t xml:space="preserve">) ; mais tous ceux qui résident en France jouissent des </w:t>
      </w:r>
      <w:r>
        <w:rPr>
          <w:rFonts w:ascii="Calibri" w:cs="Calibri" w:eastAsia="Calibri" w:hAnsi="Calibri"/>
          <w:b/>
          <w:bCs/>
          <w:color w:val="1A1A1A"/>
          <w:sz w:val="20"/>
          <w:szCs w:val="20"/>
        </w:rPr>
        <w:t xml:space="preserve">droits et libertés de valeur constitutionnelle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et l’</w:t>
      </w:r>
      <w:r>
        <w:rPr>
          <w:rFonts w:ascii="Calibri" w:cs="Calibri" w:eastAsia="Calibri" w:hAnsi="Calibri"/>
          <w:color w:val="1E88E5"/>
          <w:sz w:val="20"/>
          <w:szCs w:val="20"/>
        </w:rPr>
        <w:t xml:space="preserve">art. 3 CEDH</w:t>
      </w:r>
      <w:r>
        <w:rPr>
          <w:rFonts w:ascii="Calibri" w:cs="Calibri" w:eastAsia="Calibri" w:hAnsi="Calibri"/>
          <w:color w:val="1A1A1A"/>
          <w:sz w:val="20"/>
          <w:szCs w:val="20"/>
        </w:rPr>
        <w:t xml:space="preserve"> interdit tout éloignement vers un risque réel de mauvais traitements, </w:t>
      </w:r>
      <w:r>
        <w:rPr>
          <w:rFonts w:ascii="Calibri" w:cs="Calibri" w:eastAsia="Calibri" w:hAnsi="Calibri"/>
          <w:b/>
          <w:bCs/>
          <w:color w:val="1A1A1A"/>
          <w:sz w:val="20"/>
          <w:szCs w:val="20"/>
        </w:rPr>
        <w:t xml:space="preserve">quelle que soit la dangerosité</w:t>
      </w:r>
      <w:r>
        <w:rPr>
          <w:rFonts w:ascii="Calibri" w:cs="Calibri" w:eastAsia="Calibri" w:hAnsi="Calibri"/>
          <w:color w:val="1A1A1A"/>
          <w:sz w:val="20"/>
          <w:szCs w:val="20"/>
        </w:rPr>
        <w:t xml:space="preserve"> de la personne (</w:t>
      </w:r>
      <w:r>
        <w:rPr>
          <w:rFonts w:ascii="Calibri" w:cs="Calibri" w:eastAsia="Calibri" w:hAnsi="Calibri"/>
          <w:color w:val="E91E63"/>
          <w:sz w:val="20"/>
          <w:szCs w:val="20"/>
        </w:rPr>
        <w:t xml:space="preserve">Saadi c. Italie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 et 8 CEDH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4 du Protocole n° 4</w:t>
      </w:r>
      <w:r>
        <w:rPr>
          <w:rFonts w:ascii="Calibri" w:cs="Calibri" w:eastAsia="Calibri" w:hAnsi="Calibri"/>
          <w:color w:val="1A1A1A"/>
          <w:sz w:val="20"/>
          <w:szCs w:val="20"/>
        </w:rPr>
        <w:t xml:space="preserve"> (expulsions collectives) ; </w:t>
      </w:r>
      <w:r>
        <w:rPr>
          <w:rFonts w:ascii="Calibri" w:cs="Calibri" w:eastAsia="Calibri" w:hAnsi="Calibri"/>
          <w:color w:val="1E88E5"/>
          <w:sz w:val="20"/>
          <w:szCs w:val="20"/>
        </w:rPr>
        <w:t xml:space="preserve">art. 1er du Protocole n° 7</w:t>
      </w:r>
      <w:r>
        <w:rPr>
          <w:rFonts w:ascii="Calibri" w:cs="Calibri" w:eastAsia="Calibri" w:hAnsi="Calibri"/>
          <w:color w:val="1A1A1A"/>
          <w:sz w:val="20"/>
          <w:szCs w:val="20"/>
        </w:rPr>
        <w:t xml:space="preserve"> (garanties procédurales) ; </w:t>
      </w:r>
      <w:r>
        <w:rPr>
          <w:rFonts w:ascii="Calibri" w:cs="Calibri" w:eastAsia="Calibri" w:hAnsi="Calibri"/>
          <w:color w:val="1E88E5"/>
          <w:sz w:val="20"/>
          <w:szCs w:val="20"/>
        </w:rPr>
        <w:t xml:space="preserve">art. 19 CDFUE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33 Convention de Genève de 1951</w:t>
      </w:r>
      <w:r>
        <w:rPr>
          <w:rFonts w:ascii="Calibri" w:cs="Calibri" w:eastAsia="Calibri" w:hAnsi="Calibri"/>
          <w:color w:val="1A1A1A"/>
          <w:sz w:val="20"/>
          <w:szCs w:val="20"/>
        </w:rPr>
        <w:t xml:space="preserve"> (non-refoulement) ; </w:t>
      </w:r>
      <w:r>
        <w:rPr>
          <w:rFonts w:ascii="Calibri" w:cs="Calibri" w:eastAsia="Calibri" w:hAnsi="Calibri"/>
          <w:color w:val="1E88E5"/>
          <w:sz w:val="20"/>
          <w:szCs w:val="20"/>
        </w:rPr>
        <w:t xml:space="preserve">directive 2008/115/CE « retour »</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7 juillet 1989, Soering c. Royaume-Uni, n° 14038/88</w:t>
      </w:r>
      <w:r>
        <w:rPr>
          <w:rFonts w:ascii="Calibri" w:cs="Calibri" w:eastAsia="Calibri" w:hAnsi="Calibri"/>
          <w:color w:val="1A1A1A"/>
          <w:sz w:val="20"/>
          <w:szCs w:val="20"/>
        </w:rPr>
        <w:t xml:space="preserve"> : responsabilité de l’État qui extrade vers un risque réel de traitement contraire à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28 février 2008, Saadi c. Italie, n° 37201/06</w:t>
      </w:r>
      <w:r>
        <w:rPr>
          <w:rFonts w:ascii="Calibri" w:cs="Calibri" w:eastAsia="Calibri" w:hAnsi="Calibri"/>
          <w:color w:val="1A1A1A"/>
          <w:sz w:val="20"/>
          <w:szCs w:val="20"/>
        </w:rPr>
        <w:t xml:space="preserve"> (après </w:t>
      </w:r>
      <w:r>
        <w:rPr>
          <w:rFonts w:ascii="Calibri" w:cs="Calibri" w:eastAsia="Calibri" w:hAnsi="Calibri"/>
          <w:color w:val="E91E63"/>
          <w:sz w:val="20"/>
          <w:szCs w:val="20"/>
        </w:rPr>
        <w:t xml:space="preserve">Chahal c. Royaume-Uni</w:t>
      </w:r>
      <w:r>
        <w:rPr>
          <w:rFonts w:ascii="Calibri" w:cs="Calibri" w:eastAsia="Calibri" w:hAnsi="Calibri"/>
          <w:color w:val="1A1A1A"/>
          <w:sz w:val="20"/>
          <w:szCs w:val="20"/>
        </w:rPr>
        <w:t xml:space="preserve">, 15 novembre 1996) : le risque ne se met </w:t>
      </w:r>
      <w:r>
        <w:rPr>
          <w:rFonts w:ascii="Calibri" w:cs="Calibri" w:eastAsia="Calibri" w:hAnsi="Calibri"/>
          <w:b/>
          <w:bCs/>
          <w:color w:val="1A1A1A"/>
          <w:sz w:val="20"/>
          <w:szCs w:val="20"/>
        </w:rPr>
        <w:t xml:space="preserve">pas en balance</w:t>
      </w:r>
      <w:r>
        <w:rPr>
          <w:rFonts w:ascii="Calibri" w:cs="Calibri" w:eastAsia="Calibri" w:hAnsi="Calibri"/>
          <w:color w:val="1A1A1A"/>
          <w:sz w:val="20"/>
          <w:szCs w:val="20"/>
        </w:rPr>
        <w:t xml:space="preserve"> avec la dangerosité de l’intéressé, même terroriste.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19 avril 1991, Belgacem, n° 107470, et Mme Babas</w:t>
      </w:r>
      <w:r>
        <w:rPr>
          <w:rFonts w:ascii="Calibri" w:cs="Calibri" w:eastAsia="Calibri" w:hAnsi="Calibri"/>
          <w:color w:val="1A1A1A"/>
          <w:sz w:val="20"/>
          <w:szCs w:val="20"/>
        </w:rPr>
        <w:t xml:space="preserve"> : le juge administratif contrôle la </w:t>
      </w:r>
      <w:r>
        <w:rPr>
          <w:rFonts w:ascii="Calibri" w:cs="Calibri" w:eastAsia="Calibri" w:hAnsi="Calibri"/>
          <w:b/>
          <w:bCs/>
          <w:color w:val="1A1A1A"/>
          <w:sz w:val="20"/>
          <w:szCs w:val="20"/>
        </w:rPr>
        <w:t xml:space="preserve">proportionnalité</w:t>
      </w:r>
      <w:r>
        <w:rPr>
          <w:rFonts w:ascii="Calibri" w:cs="Calibri" w:eastAsia="Calibri" w:hAnsi="Calibri"/>
          <w:color w:val="1A1A1A"/>
          <w:sz w:val="20"/>
          <w:szCs w:val="20"/>
        </w:rPr>
        <w:t xml:space="preserve"> de l’atteinte portée à la vie familiale par une mesure d’éloignement (</w:t>
      </w:r>
      <w:r>
        <w:rPr>
          <w:rFonts w:ascii="Calibri" w:cs="Calibri" w:eastAsia="Calibri" w:hAnsi="Calibri"/>
          <w:color w:val="1E88E5"/>
          <w:sz w:val="20"/>
          <w:szCs w:val="20"/>
        </w:rPr>
        <w:t xml:space="preserve">art. 8 CEDH</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93-325 DC, 13 août 1993, Maîtrise de l’immigration</w:t>
      </w:r>
      <w:r>
        <w:rPr>
          <w:rFonts w:ascii="Calibri" w:cs="Calibri" w:eastAsia="Calibri" w:hAnsi="Calibri"/>
          <w:color w:val="1A1A1A"/>
          <w:sz w:val="20"/>
          <w:szCs w:val="20"/>
        </w:rPr>
        <w:t xml:space="preserve"> : statut constitutionnel de l’étranger — liberté individuelle, aller et venir, mariage, vie familiale normale, droit au recours.</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L’étranger face à l’éloignement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La souveraineté de l’État</w:t>
      </w:r>
      <w:r>
        <w:rPr>
          <w:rFonts w:ascii="Calibri" w:cs="Calibri" w:eastAsia="Calibri" w:hAnsi="Calibri"/>
          <w:color w:val="1A1A1A"/>
          <w:sz w:val="20"/>
          <w:szCs w:val="20"/>
        </w:rPr>
        <w:t xml:space="preserve"> (A. Un pouvoir de police étendu : </w:t>
      </w:r>
      <w:r>
        <w:rPr>
          <w:rFonts w:ascii="Calibri" w:cs="Calibri" w:eastAsia="Calibri" w:hAnsi="Calibri"/>
          <w:color w:val="E91E63"/>
          <w:sz w:val="20"/>
          <w:szCs w:val="20"/>
        </w:rPr>
        <w:t xml:space="preserve">2011-631 DC</w:t>
      </w:r>
      <w:r>
        <w:rPr>
          <w:rFonts w:ascii="Calibri" w:cs="Calibri" w:eastAsia="Calibri" w:hAnsi="Calibri"/>
          <w:color w:val="1A1A1A"/>
          <w:sz w:val="20"/>
          <w:szCs w:val="20"/>
        </w:rPr>
        <w:t xml:space="preserve">, OQTF, expulsion ; B. Une coopération pénale : extradition, mandat d’arrêt européen) / </w:t>
      </w:r>
      <w:r>
        <w:rPr>
          <w:rFonts w:ascii="Calibri" w:cs="Calibri" w:eastAsia="Calibri" w:hAnsi="Calibri"/>
          <w:b/>
          <w:bCs/>
          <w:color w:val="1A1A1A"/>
          <w:sz w:val="20"/>
          <w:szCs w:val="20"/>
        </w:rPr>
        <w:t xml:space="preserve">II. Les limites conventionnelles et constitutionnelles</w:t>
      </w:r>
      <w:r>
        <w:rPr>
          <w:rFonts w:ascii="Calibri" w:cs="Calibri" w:eastAsia="Calibri" w:hAnsi="Calibri"/>
          <w:color w:val="1A1A1A"/>
          <w:sz w:val="20"/>
          <w:szCs w:val="20"/>
        </w:rPr>
        <w:t xml:space="preserve"> (A. Les protections absolues :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Soering</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Saadi</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Paposhvili</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Trabelsi</w:t>
      </w:r>
      <w:r>
        <w:rPr>
          <w:rFonts w:ascii="Calibri" w:cs="Calibri" w:eastAsia="Calibri" w:hAnsi="Calibri"/>
          <w:color w:val="1A1A1A"/>
          <w:sz w:val="20"/>
          <w:szCs w:val="20"/>
        </w:rPr>
        <w:t xml:space="preserve"> ; B. Les protections relatives et procédurales : </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Belgacem</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Üner</w:t>
      </w:r>
      <w:r>
        <w:rPr>
          <w:rFonts w:ascii="Calibri" w:cs="Calibri" w:eastAsia="Calibri" w:hAnsi="Calibri"/>
          <w:color w:val="1A1A1A"/>
          <w:sz w:val="20"/>
          <w:szCs w:val="20"/>
        </w:rPr>
        <w:t xml:space="preserve">), recours effectif (</w:t>
      </w:r>
      <w:r>
        <w:rPr>
          <w:rFonts w:ascii="Calibri" w:cs="Calibri" w:eastAsia="Calibri" w:hAnsi="Calibri"/>
          <w:color w:val="E91E63"/>
          <w:sz w:val="20"/>
          <w:szCs w:val="20"/>
        </w:rPr>
        <w:t xml:space="preserve">Gebremedhin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De Souza Ribeiro</w:t>
      </w:r>
      <w:r>
        <w:rPr>
          <w:rFonts w:ascii="Calibri" w:cs="Calibri" w:eastAsia="Calibri" w:hAnsi="Calibri"/>
          <w:color w:val="1A1A1A"/>
          <w:sz w:val="20"/>
          <w:szCs w:val="20"/>
        </w:rPr>
        <w:t xml:space="preserve">), rétention sous l’</w:t>
      </w:r>
      <w:r>
        <w:rPr>
          <w:rFonts w:ascii="Calibri" w:cs="Calibri" w:eastAsia="Calibri" w:hAnsi="Calibri"/>
          <w:color w:val="1E88E5"/>
          <w:sz w:val="20"/>
          <w:szCs w:val="20"/>
        </w:rPr>
        <w:t xml:space="preserve">art. 66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Extradition et droits fondamentaux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acte de coopération désormais juridictionnalisé</w:t>
      </w:r>
      <w:r>
        <w:rPr>
          <w:rFonts w:ascii="Calibri" w:cs="Calibri" w:eastAsia="Calibri" w:hAnsi="Calibri"/>
          <w:color w:val="1A1A1A"/>
          <w:sz w:val="20"/>
          <w:szCs w:val="20"/>
        </w:rPr>
        <w:t xml:space="preserve"> (A. De l’acte de gouvernement au contrôle entier : </w:t>
      </w:r>
      <w:r>
        <w:rPr>
          <w:rFonts w:ascii="Calibri" w:cs="Calibri" w:eastAsia="Calibri" w:hAnsi="Calibri"/>
          <w:color w:val="E91E63"/>
          <w:sz w:val="20"/>
          <w:szCs w:val="20"/>
        </w:rPr>
        <w:t xml:space="preserve">Decerf</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Astudillo Calleja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Koné</w:t>
      </w:r>
      <w:r>
        <w:rPr>
          <w:rFonts w:ascii="Calibri" w:cs="Calibri" w:eastAsia="Calibri" w:hAnsi="Calibri"/>
          <w:color w:val="1A1A1A"/>
          <w:sz w:val="20"/>
          <w:szCs w:val="20"/>
        </w:rPr>
        <w:t xml:space="preserve"> ; B. Les causes légales de refus : nationalité, infraction politique, </w:t>
      </w:r>
      <w:r>
        <w:rPr>
          <w:rFonts w:ascii="Calibri" w:cs="Calibri" w:eastAsia="Calibri" w:hAnsi="Calibri"/>
          <w:color w:val="1E88E5"/>
          <w:sz w:val="20"/>
          <w:szCs w:val="20"/>
        </w:rPr>
        <w:t xml:space="preserve">art. 696-4 CPP</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 acte soumis aux droits de l’homme</w:t>
      </w:r>
      <w:r>
        <w:rPr>
          <w:rFonts w:ascii="Calibri" w:cs="Calibri" w:eastAsia="Calibri" w:hAnsi="Calibri"/>
          <w:color w:val="1A1A1A"/>
          <w:sz w:val="20"/>
          <w:szCs w:val="20"/>
        </w:rPr>
        <w:t xml:space="preserve"> (A. Peine de mort et perpétuité incompressible : </w:t>
      </w:r>
      <w:r>
        <w:rPr>
          <w:rFonts w:ascii="Calibri" w:cs="Calibri" w:eastAsia="Calibri" w:hAnsi="Calibri"/>
          <w:color w:val="E91E63"/>
          <w:sz w:val="20"/>
          <w:szCs w:val="20"/>
        </w:rPr>
        <w:t xml:space="preserve">Soering</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Trabelsi</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18 novembre 2022</w:t>
      </w:r>
      <w:r>
        <w:rPr>
          <w:rFonts w:ascii="Calibri" w:cs="Calibri" w:eastAsia="Calibri" w:hAnsi="Calibri"/>
          <w:color w:val="1A1A1A"/>
          <w:sz w:val="20"/>
          <w:szCs w:val="20"/>
        </w:rPr>
        <w:t xml:space="preserve"> ; B. Vie familiale et intérêt de l’enfant : </w:t>
      </w:r>
      <w:r>
        <w:rPr>
          <w:rFonts w:ascii="Calibri" w:cs="Calibri" w:eastAsia="Calibri" w:hAnsi="Calibri"/>
          <w:color w:val="E91E63"/>
          <w:sz w:val="20"/>
          <w:szCs w:val="20"/>
        </w:rPr>
        <w:t xml:space="preserve">CE, 10 mars 2025</w:t>
      </w:r>
      <w:r>
        <w:rPr>
          <w:rFonts w:ascii="Calibri" w:cs="Calibri" w:eastAsia="Calibri" w:hAnsi="Calibri"/>
          <w:color w:val="1A1A1A"/>
          <w:sz w:val="20"/>
          <w:szCs w:val="20"/>
        </w:rPr>
        <w:t xml:space="preserve">, mandat d’arrêt européen </w:t>
      </w:r>
      <w:r>
        <w:rPr>
          <w:rFonts w:ascii="Calibri" w:cs="Calibri" w:eastAsia="Calibri" w:hAnsi="Calibri"/>
          <w:color w:val="E91E63"/>
          <w:sz w:val="20"/>
          <w:szCs w:val="20"/>
        </w:rPr>
        <w:t xml:space="preserve">Aranyosi et Căldăraru</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Le juge de l’OQTF contrôle l’article 8</w:t>
      </w:r>
      <w:r>
        <w:rPr>
          <w:rFonts w:ascii="Calibri" w:cs="Calibri" w:eastAsia="Calibri" w:hAnsi="Calibri"/>
          <w:color w:val="1A1A1A"/>
          <w:sz w:val="20"/>
          <w:szCs w:val="20"/>
        </w:rPr>
        <w:t xml:space="preserve"> : le fascicule affirme que le contrôle serait limité à l’erreur manifeste « en dehors de toute considération » de la vie familiale — c’est faux depuis </w:t>
      </w:r>
      <w:r>
        <w:rPr>
          <w:rFonts w:ascii="Calibri" w:cs="Calibri" w:eastAsia="Calibri" w:hAnsi="Calibri"/>
          <w:color w:val="E91E63"/>
          <w:sz w:val="20"/>
          <w:szCs w:val="20"/>
        </w:rPr>
        <w:t xml:space="preserve">Belgacem et Babas</w:t>
      </w:r>
      <w:r>
        <w:rPr>
          <w:rFonts w:ascii="Calibri" w:cs="Calibri" w:eastAsia="Calibri" w:hAnsi="Calibri"/>
          <w:color w:val="1A1A1A"/>
          <w:sz w:val="20"/>
          <w:szCs w:val="20"/>
        </w:rPr>
        <w:t xml:space="preserve"> (1991), qui concernaient précisément une expulsion et une reconduite à la frontière : contrôle de </w:t>
      </w:r>
      <w:r>
        <w:rPr>
          <w:rFonts w:ascii="Calibri" w:cs="Calibri" w:eastAsia="Calibri" w:hAnsi="Calibri"/>
          <w:b/>
          <w:bCs/>
          <w:color w:val="1A1A1A"/>
          <w:sz w:val="20"/>
          <w:szCs w:val="20"/>
        </w:rPr>
        <w:t xml:space="preserve">proportionnalité</w:t>
      </w:r>
      <w:r>
        <w:rPr>
          <w:rFonts w:ascii="Calibri" w:cs="Calibri" w:eastAsia="Calibri" w:hAnsi="Calibri"/>
          <w:color w:val="1A1A1A"/>
          <w:sz w:val="20"/>
          <w:szCs w:val="20"/>
        </w:rPr>
        <w:t xml:space="preserve"> au regard de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Article 3 absolu ≠ article 8 relatif</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interdit l’éloignement sans balance (</w:t>
      </w:r>
      <w:r>
        <w:rPr>
          <w:rFonts w:ascii="Calibri" w:cs="Calibri" w:eastAsia="Calibri" w:hAnsi="Calibri"/>
          <w:color w:val="E91E63"/>
          <w:sz w:val="20"/>
          <w:szCs w:val="20"/>
        </w:rPr>
        <w:t xml:space="preserve">Saadi</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autorise l’éloignement si l’atteinte est proportionnée (critères </w:t>
      </w:r>
      <w:r>
        <w:rPr>
          <w:rFonts w:ascii="Calibri" w:cs="Calibri" w:eastAsia="Calibri" w:hAnsi="Calibri"/>
          <w:color w:val="E91E63"/>
          <w:sz w:val="20"/>
          <w:szCs w:val="20"/>
        </w:rPr>
        <w:t xml:space="preserve">Boultif</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Üner</w:t>
      </w:r>
      <w:r>
        <w:rPr>
          <w:rFonts w:ascii="Calibri" w:cs="Calibri" w:eastAsia="Calibri" w:hAnsi="Calibri"/>
          <w:color w:val="1A1A1A"/>
          <w:sz w:val="20"/>
          <w:szCs w:val="20"/>
        </w:rPr>
        <w:t xml:space="preserve">). Ne jamais « mettre en balance » un risque de torture.</w:t>
      </w:r>
    </w:p>
    <w:p>
      <w:pPr>
        <w:pStyle w:val="ListParagraph"/>
        <w:numPr>
          <w:ilvl w:val="0"/>
          <w:numId w:val="2"/>
        </w:numPr>
        <w:spacing w:after="70" w:line="264"/>
        <w:jc w:val="both"/>
      </w:pPr>
      <w:r>
        <w:rPr>
          <w:rFonts w:ascii="Calibri" w:cs="Calibri" w:eastAsia="Calibri" w:hAnsi="Calibri"/>
          <w:b/>
          <w:bCs/>
          <w:color w:val="1A1A1A"/>
          <w:sz w:val="20"/>
          <w:szCs w:val="20"/>
        </w:rPr>
        <w:t xml:space="preserve">Soering ne condamne pas la peine de mort en soi</w:t>
      </w:r>
      <w:r>
        <w:rPr>
          <w:rFonts w:ascii="Calibri" w:cs="Calibri" w:eastAsia="Calibri" w:hAnsi="Calibri"/>
          <w:color w:val="1A1A1A"/>
          <w:sz w:val="20"/>
          <w:szCs w:val="20"/>
        </w:rPr>
        <w:t xml:space="preserve"> : en 1989, la violation tient au </w:t>
      </w:r>
      <w:r>
        <w:rPr>
          <w:rFonts w:ascii="Calibri" w:cs="Calibri" w:eastAsia="Calibri" w:hAnsi="Calibri"/>
          <w:b/>
          <w:bCs/>
          <w:color w:val="1A1A1A"/>
          <w:sz w:val="20"/>
          <w:szCs w:val="20"/>
        </w:rPr>
        <w:t xml:space="preserve">couloir de la mort</w:t>
      </w:r>
      <w:r>
        <w:rPr>
          <w:rFonts w:ascii="Calibri" w:cs="Calibri" w:eastAsia="Calibri" w:hAnsi="Calibri"/>
          <w:color w:val="1A1A1A"/>
          <w:sz w:val="20"/>
          <w:szCs w:val="20"/>
        </w:rPr>
        <w:t xml:space="preserve"> ; c’est plus tard, avec l’abolition générale (Protocole n° 13), que la peine capitale elle-même est jugée contraire aux </w:t>
      </w:r>
      <w:r>
        <w:rPr>
          <w:rFonts w:ascii="Calibri" w:cs="Calibri" w:eastAsia="Calibri" w:hAnsi="Calibri"/>
          <w:color w:val="1E88E5"/>
          <w:sz w:val="20"/>
          <w:szCs w:val="20"/>
        </w:rPr>
        <w:t xml:space="preserve">art. 2 et 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2 mars 2010, Al-Saadoon et Mufdhi c. Royaume-Uni</w:t>
      </w:r>
      <w:r>
        <w:rPr>
          <w:rFonts w:ascii="Calibri" w:cs="Calibri" w:eastAsia="Calibri" w:hAnsi="Calibri"/>
          <w:color w:val="1A1A1A"/>
          <w:sz w:val="20"/>
          <w:szCs w:val="20"/>
        </w:rPr>
        <w:t xml:space="preserve">).</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33 Convention de Genève du 28 juillet 1951</w:t>
      </w:r>
      <w:r>
        <w:rPr>
          <w:rFonts w:ascii="Calibri" w:cs="Calibri" w:eastAsia="Calibri" w:hAnsi="Calibri"/>
          <w:color w:val="1A1A1A"/>
          <w:sz w:val="20"/>
          <w:szCs w:val="20"/>
        </w:rPr>
        <w:t xml:space="preserve"> (non-refoulement, exception pour le réfugié dangereux) ; </w:t>
      </w:r>
      <w:r>
        <w:rPr>
          <w:rFonts w:ascii="Calibri" w:cs="Calibri" w:eastAsia="Calibri" w:hAnsi="Calibri"/>
          <w:color w:val="1E88E5"/>
          <w:sz w:val="20"/>
          <w:szCs w:val="20"/>
        </w:rPr>
        <w:t xml:space="preserve">art. 3 Convention contre la torture (1984)</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7 et 13 PIDCP</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22 Convention internationale sur la protection des travailleurs migrants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 CEDH</w:t>
      </w:r>
      <w:r>
        <w:rPr>
          <w:rFonts w:ascii="Calibri" w:cs="Calibri" w:eastAsia="Calibri" w:hAnsi="Calibri"/>
          <w:color w:val="1A1A1A"/>
          <w:sz w:val="20"/>
          <w:szCs w:val="20"/>
        </w:rPr>
        <w:t xml:space="preserve"> (absolu) ; </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13</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4 Prot. 4</w:t>
      </w:r>
      <w:r>
        <w:rPr>
          <w:rFonts w:ascii="Calibri" w:cs="Calibri" w:eastAsia="Calibri" w:hAnsi="Calibri"/>
          <w:color w:val="1A1A1A"/>
          <w:sz w:val="20"/>
          <w:szCs w:val="20"/>
        </w:rPr>
        <w:t xml:space="preserve"> (expulsions collectives) ; </w:t>
      </w:r>
      <w:r>
        <w:rPr>
          <w:rFonts w:ascii="Calibri" w:cs="Calibri" w:eastAsia="Calibri" w:hAnsi="Calibri"/>
          <w:color w:val="1E88E5"/>
          <w:sz w:val="20"/>
          <w:szCs w:val="20"/>
        </w:rPr>
        <w:t xml:space="preserve">art. 1er Prot. 7</w:t>
      </w:r>
      <w:r>
        <w:rPr>
          <w:rFonts w:ascii="Calibri" w:cs="Calibri" w:eastAsia="Calibri" w:hAnsi="Calibri"/>
          <w:color w:val="1A1A1A"/>
          <w:sz w:val="20"/>
          <w:szCs w:val="20"/>
        </w:rPr>
        <w:t xml:space="preserve"> (expulsion d’un étranger résidant régulièrement : décision conforme à la loi, droit de faire valoir ses raisons, examen et représentation, sauf ordre public ou sécurité nationale ; protocole du 22 novembre 1984, en vigueur en 1988) ; </w:t>
      </w:r>
      <w:r>
        <w:rPr>
          <w:rFonts w:ascii="Calibri" w:cs="Calibri" w:eastAsia="Calibri" w:hAnsi="Calibri"/>
          <w:color w:val="1E88E5"/>
          <w:sz w:val="20"/>
          <w:szCs w:val="20"/>
        </w:rPr>
        <w:t xml:space="preserve">art. 19 CDFUE</w:t>
      </w:r>
      <w:r>
        <w:rPr>
          <w:rFonts w:ascii="Calibri" w:cs="Calibri" w:eastAsia="Calibri" w:hAnsi="Calibri"/>
          <w:color w:val="1A1A1A"/>
          <w:sz w:val="20"/>
          <w:szCs w:val="20"/>
        </w:rPr>
        <w:t xml:space="preserve"> (§ 1 expulsions collectives ; § 2 non-refoulement vers la peine de mort, la torture ou les traitements inhumains). Union : </w:t>
      </w:r>
      <w:r>
        <w:rPr>
          <w:rFonts w:ascii="Calibri" w:cs="Calibri" w:eastAsia="Calibri" w:hAnsi="Calibri"/>
          <w:color w:val="1E88E5"/>
          <w:sz w:val="20"/>
          <w:szCs w:val="20"/>
        </w:rPr>
        <w:t xml:space="preserve">directive 2008/115/CE « retour »</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décision-cadre 2002/584/JAI</w:t>
      </w:r>
      <w:r>
        <w:rPr>
          <w:rFonts w:ascii="Calibri" w:cs="Calibri" w:eastAsia="Calibri" w:hAnsi="Calibri"/>
          <w:color w:val="1A1A1A"/>
          <w:sz w:val="20"/>
          <w:szCs w:val="20"/>
        </w:rPr>
        <w:t xml:space="preserve"> (mandat d’arrêt européen) ; </w:t>
      </w:r>
      <w:r>
        <w:rPr>
          <w:rFonts w:ascii="Calibri" w:cs="Calibri" w:eastAsia="Calibri" w:hAnsi="Calibri"/>
          <w:color w:val="1E88E5"/>
          <w:sz w:val="20"/>
          <w:szCs w:val="20"/>
        </w:rPr>
        <w:t xml:space="preserve">Pacte sur la migration et l’asile</w:t>
      </w:r>
      <w:r>
        <w:rPr>
          <w:rFonts w:ascii="Calibri" w:cs="Calibri" w:eastAsia="Calibri" w:hAnsi="Calibri"/>
          <w:color w:val="1A1A1A"/>
          <w:sz w:val="20"/>
          <w:szCs w:val="20"/>
        </w:rPr>
        <w:t xml:space="preserve"> (adopté en mai 2024, applicable depuis juin 2026).</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statut constitutionnel de l’étranger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 liberté du mariage, composante de la liberté personnelle, qui interdit de faire de l’irrégularité du séjour un obstacle en soi au mariage (</w:t>
      </w:r>
      <w:r>
        <w:rPr>
          <w:rFonts w:ascii="Calibri" w:cs="Calibri" w:eastAsia="Calibri" w:hAnsi="Calibri"/>
          <w:color w:val="E91E63"/>
          <w:sz w:val="20"/>
          <w:szCs w:val="20"/>
        </w:rPr>
        <w:t xml:space="preserve">2003-484 DC, 20 novembre 2003</w:t>
      </w:r>
      <w:r>
        <w:rPr>
          <w:rFonts w:ascii="Calibri" w:cs="Calibri" w:eastAsia="Calibri" w:hAnsi="Calibri"/>
          <w:color w:val="1A1A1A"/>
          <w:sz w:val="20"/>
          <w:szCs w:val="20"/>
        </w:rPr>
        <w:t xml:space="preserve">) ; lutte contre l’immigration irrégulière, participant de la sauvegarde de l’ordre public (</w:t>
      </w:r>
      <w:r>
        <w:rPr>
          <w:rFonts w:ascii="Calibri" w:cs="Calibri" w:eastAsia="Calibri" w:hAnsi="Calibri"/>
          <w:color w:val="E91E63"/>
          <w:sz w:val="20"/>
          <w:szCs w:val="20"/>
        </w:rPr>
        <w:t xml:space="preserve">2011-631 DC, 9 juin 2011</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66</w:t>
      </w:r>
      <w:r>
        <w:rPr>
          <w:rFonts w:ascii="Calibri" w:cs="Calibri" w:eastAsia="Calibri" w:hAnsi="Calibri"/>
          <w:color w:val="1A1A1A"/>
          <w:sz w:val="20"/>
          <w:szCs w:val="20"/>
        </w:rPr>
        <w:t xml:space="preserve"> pour la rétention ; </w:t>
      </w:r>
      <w:r>
        <w:rPr>
          <w:rFonts w:ascii="Calibri" w:cs="Calibri" w:eastAsia="Calibri" w:hAnsi="Calibri"/>
          <w:color w:val="1E88E5"/>
          <w:sz w:val="20"/>
          <w:szCs w:val="20"/>
        </w:rPr>
        <w:t xml:space="preserve">art. 88-2</w:t>
      </w:r>
      <w:r>
        <w:rPr>
          <w:rFonts w:ascii="Calibri" w:cs="Calibri" w:eastAsia="Calibri" w:hAnsi="Calibri"/>
          <w:color w:val="1A1A1A"/>
          <w:sz w:val="20"/>
          <w:szCs w:val="20"/>
        </w:rPr>
        <w:t xml:space="preserve"> (mandat d’arrêt européen, révision du 25 mars 2003).</w:t>
      </w:r>
    </w:p>
    <w:p>
      <w:pPr>
        <w:pStyle w:val="ListParagraph"/>
        <w:numPr>
          <w:ilvl w:val="0"/>
          <w:numId w:val="2"/>
        </w:numPr>
        <w:spacing w:after="70" w:line="264"/>
        <w:jc w:val="both"/>
      </w:pPr>
      <w:r>
        <w:rPr>
          <w:rFonts w:ascii="Calibri" w:cs="Calibri" w:eastAsia="Calibri" w:hAnsi="Calibri"/>
          <w:b/>
          <w:bCs/>
          <w:color w:val="1A1A1A"/>
          <w:sz w:val="20"/>
          <w:szCs w:val="20"/>
        </w:rPr>
        <w:t xml:space="preserve">Droit législatif</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CESEDA</w:t>
      </w:r>
      <w:r>
        <w:rPr>
          <w:rFonts w:ascii="Calibri" w:cs="Calibri" w:eastAsia="Calibri" w:hAnsi="Calibri"/>
          <w:color w:val="1A1A1A"/>
          <w:sz w:val="20"/>
          <w:szCs w:val="20"/>
        </w:rPr>
        <w:t xml:space="preserve"> — livre VI (éloignement) : OQTF (</w:t>
      </w:r>
      <w:r>
        <w:rPr>
          <w:rFonts w:ascii="Calibri" w:cs="Calibri" w:eastAsia="Calibri" w:hAnsi="Calibri"/>
          <w:color w:val="1E88E5"/>
          <w:sz w:val="20"/>
          <w:szCs w:val="20"/>
        </w:rPr>
        <w:t xml:space="preserve">L. 611-1</w:t>
      </w:r>
      <w:r>
        <w:rPr>
          <w:rFonts w:ascii="Calibri" w:cs="Calibri" w:eastAsia="Calibri" w:hAnsi="Calibri"/>
          <w:color w:val="1A1A1A"/>
          <w:sz w:val="20"/>
          <w:szCs w:val="20"/>
        </w:rPr>
        <w:t xml:space="preserve">), interdiction de retour (</w:t>
      </w:r>
      <w:r>
        <w:rPr>
          <w:rFonts w:ascii="Calibri" w:cs="Calibri" w:eastAsia="Calibri" w:hAnsi="Calibri"/>
          <w:color w:val="1E88E5"/>
          <w:sz w:val="20"/>
          <w:szCs w:val="20"/>
        </w:rPr>
        <w:t xml:space="preserve">L. 612-6</w:t>
      </w:r>
      <w:r>
        <w:rPr>
          <w:rFonts w:ascii="Calibri" w:cs="Calibri" w:eastAsia="Calibri" w:hAnsi="Calibri"/>
          <w:color w:val="1A1A1A"/>
          <w:sz w:val="20"/>
          <w:szCs w:val="20"/>
        </w:rPr>
        <w:t xml:space="preserve">), expulsion (</w:t>
      </w:r>
      <w:r>
        <w:rPr>
          <w:rFonts w:ascii="Calibri" w:cs="Calibri" w:eastAsia="Calibri" w:hAnsi="Calibri"/>
          <w:color w:val="1E88E5"/>
          <w:sz w:val="20"/>
          <w:szCs w:val="20"/>
        </w:rPr>
        <w:t xml:space="preserve">L. 631-1 à L. 631-3</w:t>
      </w:r>
      <w:r>
        <w:rPr>
          <w:rFonts w:ascii="Calibri" w:cs="Calibri" w:eastAsia="Calibri" w:hAnsi="Calibri"/>
          <w:color w:val="1A1A1A"/>
          <w:sz w:val="20"/>
          <w:szCs w:val="20"/>
        </w:rPr>
        <w:t xml:space="preserve">), rétention (</w:t>
      </w:r>
      <w:r>
        <w:rPr>
          <w:rFonts w:ascii="Calibri" w:cs="Calibri" w:eastAsia="Calibri" w:hAnsi="Calibri"/>
          <w:color w:val="1E88E5"/>
          <w:sz w:val="20"/>
          <w:szCs w:val="20"/>
        </w:rPr>
        <w:t xml:space="preserve">L. 741-1 et 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696-1 à 696-47 CPP</w:t>
      </w:r>
      <w:r>
        <w:rPr>
          <w:rFonts w:ascii="Calibri" w:cs="Calibri" w:eastAsia="Calibri" w:hAnsi="Calibri"/>
          <w:color w:val="1A1A1A"/>
          <w:sz w:val="20"/>
          <w:szCs w:val="20"/>
        </w:rPr>
        <w:t xml:space="preserve"> (extradition et mandat d’arrêt européen) ; </w:t>
      </w:r>
      <w:r>
        <w:rPr>
          <w:rFonts w:ascii="Calibri" w:cs="Calibri" w:eastAsia="Calibri" w:hAnsi="Calibri"/>
          <w:color w:val="1E88E5"/>
          <w:sz w:val="20"/>
          <w:szCs w:val="20"/>
        </w:rPr>
        <w:t xml:space="preserve">loi du 26 janvier 2024 pour contrôler l’immigration, améliorer l’intégration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2023-863 DC, 25 janvier 2024</w:t>
      </w:r>
      <w:r>
        <w:rPr>
          <w:rFonts w:ascii="Calibri" w:cs="Calibri" w:eastAsia="Calibri" w:hAnsi="Calibri"/>
          <w:color w:val="1A1A1A"/>
          <w:sz w:val="20"/>
          <w:szCs w:val="20"/>
        </w:rPr>
        <w:t xml:space="preserve">, trente-deux cavaliers censurés) ; </w:t>
      </w:r>
      <w:r>
        <w:rPr>
          <w:rFonts w:ascii="Calibri" w:cs="Calibri" w:eastAsia="Calibri" w:hAnsi="Calibri"/>
          <w:color w:val="1E88E5"/>
          <w:sz w:val="20"/>
          <w:szCs w:val="20"/>
        </w:rPr>
        <w:t xml:space="preserve">loi du 27 juillet 2026</w:t>
      </w:r>
      <w:r>
        <w:rPr>
          <w:rFonts w:ascii="Calibri" w:cs="Calibri" w:eastAsia="Calibri" w:hAnsi="Calibri"/>
          <w:color w:val="1A1A1A"/>
          <w:sz w:val="20"/>
          <w:szCs w:val="20"/>
        </w:rPr>
        <w:t xml:space="preserve"> (rétention, rétention de sûreté terroriste).</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trois logiques coexistent — police des étrangers (OQTF), ordre public (expulsion), coopération pénale (extradition) — mais un même noyau de garanties s’applique à toutes :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comme limite absolue,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comme limite relative, l’</w:t>
      </w:r>
      <w:r>
        <w:rPr>
          <w:rFonts w:ascii="Calibri" w:cs="Calibri" w:eastAsia="Calibri" w:hAnsi="Calibri"/>
          <w:color w:val="1E88E5"/>
          <w:sz w:val="20"/>
          <w:szCs w:val="20"/>
        </w:rPr>
        <w:t xml:space="preserve">art. 13</w:t>
      </w:r>
      <w:r>
        <w:rPr>
          <w:rFonts w:ascii="Calibri" w:cs="Calibri" w:eastAsia="Calibri" w:hAnsi="Calibri"/>
          <w:color w:val="1A1A1A"/>
          <w:sz w:val="20"/>
          <w:szCs w:val="20"/>
        </w:rPr>
        <w:t xml:space="preserve"> comme garantie procédurale.</w:t>
      </w:r>
    </w:p>
    <w:p>
      <w:pPr>
        <w:pStyle w:val="Heading2"/>
        <w:spacing w:after="120" w:before="280"/>
      </w:pPr>
      <w:r>
        <w:rPr>
          <w:rFonts w:ascii="Calibri" w:cs="Calibri" w:eastAsia="Calibri" w:hAnsi="Calibri"/>
          <w:b/>
          <w:bCs/>
          <w:color w:val="1A1A1A"/>
          <w:sz w:val="24"/>
          <w:szCs w:val="24"/>
        </w:rPr>
        <w:t xml:space="preserve">2. Les mesures d’éloignement</w:t>
      </w:r>
    </w:p>
    <w:p>
      <w:pPr>
        <w:pStyle w:val="Heading3"/>
        <w:spacing w:after="90" w:before="200"/>
      </w:pPr>
      <w:r>
        <w:rPr>
          <w:rFonts w:ascii="Calibri" w:cs="Calibri" w:eastAsia="Calibri" w:hAnsi="Calibri"/>
          <w:b/>
          <w:bCs/>
          <w:i/>
          <w:iCs/>
          <w:color w:val="5A5A5A"/>
          <w:sz w:val="21"/>
          <w:szCs w:val="21"/>
        </w:rPr>
        <w:t xml:space="preserve">2.1. L’OQTF</w:t>
      </w:r>
    </w:p>
    <w:p>
      <w:pPr>
        <w:pStyle w:val="ListParagraph"/>
        <w:numPr>
          <w:ilvl w:val="0"/>
          <w:numId w:val="2"/>
        </w:numPr>
        <w:spacing w:after="70" w:line="264"/>
        <w:jc w:val="both"/>
      </w:pPr>
      <w:r>
        <w:rPr>
          <w:rFonts w:ascii="Calibri" w:cs="Calibri" w:eastAsia="Calibri" w:hAnsi="Calibri"/>
          <w:b/>
          <w:bCs/>
          <w:color w:val="1A1A1A"/>
          <w:sz w:val="20"/>
          <w:szCs w:val="20"/>
        </w:rPr>
        <w:t xml:space="preserve">Champ</w:t>
      </w:r>
      <w:r>
        <w:rPr>
          <w:rFonts w:ascii="Calibri" w:cs="Calibri" w:eastAsia="Calibri" w:hAnsi="Calibri"/>
          <w:color w:val="1A1A1A"/>
          <w:sz w:val="20"/>
          <w:szCs w:val="20"/>
        </w:rPr>
        <w:t xml:space="preserve"> : étranger en situation irrégulière ou dont le titre est refusé ou retiré ; mesure du préfet, avec ou sans délai de départ volontaire, souvent assortie d’une interdiction de retour ; la </w:t>
      </w:r>
      <w:r>
        <w:rPr>
          <w:rFonts w:ascii="Calibri" w:cs="Calibri" w:eastAsia="Calibri" w:hAnsi="Calibri"/>
          <w:color w:val="1E88E5"/>
          <w:sz w:val="20"/>
          <w:szCs w:val="20"/>
        </w:rPr>
        <w:t xml:space="preserve">loi du 16 juin 2011</w:t>
      </w:r>
      <w:r>
        <w:rPr>
          <w:rFonts w:ascii="Calibri" w:cs="Calibri" w:eastAsia="Calibri" w:hAnsi="Calibri"/>
          <w:color w:val="1A1A1A"/>
          <w:sz w:val="20"/>
          <w:szCs w:val="20"/>
        </w:rPr>
        <w:t xml:space="preserve"> a fusionné reconduite à la frontière et OQTF. </w:t>
      </w:r>
      <w:r>
        <w:rPr>
          <w:rFonts w:ascii="Calibri" w:cs="Calibri" w:eastAsia="Calibri" w:hAnsi="Calibri"/>
          <w:b/>
          <w:bCs/>
          <w:color w:val="1A1A1A"/>
          <w:sz w:val="20"/>
          <w:szCs w:val="20"/>
        </w:rPr>
        <w:t xml:space="preserve">Exclus</w:t>
      </w:r>
      <w:r>
        <w:rPr>
          <w:rFonts w:ascii="Calibri" w:cs="Calibri" w:eastAsia="Calibri" w:hAnsi="Calibri"/>
          <w:color w:val="1A1A1A"/>
          <w:sz w:val="20"/>
          <w:szCs w:val="20"/>
        </w:rPr>
        <w:t xml:space="preserve"> : les mineurs (</w:t>
      </w:r>
      <w:r>
        <w:rPr>
          <w:rFonts w:ascii="Calibri" w:cs="Calibri" w:eastAsia="Calibri" w:hAnsi="Calibri"/>
          <w:color w:val="1E88E5"/>
          <w:sz w:val="20"/>
          <w:szCs w:val="20"/>
        </w:rPr>
        <w:t xml:space="preserve">art. L. 611-3</w:t>
      </w:r>
      <w:r>
        <w:rPr>
          <w:rFonts w:ascii="Calibri" w:cs="Calibri" w:eastAsia="Calibri" w:hAnsi="Calibri"/>
          <w:color w:val="1A1A1A"/>
          <w:sz w:val="20"/>
          <w:szCs w:val="20"/>
        </w:rPr>
        <w:t xml:space="preserve">) ; protections catégorielles réduites par la </w:t>
      </w:r>
      <w:r>
        <w:rPr>
          <w:rFonts w:ascii="Calibri" w:cs="Calibri" w:eastAsia="Calibri" w:hAnsi="Calibri"/>
          <w:color w:val="1E88E5"/>
          <w:sz w:val="20"/>
          <w:szCs w:val="20"/>
        </w:rPr>
        <w:t xml:space="preserve">loi de 2024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w:t>
      </w:r>
      <w:r>
        <w:rPr>
          <w:rFonts w:ascii="Calibri" w:cs="Calibri" w:eastAsia="Calibri" w:hAnsi="Calibri"/>
          <w:color w:val="1A1A1A"/>
          <w:sz w:val="20"/>
          <w:szCs w:val="20"/>
        </w:rPr>
        <w:t xml:space="preserve"> : tribunal administratif, recours suspensif ; contrôle de proportionnalité au regard de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Mme Babas</w:t>
      </w:r>
      <w:r>
        <w:rPr>
          <w:rFonts w:ascii="Calibri" w:cs="Calibri" w:eastAsia="Calibri" w:hAnsi="Calibri"/>
          <w:color w:val="1A1A1A"/>
          <w:sz w:val="20"/>
          <w:szCs w:val="20"/>
        </w:rPr>
        <w:t xml:space="preserve">, 1991) et de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pour le pays de destination.</w:t>
      </w:r>
    </w:p>
    <w:p>
      <w:pPr>
        <w:pStyle w:val="Heading3"/>
        <w:spacing w:after="90" w:before="200"/>
      </w:pPr>
      <w:r>
        <w:rPr>
          <w:rFonts w:ascii="Calibri" w:cs="Calibri" w:eastAsia="Calibri" w:hAnsi="Calibri"/>
          <w:b/>
          <w:bCs/>
          <w:i/>
          <w:iCs/>
          <w:color w:val="5A5A5A"/>
          <w:sz w:val="21"/>
          <w:szCs w:val="21"/>
        </w:rPr>
        <w:t xml:space="preserve">2.2. L’expulsion</w:t>
      </w:r>
    </w:p>
    <w:p>
      <w:pPr>
        <w:pStyle w:val="ListParagraph"/>
        <w:numPr>
          <w:ilvl w:val="0"/>
          <w:numId w:val="2"/>
        </w:numPr>
        <w:spacing w:after="70" w:line="264"/>
        <w:jc w:val="both"/>
      </w:pPr>
      <w:r>
        <w:rPr>
          <w:rFonts w:ascii="Calibri" w:cs="Calibri" w:eastAsia="Calibri" w:hAnsi="Calibri"/>
          <w:b/>
          <w:bCs/>
          <w:color w:val="1A1A1A"/>
          <w:sz w:val="20"/>
          <w:szCs w:val="20"/>
        </w:rPr>
        <w:t xml:space="preserve">Régimes</w:t>
      </w:r>
      <w:r>
        <w:rPr>
          <w:rFonts w:ascii="Calibri" w:cs="Calibri" w:eastAsia="Calibri" w:hAnsi="Calibri"/>
          <w:color w:val="1A1A1A"/>
          <w:sz w:val="20"/>
          <w:szCs w:val="20"/>
        </w:rPr>
        <w:t xml:space="preserve"> : droit commun — menace grave pour l’ordre public (</w:t>
      </w:r>
      <w:r>
        <w:rPr>
          <w:rFonts w:ascii="Calibri" w:cs="Calibri" w:eastAsia="Calibri" w:hAnsi="Calibri"/>
          <w:color w:val="1E88E5"/>
          <w:sz w:val="20"/>
          <w:szCs w:val="20"/>
        </w:rPr>
        <w:t xml:space="preserve">L. 631-1</w:t>
      </w:r>
      <w:r>
        <w:rPr>
          <w:rFonts w:ascii="Calibri" w:cs="Calibri" w:eastAsia="Calibri" w:hAnsi="Calibri"/>
          <w:color w:val="1A1A1A"/>
          <w:sz w:val="20"/>
          <w:szCs w:val="20"/>
        </w:rPr>
        <w:t xml:space="preserve">), après avis de la commission d’expulsion (magistrats judiciaires et administratifs) ; protection renforcée — nécessité impérieuse pour la sûreté de l’État ou la sécurité publique (</w:t>
      </w:r>
      <w:r>
        <w:rPr>
          <w:rFonts w:ascii="Calibri" w:cs="Calibri" w:eastAsia="Calibri" w:hAnsi="Calibri"/>
          <w:color w:val="1E88E5"/>
          <w:sz w:val="20"/>
          <w:szCs w:val="20"/>
        </w:rPr>
        <w:t xml:space="preserve">L. 631-2</w:t>
      </w:r>
      <w:r>
        <w:rPr>
          <w:rFonts w:ascii="Calibri" w:cs="Calibri" w:eastAsia="Calibri" w:hAnsi="Calibri"/>
          <w:color w:val="1A1A1A"/>
          <w:sz w:val="20"/>
          <w:szCs w:val="20"/>
        </w:rPr>
        <w:t xml:space="preserve">, ex. résident régulier depuis plus de dix ans) ; protection quasi absolue — atteinte aux intérêts fondamentaux de l’État ou terrorisme (</w:t>
      </w:r>
      <w:r>
        <w:rPr>
          <w:rFonts w:ascii="Calibri" w:cs="Calibri" w:eastAsia="Calibri" w:hAnsi="Calibri"/>
          <w:color w:val="1E88E5"/>
          <w:sz w:val="20"/>
          <w:szCs w:val="20"/>
        </w:rPr>
        <w:t xml:space="preserve">L. 631-3</w:t>
      </w:r>
      <w:r>
        <w:rPr>
          <w:rFonts w:ascii="Calibri" w:cs="Calibri" w:eastAsia="Calibri" w:hAnsi="Calibri"/>
          <w:color w:val="1A1A1A"/>
          <w:sz w:val="20"/>
          <w:szCs w:val="20"/>
        </w:rPr>
        <w:t xml:space="preserve">, ex. arrivé avant treize ans) ; </w:t>
      </w:r>
      <w:r>
        <w:rPr>
          <w:rFonts w:ascii="Calibri" w:cs="Calibri" w:eastAsia="Calibri" w:hAnsi="Calibri"/>
          <w:b/>
          <w:bCs/>
          <w:color w:val="1A1A1A"/>
          <w:sz w:val="20"/>
          <w:szCs w:val="20"/>
        </w:rPr>
        <w:t xml:space="preserve">urgence absolue</w:t>
      </w:r>
      <w:r>
        <w:rPr>
          <w:rFonts w:ascii="Calibri" w:cs="Calibri" w:eastAsia="Calibri" w:hAnsi="Calibri"/>
          <w:color w:val="1A1A1A"/>
          <w:sz w:val="20"/>
          <w:szCs w:val="20"/>
        </w:rPr>
        <w:t xml:space="preserve"> sans commission, par arrêté ministériel.</w:t>
      </w:r>
    </w:p>
    <w:p>
      <w:pPr>
        <w:pStyle w:val="ListParagraph"/>
        <w:numPr>
          <w:ilvl w:val="0"/>
          <w:numId w:val="2"/>
        </w:numPr>
        <w:spacing w:after="70" w:line="264"/>
        <w:jc w:val="both"/>
      </w:pPr>
      <w:r>
        <w:rPr>
          <w:rFonts w:ascii="Calibri" w:cs="Calibri" w:eastAsia="Calibri" w:hAnsi="Calibri"/>
          <w:b/>
          <w:bCs/>
          <w:color w:val="1A1A1A"/>
          <w:sz w:val="20"/>
          <w:szCs w:val="20"/>
        </w:rPr>
        <w:t xml:space="preserve">Loi de 2024</w:t>
      </w:r>
      <w:r>
        <w:rPr>
          <w:rFonts w:ascii="Calibri" w:cs="Calibri" w:eastAsia="Calibri" w:hAnsi="Calibri"/>
          <w:color w:val="1A1A1A"/>
          <w:sz w:val="20"/>
          <w:szCs w:val="20"/>
        </w:rPr>
        <w:t xml:space="preserve"> : les protections cèdent lorsque les faits ont été commis contre le conjoint, les ascendants ou les enfants ; appliqué à un auteur de violences intrafamiliales privé d’autorité parentale : la vie familiale s’apprécie dans sa </w:t>
      </w:r>
      <w:r>
        <w:rPr>
          <w:rFonts w:ascii="Calibri" w:cs="Calibri" w:eastAsia="Calibri" w:hAnsi="Calibri"/>
          <w:b/>
          <w:bCs/>
          <w:color w:val="1A1A1A"/>
          <w:sz w:val="20"/>
          <w:szCs w:val="20"/>
        </w:rPr>
        <w:t xml:space="preserve">réalité actuelle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9 juin 2026, n° 504383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w:t>
      </w:r>
      <w:r>
        <w:rPr>
          <w:rFonts w:ascii="Calibri" w:cs="Calibri" w:eastAsia="Calibri" w:hAnsi="Calibri"/>
          <w:color w:val="1A1A1A"/>
          <w:sz w:val="20"/>
          <w:szCs w:val="20"/>
        </w:rPr>
        <w:t xml:space="preserve"> : examen individuel et respect de la procédure (</w:t>
      </w:r>
      <w:r>
        <w:rPr>
          <w:rFonts w:ascii="Calibri" w:cs="Calibri" w:eastAsia="Calibri" w:hAnsi="Calibri"/>
          <w:color w:val="E91E63"/>
          <w:sz w:val="20"/>
          <w:szCs w:val="20"/>
        </w:rPr>
        <w:t xml:space="preserve">CE, ass., 21 janvier 1977, Dridi</w:t>
      </w:r>
      <w:r>
        <w:rPr>
          <w:rFonts w:ascii="Calibri" w:cs="Calibri" w:eastAsia="Calibri" w:hAnsi="Calibri"/>
          <w:color w:val="1A1A1A"/>
          <w:sz w:val="20"/>
          <w:szCs w:val="20"/>
        </w:rPr>
        <w:t xml:space="preserve">) ; proportionnalité au regard de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Belgacem</w:t>
      </w:r>
      <w:r>
        <w:rPr>
          <w:rFonts w:ascii="Calibri" w:cs="Calibri" w:eastAsia="Calibri" w:hAnsi="Calibri"/>
          <w:color w:val="1A1A1A"/>
          <w:sz w:val="20"/>
          <w:szCs w:val="20"/>
        </w:rPr>
        <w:t xml:space="preserve">, 1991) ; critères européens — gravité des infractions, durée du séjour, conduite postérieure, liens familiaux, intérêt des enfants, attaches avec le pays d’origine (</w:t>
      </w:r>
      <w:r>
        <w:rPr>
          <w:rFonts w:ascii="Calibri" w:cs="Calibri" w:eastAsia="Calibri" w:hAnsi="Calibri"/>
          <w:color w:val="E91E63"/>
          <w:sz w:val="20"/>
          <w:szCs w:val="20"/>
        </w:rPr>
        <w:t xml:space="preserve">CEDH, 2 août 2001, Boultif c. Suisse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[GC], 18 octobre 2006, Üner c. Pays-Bas</w:t>
      </w:r>
      <w:r>
        <w:rPr>
          <w:rFonts w:ascii="Calibri" w:cs="Calibri" w:eastAsia="Calibri" w:hAnsi="Calibri"/>
          <w:color w:val="1A1A1A"/>
          <w:sz w:val="20"/>
          <w:szCs w:val="20"/>
        </w:rPr>
        <w:t xml:space="preserve">) ; poids particulier pour l’étranger arrivé enfant (</w:t>
      </w:r>
      <w:r>
        <w:rPr>
          <w:rFonts w:ascii="Calibri" w:cs="Calibri" w:eastAsia="Calibri" w:hAnsi="Calibri"/>
          <w:color w:val="E91E63"/>
          <w:sz w:val="20"/>
          <w:szCs w:val="20"/>
        </w:rPr>
        <w:t xml:space="preserve">CEDH [GC], 23 juin 2008, Maslov c. Autriche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2.3. L’extradition</w:t>
      </w:r>
    </w:p>
    <w:p>
      <w:pPr>
        <w:pStyle w:val="ListParagraph"/>
        <w:numPr>
          <w:ilvl w:val="0"/>
          <w:numId w:val="2"/>
        </w:numPr>
        <w:spacing w:after="70" w:line="264"/>
        <w:jc w:val="both"/>
      </w:pPr>
      <w:r>
        <w:rPr>
          <w:rFonts w:ascii="Calibri" w:cs="Calibri" w:eastAsia="Calibri" w:hAnsi="Calibri"/>
          <w:b/>
          <w:bCs/>
          <w:color w:val="1A1A1A"/>
          <w:sz w:val="20"/>
          <w:szCs w:val="20"/>
        </w:rPr>
        <w:t xml:space="preserve">Procédure</w:t>
      </w:r>
      <w:r>
        <w:rPr>
          <w:rFonts w:ascii="Calibri" w:cs="Calibri" w:eastAsia="Calibri" w:hAnsi="Calibri"/>
          <w:color w:val="1A1A1A"/>
          <w:sz w:val="20"/>
          <w:szCs w:val="20"/>
        </w:rPr>
        <w:t xml:space="preserve"> : demande diplomatique, avis de la </w:t>
      </w:r>
      <w:r>
        <w:rPr>
          <w:rFonts w:ascii="Calibri" w:cs="Calibri" w:eastAsia="Calibri" w:hAnsi="Calibri"/>
          <w:b/>
          <w:bCs/>
          <w:color w:val="1A1A1A"/>
          <w:sz w:val="20"/>
          <w:szCs w:val="20"/>
        </w:rPr>
        <w:t xml:space="preserve">chambre de l’instruction</w:t>
      </w:r>
      <w:r>
        <w:rPr>
          <w:rFonts w:ascii="Calibri" w:cs="Calibri" w:eastAsia="Calibri" w:hAnsi="Calibri"/>
          <w:color w:val="1A1A1A"/>
          <w:sz w:val="20"/>
          <w:szCs w:val="20"/>
        </w:rPr>
        <w:t xml:space="preserve"> (anciennement chambre d’accusation) — un avis défavorable lie le Gouvernement —, puis décret du Premier ministre, susceptible de recours devant le Conseil d’État.</w:t>
      </w:r>
    </w:p>
    <w:p>
      <w:pPr>
        <w:pStyle w:val="ListParagraph"/>
        <w:numPr>
          <w:ilvl w:val="0"/>
          <w:numId w:val="2"/>
        </w:numPr>
        <w:spacing w:after="70" w:line="264"/>
        <w:jc w:val="both"/>
      </w:pPr>
      <w:r>
        <w:rPr>
          <w:rFonts w:ascii="Calibri" w:cs="Calibri" w:eastAsia="Calibri" w:hAnsi="Calibri"/>
          <w:b/>
          <w:bCs/>
          <w:color w:val="1A1A1A"/>
          <w:sz w:val="20"/>
          <w:szCs w:val="20"/>
        </w:rPr>
        <w:t xml:space="preserve">Refus obligatoires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696-4 CPP</w:t>
      </w:r>
      <w:r>
        <w:rPr>
          <w:rFonts w:ascii="Calibri" w:cs="Calibri" w:eastAsia="Calibri" w:hAnsi="Calibri"/>
          <w:color w:val="1A1A1A"/>
          <w:sz w:val="20"/>
          <w:szCs w:val="20"/>
        </w:rPr>
        <w:t xml:space="preserve">) : nationaux français ; infraction politique ou demande dans un but politique ; faits commis en France ou définitivement jugés ; prescription ; peine contraire à l’ordre public. Principe d’interdiction de l’extradition demandée dans un but politique érigé en </w:t>
      </w:r>
      <w:r>
        <w:rPr>
          <w:rFonts w:ascii="Calibri" w:cs="Calibri" w:eastAsia="Calibri" w:hAnsi="Calibri"/>
          <w:b/>
          <w:bCs/>
          <w:color w:val="1A1A1A"/>
          <w:sz w:val="20"/>
          <w:szCs w:val="20"/>
        </w:rPr>
        <w:t xml:space="preserve">PFRLR</w:t>
      </w:r>
      <w:r>
        <w:rPr>
          <w:rFonts w:ascii="Calibri" w:cs="Calibri" w:eastAsia="Calibri" w:hAnsi="Calibri"/>
          <w:color w:val="1A1A1A"/>
          <w:sz w:val="20"/>
          <w:szCs w:val="20"/>
        </w:rPr>
        <w:t xml:space="preserve"> par le Conseil d’État (</w:t>
      </w:r>
      <w:r>
        <w:rPr>
          <w:rFonts w:ascii="Calibri" w:cs="Calibri" w:eastAsia="Calibri" w:hAnsi="Calibri"/>
          <w:color w:val="E91E63"/>
          <w:sz w:val="20"/>
          <w:szCs w:val="20"/>
        </w:rPr>
        <w:t xml:space="preserve">CE, ass., 3 juillet 1996, Koné</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w:t>
      </w:r>
      <w:r>
        <w:rPr>
          <w:rFonts w:ascii="Calibri" w:cs="Calibri" w:eastAsia="Calibri" w:hAnsi="Calibri"/>
          <w:color w:val="1A1A1A"/>
          <w:sz w:val="20"/>
          <w:szCs w:val="20"/>
        </w:rPr>
        <w:t xml:space="preserve"> : abandon de l’acte de gouvernement (</w:t>
      </w:r>
      <w:r>
        <w:rPr>
          <w:rFonts w:ascii="Calibri" w:cs="Calibri" w:eastAsia="Calibri" w:hAnsi="Calibri"/>
          <w:color w:val="E91E63"/>
          <w:sz w:val="20"/>
          <w:szCs w:val="20"/>
        </w:rPr>
        <w:t xml:space="preserve">CE, ass., 28 mai 1937, Decerf</w:t>
      </w:r>
      <w:r>
        <w:rPr>
          <w:rFonts w:ascii="Calibri" w:cs="Calibri" w:eastAsia="Calibri" w:hAnsi="Calibri"/>
          <w:color w:val="1A1A1A"/>
          <w:sz w:val="20"/>
          <w:szCs w:val="20"/>
        </w:rPr>
        <w:t xml:space="preserve">) ; contrôle de légalité (</w:t>
      </w:r>
      <w:r>
        <w:rPr>
          <w:rFonts w:ascii="Calibri" w:cs="Calibri" w:eastAsia="Calibri" w:hAnsi="Calibri"/>
          <w:color w:val="E91E63"/>
          <w:sz w:val="20"/>
          <w:szCs w:val="20"/>
        </w:rPr>
        <w:t xml:space="preserve">CE, ass., 24 juin 1977, Astudillo Calleja</w:t>
      </w:r>
      <w:r>
        <w:rPr>
          <w:rFonts w:ascii="Calibri" w:cs="Calibri" w:eastAsia="Calibri" w:hAnsi="Calibri"/>
          <w:color w:val="1A1A1A"/>
          <w:sz w:val="20"/>
          <w:szCs w:val="20"/>
        </w:rPr>
        <w:t xml:space="preserve">) ; perpétuité incompressible sans réexamen : refus (</w:t>
      </w:r>
      <w:r>
        <w:rPr>
          <w:rFonts w:ascii="Calibri" w:cs="Calibri" w:eastAsia="Calibri" w:hAnsi="Calibri"/>
          <w:color w:val="E91E63"/>
          <w:sz w:val="20"/>
          <w:szCs w:val="20"/>
        </w:rPr>
        <w:t xml:space="preserve">CEDH, 4 septembre 2014, Trabelsi c. Belgique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18 novembre 2022, n° 461381</w:t>
      </w:r>
      <w:r>
        <w:rPr>
          <w:rFonts w:ascii="Calibri" w:cs="Calibri" w:eastAsia="Calibri" w:hAnsi="Calibri"/>
          <w:color w:val="1A1A1A"/>
          <w:sz w:val="20"/>
          <w:szCs w:val="20"/>
        </w:rPr>
        <w:t xml:space="preserve">) ; intérêt supérieur de l’enfant, considération primordiale mais non obstacle automatique (</w:t>
      </w:r>
      <w:r>
        <w:rPr>
          <w:rFonts w:ascii="Calibri" w:cs="Calibri" w:eastAsia="Calibri" w:hAnsi="Calibri"/>
          <w:color w:val="E91E63"/>
          <w:sz w:val="20"/>
          <w:szCs w:val="20"/>
        </w:rPr>
        <w:t xml:space="preserve">CE, 10 mars 2025, n° 497648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Union</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mandat d’arrêt européen</w:t>
      </w:r>
      <w:r>
        <w:rPr>
          <w:rFonts w:ascii="Calibri" w:cs="Calibri" w:eastAsia="Calibri" w:hAnsi="Calibri"/>
          <w:color w:val="1A1A1A"/>
          <w:sz w:val="20"/>
          <w:szCs w:val="20"/>
        </w:rPr>
        <w:t xml:space="preserve"> remplace l’extradition entre États membres (remise des nationaux possible) ; refus en cas de risque réel de traitement inhumain lié aux conditions de détention (</w:t>
      </w:r>
      <w:r>
        <w:rPr>
          <w:rFonts w:ascii="Calibri" w:cs="Calibri" w:eastAsia="Calibri" w:hAnsi="Calibri"/>
          <w:color w:val="E91E63"/>
          <w:sz w:val="20"/>
          <w:szCs w:val="20"/>
        </w:rPr>
        <w:t xml:space="preserve">CJUE [GC], 5 avril 2016, Aranyosi et Căldăraru, C-404/15</w:t>
      </w:r>
      <w:r>
        <w:rPr>
          <w:rFonts w:ascii="Calibri" w:cs="Calibri" w:eastAsia="Calibri" w:hAnsi="Calibri"/>
          <w:color w:val="1A1A1A"/>
          <w:sz w:val="20"/>
          <w:szCs w:val="20"/>
        </w:rPr>
        <w:t xml:space="preserve">) ou de défaillances systémiques de l’indépendance judiciaire (</w:t>
      </w:r>
      <w:r>
        <w:rPr>
          <w:rFonts w:ascii="Calibri" w:cs="Calibri" w:eastAsia="Calibri" w:hAnsi="Calibri"/>
          <w:color w:val="E91E63"/>
          <w:sz w:val="20"/>
          <w:szCs w:val="20"/>
        </w:rPr>
        <w:t xml:space="preserve">CJUE [GC], 25 juillet 2018, LM, C-216/18 PPU</w:t>
      </w:r>
      <w:r>
        <w:rPr>
          <w:rFonts w:ascii="Calibri" w:cs="Calibri" w:eastAsia="Calibri" w:hAnsi="Calibri"/>
          <w:color w:val="1A1A1A"/>
          <w:sz w:val="20"/>
          <w:szCs w:val="20"/>
        </w:rPr>
        <w:t xml:space="preserve">) ; extradition d’un citoyen de l’Union vers un État tiers : information préalable de l’État de nationalité (</w:t>
      </w:r>
      <w:r>
        <w:rPr>
          <w:rFonts w:ascii="Calibri" w:cs="Calibri" w:eastAsia="Calibri" w:hAnsi="Calibri"/>
          <w:color w:val="E91E63"/>
          <w:sz w:val="20"/>
          <w:szCs w:val="20"/>
        </w:rPr>
        <w:t xml:space="preserve">CJUE [GC], 6 septembre 2016, Petruhhin, C-182/15</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Les protections substantielles</w:t>
      </w:r>
    </w:p>
    <w:p>
      <w:pPr>
        <w:pStyle w:val="Heading3"/>
        <w:spacing w:after="90" w:before="200"/>
      </w:pPr>
      <w:r>
        <w:rPr>
          <w:rFonts w:ascii="Calibri" w:cs="Calibri" w:eastAsia="Calibri" w:hAnsi="Calibri"/>
          <w:b/>
          <w:bCs/>
          <w:i/>
          <w:iCs/>
          <w:color w:val="5A5A5A"/>
          <w:sz w:val="21"/>
          <w:szCs w:val="21"/>
        </w:rPr>
        <w:t xml:space="preserve">3.1. Article 3 : la protection absolue</w:t>
      </w:r>
    </w:p>
    <w:p>
      <w:pPr>
        <w:pStyle w:val="ListParagraph"/>
        <w:numPr>
          <w:ilvl w:val="0"/>
          <w:numId w:val="2"/>
        </w:numPr>
        <w:spacing w:after="70" w:line="264"/>
        <w:jc w:val="both"/>
      </w:pPr>
      <w:r>
        <w:rPr>
          <w:rFonts w:ascii="Calibri" w:cs="Calibri" w:eastAsia="Calibri" w:hAnsi="Calibri"/>
          <w:b/>
          <w:bCs/>
          <w:color w:val="1A1A1A"/>
          <w:sz w:val="20"/>
          <w:szCs w:val="20"/>
        </w:rPr>
        <w:t xml:space="preserve">Principe</w:t>
      </w:r>
      <w:r>
        <w:rPr>
          <w:rFonts w:ascii="Calibri" w:cs="Calibri" w:eastAsia="Calibri" w:hAnsi="Calibri"/>
          <w:color w:val="1A1A1A"/>
          <w:sz w:val="20"/>
          <w:szCs w:val="20"/>
        </w:rPr>
        <w:t xml:space="preserve"> : « motifs sérieux et avérés de croire » à un risque réel (</w:t>
      </w:r>
      <w:r>
        <w:rPr>
          <w:rFonts w:ascii="Calibri" w:cs="Calibri" w:eastAsia="Calibri" w:hAnsi="Calibri"/>
          <w:color w:val="E91E63"/>
          <w:sz w:val="20"/>
          <w:szCs w:val="20"/>
        </w:rPr>
        <w:t xml:space="preserve">Soering</w:t>
      </w:r>
      <w:r>
        <w:rPr>
          <w:rFonts w:ascii="Calibri" w:cs="Calibri" w:eastAsia="Calibri" w:hAnsi="Calibri"/>
          <w:color w:val="1A1A1A"/>
          <w:sz w:val="20"/>
          <w:szCs w:val="20"/>
        </w:rPr>
        <w:t xml:space="preserve">) ; lapidation pour adultère (</w:t>
      </w:r>
      <w:r>
        <w:rPr>
          <w:rFonts w:ascii="Calibri" w:cs="Calibri" w:eastAsia="Calibri" w:hAnsi="Calibri"/>
          <w:color w:val="E91E63"/>
          <w:sz w:val="20"/>
          <w:szCs w:val="20"/>
        </w:rPr>
        <w:t xml:space="preserve">CEDH, 11 juillet 2000, Jabari c. Turquie</w:t>
      </w:r>
      <w:r>
        <w:rPr>
          <w:rFonts w:ascii="Calibri" w:cs="Calibri" w:eastAsia="Calibri" w:hAnsi="Calibri"/>
          <w:color w:val="1A1A1A"/>
          <w:sz w:val="20"/>
          <w:szCs w:val="20"/>
        </w:rPr>
        <w:t xml:space="preserve">) ; caractère absolu même pour un terroriste (</w:t>
      </w:r>
      <w:r>
        <w:rPr>
          <w:rFonts w:ascii="Calibri" w:cs="Calibri" w:eastAsia="Calibri" w:hAnsi="Calibri"/>
          <w:color w:val="E91E63"/>
          <w:sz w:val="20"/>
          <w:szCs w:val="20"/>
        </w:rPr>
        <w:t xml:space="preserve">Chahal</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Saadi</w:t>
      </w:r>
      <w:r>
        <w:rPr>
          <w:rFonts w:ascii="Calibri" w:cs="Calibri" w:eastAsia="Calibri" w:hAnsi="Calibri"/>
          <w:color w:val="1A1A1A"/>
          <w:sz w:val="20"/>
          <w:szCs w:val="20"/>
        </w:rPr>
        <w:t xml:space="preserve">) ; renvoi vers l’Algérie d’un condamné pour terrorisme malgré une mesure provisoire : violation des </w:t>
      </w:r>
      <w:r>
        <w:rPr>
          <w:rFonts w:ascii="Calibri" w:cs="Calibri" w:eastAsia="Calibri" w:hAnsi="Calibri"/>
          <w:color w:val="1E88E5"/>
          <w:sz w:val="20"/>
          <w:szCs w:val="20"/>
        </w:rPr>
        <w:t xml:space="preserve">art. 3 et 34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1er février 2018, M.A. c. France</w:t>
      </w:r>
      <w:r>
        <w:rPr>
          <w:rFonts w:ascii="Calibri" w:cs="Calibri" w:eastAsia="Calibri" w:hAnsi="Calibri"/>
          <w:color w:val="1A1A1A"/>
          <w:sz w:val="20"/>
          <w:szCs w:val="20"/>
        </w:rPr>
        <w:t xml:space="preserve">). Les mesures provisoires de l’</w:t>
      </w:r>
      <w:r>
        <w:rPr>
          <w:rFonts w:ascii="Calibri" w:cs="Calibri" w:eastAsia="Calibri" w:hAnsi="Calibri"/>
          <w:color w:val="1E88E5"/>
          <w:sz w:val="20"/>
          <w:szCs w:val="20"/>
        </w:rPr>
        <w:t xml:space="preserve">art. 39 du règlement</w:t>
      </w:r>
      <w:r>
        <w:rPr>
          <w:rFonts w:ascii="Calibri" w:cs="Calibri" w:eastAsia="Calibri" w:hAnsi="Calibri"/>
          <w:color w:val="1A1A1A"/>
          <w:sz w:val="20"/>
          <w:szCs w:val="20"/>
        </w:rPr>
        <w:t xml:space="preserve"> sont </w:t>
      </w:r>
      <w:r>
        <w:rPr>
          <w:rFonts w:ascii="Calibri" w:cs="Calibri" w:eastAsia="Calibri" w:hAnsi="Calibri"/>
          <w:b/>
          <w:bCs/>
          <w:color w:val="1A1A1A"/>
          <w:sz w:val="20"/>
          <w:szCs w:val="20"/>
        </w:rPr>
        <w:t xml:space="preserve">obligatoires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4 février 2005, Mamatkulov et Askarov c. Turquie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Malades graves</w:t>
      </w:r>
      <w:r>
        <w:rPr>
          <w:rFonts w:ascii="Calibri" w:cs="Calibri" w:eastAsia="Calibri" w:hAnsi="Calibri"/>
          <w:color w:val="1A1A1A"/>
          <w:sz w:val="20"/>
          <w:szCs w:val="20"/>
        </w:rPr>
        <w:t xml:space="preserve"> : risque de « déclin grave, rapide et irréversible » de l’état de santé faute de traitement accessible (</w:t>
      </w:r>
      <w:r>
        <w:rPr>
          <w:rFonts w:ascii="Calibri" w:cs="Calibri" w:eastAsia="Calibri" w:hAnsi="Calibri"/>
          <w:color w:val="E91E63"/>
          <w:sz w:val="20"/>
          <w:szCs w:val="20"/>
        </w:rPr>
        <w:t xml:space="preserve">CEDH [GC], 13 décembre 2016, Paposhvili c. Belgique</w:t>
      </w:r>
      <w:r>
        <w:rPr>
          <w:rFonts w:ascii="Calibri" w:cs="Calibri" w:eastAsia="Calibri" w:hAnsi="Calibri"/>
          <w:color w:val="1A1A1A"/>
          <w:sz w:val="20"/>
          <w:szCs w:val="20"/>
        </w:rPr>
        <w:t xml:space="preserve">) ; seuil élevé confirmé (</w:t>
      </w:r>
      <w:r>
        <w:rPr>
          <w:rFonts w:ascii="Calibri" w:cs="Calibri" w:eastAsia="Calibri" w:hAnsi="Calibri"/>
          <w:color w:val="E91E63"/>
          <w:sz w:val="20"/>
          <w:szCs w:val="20"/>
        </w:rPr>
        <w:t xml:space="preserve">CEDH [GC], 7 décembre 2021, Savran c. Danemark</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Système de Dublin</w:t>
      </w:r>
      <w:r>
        <w:rPr>
          <w:rFonts w:ascii="Calibri" w:cs="Calibri" w:eastAsia="Calibri" w:hAnsi="Calibri"/>
          <w:color w:val="1A1A1A"/>
          <w:sz w:val="20"/>
          <w:szCs w:val="20"/>
        </w:rPr>
        <w:t xml:space="preserve"> : transfert vers un État aux défaillances systémiques d’accueil (</w:t>
      </w:r>
      <w:r>
        <w:rPr>
          <w:rFonts w:ascii="Calibri" w:cs="Calibri" w:eastAsia="Calibri" w:hAnsi="Calibri"/>
          <w:color w:val="E91E63"/>
          <w:sz w:val="20"/>
          <w:szCs w:val="20"/>
        </w:rPr>
        <w:t xml:space="preserve">CEDH [GC], 21 janvier 2011, M.S.S. c. Belgique et Grèce</w:t>
      </w:r>
      <w:r>
        <w:rPr>
          <w:rFonts w:ascii="Calibri" w:cs="Calibri" w:eastAsia="Calibri" w:hAnsi="Calibri"/>
          <w:color w:val="1A1A1A"/>
          <w:sz w:val="20"/>
          <w:szCs w:val="20"/>
        </w:rPr>
        <w:t xml:space="preserve">) ; garanties individuelles pour les familles (</w:t>
      </w:r>
      <w:r>
        <w:rPr>
          <w:rFonts w:ascii="Calibri" w:cs="Calibri" w:eastAsia="Calibri" w:hAnsi="Calibri"/>
          <w:color w:val="E91E63"/>
          <w:sz w:val="20"/>
          <w:szCs w:val="20"/>
        </w:rPr>
        <w:t xml:space="preserve">CEDH [GC], 4 novembre 2014, Tarakhel c. Suisse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Extensions</w:t>
      </w:r>
      <w:r>
        <w:rPr>
          <w:rFonts w:ascii="Calibri" w:cs="Calibri" w:eastAsia="Calibri" w:hAnsi="Calibri"/>
          <w:color w:val="1A1A1A"/>
          <w:sz w:val="20"/>
          <w:szCs w:val="20"/>
        </w:rPr>
        <w:t xml:space="preserve"> : peine de mort (</w:t>
      </w:r>
      <w:r>
        <w:rPr>
          <w:rFonts w:ascii="Calibri" w:cs="Calibri" w:eastAsia="Calibri" w:hAnsi="Calibri"/>
          <w:color w:val="E91E63"/>
          <w:sz w:val="20"/>
          <w:szCs w:val="20"/>
        </w:rPr>
        <w:t xml:space="preserve">Al-Saadoon et Mufdhi</w:t>
      </w:r>
      <w:r>
        <w:rPr>
          <w:rFonts w:ascii="Calibri" w:cs="Calibri" w:eastAsia="Calibri" w:hAnsi="Calibri"/>
          <w:color w:val="1A1A1A"/>
          <w:sz w:val="20"/>
          <w:szCs w:val="20"/>
        </w:rPr>
        <w:t xml:space="preserve">, 2010) ; déni de justice flagrant (</w:t>
      </w:r>
      <w:r>
        <w:rPr>
          <w:rFonts w:ascii="Calibri" w:cs="Calibri" w:eastAsia="Calibri" w:hAnsi="Calibri"/>
          <w:color w:val="1E88E5"/>
          <w:sz w:val="20"/>
          <w:szCs w:val="20"/>
        </w:rPr>
        <w:t xml:space="preserve">art. 6</w:t>
      </w:r>
      <w:r>
        <w:rPr>
          <w:rFonts w:ascii="Calibri" w:cs="Calibri" w:eastAsia="Calibri" w:hAnsi="Calibri"/>
          <w:color w:val="1A1A1A"/>
          <w:sz w:val="20"/>
          <w:szCs w:val="20"/>
        </w:rPr>
        <w:t xml:space="preserve"> — preuves obtenues par la torture : </w:t>
      </w:r>
      <w:r>
        <w:rPr>
          <w:rFonts w:ascii="Calibri" w:cs="Calibri" w:eastAsia="Calibri" w:hAnsi="Calibri"/>
          <w:color w:val="E91E63"/>
          <w:sz w:val="20"/>
          <w:szCs w:val="20"/>
        </w:rPr>
        <w:t xml:space="preserve">CEDH, 17 janvier 2012, Othman (Abu Qatada) c. Royaume-Uni</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3.2. Article 8 : la protection relative</w:t>
      </w:r>
    </w:p>
    <w:p>
      <w:pPr>
        <w:pStyle w:val="ListParagraph"/>
        <w:numPr>
          <w:ilvl w:val="0"/>
          <w:numId w:val="2"/>
        </w:numPr>
        <w:spacing w:after="70" w:line="264"/>
        <w:jc w:val="both"/>
      </w:pPr>
      <w:r>
        <w:rPr>
          <w:rFonts w:ascii="Calibri" w:cs="Calibri" w:eastAsia="Calibri" w:hAnsi="Calibri"/>
          <w:b/>
          <w:bCs/>
          <w:color w:val="1A1A1A"/>
          <w:sz w:val="20"/>
          <w:szCs w:val="20"/>
        </w:rPr>
        <w:t xml:space="preserve">Vie privée et familiale</w:t>
      </w:r>
      <w:r>
        <w:rPr>
          <w:rFonts w:ascii="Calibri" w:cs="Calibri" w:eastAsia="Calibri" w:hAnsi="Calibri"/>
          <w:color w:val="1A1A1A"/>
          <w:sz w:val="20"/>
          <w:szCs w:val="20"/>
        </w:rPr>
        <w:t xml:space="preserve"> : critères </w:t>
      </w:r>
      <w:r>
        <w:rPr>
          <w:rFonts w:ascii="Calibri" w:cs="Calibri" w:eastAsia="Calibri" w:hAnsi="Calibri"/>
          <w:color w:val="E91E63"/>
          <w:sz w:val="20"/>
          <w:szCs w:val="20"/>
        </w:rPr>
        <w:t xml:space="preserve">Boultif</w:t>
      </w:r>
      <w:r>
        <w:rPr>
          <w:rFonts w:ascii="Calibri" w:cs="Calibri" w:eastAsia="Calibri" w:hAnsi="Calibri"/>
          <w:color w:val="1A1A1A"/>
          <w:sz w:val="20"/>
          <w:szCs w:val="20"/>
        </w:rPr>
        <w:t xml:space="preserve">/</w:t>
      </w:r>
      <w:r>
        <w:rPr>
          <w:rFonts w:ascii="Calibri" w:cs="Calibri" w:eastAsia="Calibri" w:hAnsi="Calibri"/>
          <w:color w:val="E91E63"/>
          <w:sz w:val="20"/>
          <w:szCs w:val="20"/>
        </w:rPr>
        <w:t xml:space="preserve">Üner</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Maslov</w:t>
      </w:r>
      <w:r>
        <w:rPr>
          <w:rFonts w:ascii="Calibri" w:cs="Calibri" w:eastAsia="Calibri" w:hAnsi="Calibri"/>
          <w:color w:val="1A1A1A"/>
          <w:sz w:val="20"/>
          <w:szCs w:val="20"/>
        </w:rPr>
        <w:t xml:space="preserve"> ; contrôle interne depuis </w:t>
      </w:r>
      <w:r>
        <w:rPr>
          <w:rFonts w:ascii="Calibri" w:cs="Calibri" w:eastAsia="Calibri" w:hAnsi="Calibri"/>
          <w:color w:val="E91E63"/>
          <w:sz w:val="20"/>
          <w:szCs w:val="20"/>
        </w:rPr>
        <w:t xml:space="preserve">Belgacem et Babas</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Mariage</w:t>
      </w:r>
      <w:r>
        <w:rPr>
          <w:rFonts w:ascii="Calibri" w:cs="Calibri" w:eastAsia="Calibri" w:hAnsi="Calibri"/>
          <w:color w:val="1A1A1A"/>
          <w:sz w:val="20"/>
          <w:szCs w:val="20"/>
        </w:rPr>
        <w:t xml:space="preserve"> : l’irrégularité du séjour ne fait pas obstacle en soi au mariage (</w:t>
      </w:r>
      <w:r>
        <w:rPr>
          <w:rFonts w:ascii="Calibri" w:cs="Calibri" w:eastAsia="Calibri" w:hAnsi="Calibri"/>
          <w:color w:val="E91E63"/>
          <w:sz w:val="20"/>
          <w:szCs w:val="20"/>
        </w:rPr>
        <w:t xml:space="preserve">2003-484 DC</w:t>
      </w:r>
      <w:r>
        <w:rPr>
          <w:rFonts w:ascii="Calibri" w:cs="Calibri" w:eastAsia="Calibri" w:hAnsi="Calibri"/>
          <w:color w:val="1A1A1A"/>
          <w:sz w:val="20"/>
          <w:szCs w:val="20"/>
        </w:rPr>
        <w:t xml:space="preserve">) ; autorisation préalable discriminatoire et onéreuse imposée aux étrangers pour se marier : violation de l’</w:t>
      </w:r>
      <w:r>
        <w:rPr>
          <w:rFonts w:ascii="Calibri" w:cs="Calibri" w:eastAsia="Calibri" w:hAnsi="Calibri"/>
          <w:color w:val="1E88E5"/>
          <w:sz w:val="20"/>
          <w:szCs w:val="20"/>
        </w:rPr>
        <w:t xml:space="preserve">art. 12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14 décembre 2010, O’Donoghue c. Royaume-Uni</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Actualité</w:t>
      </w:r>
      <w:r>
        <w:rPr>
          <w:rFonts w:ascii="Calibri" w:cs="Calibri" w:eastAsia="Calibri" w:hAnsi="Calibri"/>
          <w:color w:val="1A1A1A"/>
          <w:sz w:val="20"/>
          <w:szCs w:val="20"/>
        </w:rPr>
        <w:t xml:space="preserve"> : proposition de loi interdisant le mariage d’un étranger en situation irrégulière, adoptée par le Sénat en février 2025 après le refus du maire de Béziers — sujet « Pour s’entraîner » ; risque constitutionnel au regard de </w:t>
      </w:r>
      <w:r>
        <w:rPr>
          <w:rFonts w:ascii="Calibri" w:cs="Calibri" w:eastAsia="Calibri" w:hAnsi="Calibri"/>
          <w:color w:val="E91E63"/>
          <w:sz w:val="20"/>
          <w:szCs w:val="20"/>
        </w:rPr>
        <w:t xml:space="preserve">2003-484 DC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3.3. Article 4 du Protocole n° 4 : les expulsions collectives</w:t>
      </w:r>
    </w:p>
    <w:p>
      <w:pPr>
        <w:pStyle w:val="ListParagraph"/>
        <w:numPr>
          <w:ilvl w:val="0"/>
          <w:numId w:val="2"/>
        </w:numPr>
        <w:spacing w:after="70" w:line="264"/>
        <w:jc w:val="both"/>
      </w:pPr>
      <w:r>
        <w:rPr>
          <w:rFonts w:ascii="Calibri" w:cs="Calibri" w:eastAsia="Calibri" w:hAnsi="Calibri"/>
          <w:b/>
          <w:bCs/>
          <w:color w:val="1A1A1A"/>
          <w:sz w:val="20"/>
          <w:szCs w:val="20"/>
        </w:rPr>
        <w:t xml:space="preserve">Principe</w:t>
      </w:r>
      <w:r>
        <w:rPr>
          <w:rFonts w:ascii="Calibri" w:cs="Calibri" w:eastAsia="Calibri" w:hAnsi="Calibri"/>
          <w:color w:val="1A1A1A"/>
          <w:sz w:val="20"/>
          <w:szCs w:val="20"/>
        </w:rPr>
        <w:t xml:space="preserve"> : examen raisonnable et objectif de la situation particulière de chacun (</w:t>
      </w:r>
      <w:r>
        <w:rPr>
          <w:rFonts w:ascii="Calibri" w:cs="Calibri" w:eastAsia="Calibri" w:hAnsi="Calibri"/>
          <w:color w:val="E91E63"/>
          <w:sz w:val="20"/>
          <w:szCs w:val="20"/>
        </w:rPr>
        <w:t xml:space="preserve">CEDH, 5 février 2002, Čonka c. Belgique</w:t>
      </w:r>
      <w:r>
        <w:rPr>
          <w:rFonts w:ascii="Calibri" w:cs="Calibri" w:eastAsia="Calibri" w:hAnsi="Calibri"/>
          <w:color w:val="1A1A1A"/>
          <w:sz w:val="20"/>
          <w:szCs w:val="20"/>
        </w:rPr>
        <w:t xml:space="preserve">) ; applicable hors du territoire (</w:t>
      </w:r>
      <w:r>
        <w:rPr>
          <w:rFonts w:ascii="Calibri" w:cs="Calibri" w:eastAsia="Calibri" w:hAnsi="Calibri"/>
          <w:color w:val="E91E63"/>
          <w:sz w:val="20"/>
          <w:szCs w:val="20"/>
        </w:rPr>
        <w:t xml:space="preserve">CEDH [GC], 23 février 2012, Hirsi Jamaa c. Italie</w:t>
      </w:r>
      <w:r>
        <w:rPr>
          <w:rFonts w:ascii="Calibri" w:cs="Calibri" w:eastAsia="Calibri" w:hAnsi="Calibri"/>
          <w:color w:val="1A1A1A"/>
          <w:sz w:val="20"/>
          <w:szCs w:val="20"/>
        </w:rPr>
        <w:t xml:space="preserve">, refoulement en haute mer vers la Libye) ; mais pas de violation lorsque les intéressés se sont placés eux-mêmes dans une situation illégale en franchissant en force la clôture de Melilla alors que des voies légales existaient (</w:t>
      </w:r>
      <w:r>
        <w:rPr>
          <w:rFonts w:ascii="Calibri" w:cs="Calibri" w:eastAsia="Calibri" w:hAnsi="Calibri"/>
          <w:color w:val="E91E63"/>
          <w:sz w:val="20"/>
          <w:szCs w:val="20"/>
        </w:rPr>
        <w:t xml:space="preserve">CEDH [GC], 13 février 2020, N.D. et N.T. c. Espagne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Les garanties procédurales et la rétention</w:t>
      </w:r>
    </w:p>
    <w:p>
      <w:pPr>
        <w:pStyle w:val="ListParagraph"/>
        <w:numPr>
          <w:ilvl w:val="0"/>
          <w:numId w:val="2"/>
        </w:numPr>
        <w:spacing w:after="70" w:line="264"/>
        <w:jc w:val="both"/>
      </w:pPr>
      <w:r>
        <w:rPr>
          <w:rFonts w:ascii="Calibri" w:cs="Calibri" w:eastAsia="Calibri" w:hAnsi="Calibri"/>
          <w:b/>
          <w:bCs/>
          <w:color w:val="1A1A1A"/>
          <w:sz w:val="20"/>
          <w:szCs w:val="20"/>
        </w:rPr>
        <w:t xml:space="preserve">Recours effectif</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13</w:t>
      </w:r>
      <w:r>
        <w:rPr>
          <w:rFonts w:ascii="Calibri" w:cs="Calibri" w:eastAsia="Calibri" w:hAnsi="Calibri"/>
          <w:color w:val="1A1A1A"/>
          <w:sz w:val="20"/>
          <w:szCs w:val="20"/>
        </w:rPr>
        <w:t xml:space="preserve">) : recours de plein droit suspensif lorsque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est en jeu (</w:t>
      </w:r>
      <w:r>
        <w:rPr>
          <w:rFonts w:ascii="Calibri" w:cs="Calibri" w:eastAsia="Calibri" w:hAnsi="Calibri"/>
          <w:color w:val="E91E63"/>
          <w:sz w:val="20"/>
          <w:szCs w:val="20"/>
        </w:rPr>
        <w:t xml:space="preserve">CEDH, 26 avril 2007, Gebremedhin c. France</w:t>
      </w:r>
      <w:r>
        <w:rPr>
          <w:rFonts w:ascii="Calibri" w:cs="Calibri" w:eastAsia="Calibri" w:hAnsi="Calibri"/>
          <w:color w:val="1A1A1A"/>
          <w:sz w:val="20"/>
          <w:szCs w:val="20"/>
        </w:rPr>
        <w:t xml:space="preserve">) ; en outre-mer, éloignement exécuté avant tout examen du juge : violation des </w:t>
      </w:r>
      <w:r>
        <w:rPr>
          <w:rFonts w:ascii="Calibri" w:cs="Calibri" w:eastAsia="Calibri" w:hAnsi="Calibri"/>
          <w:color w:val="1E88E5"/>
          <w:sz w:val="20"/>
          <w:szCs w:val="20"/>
        </w:rPr>
        <w:t xml:space="preserve">art. 13 et 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13 décembre 2012, De Souza Ribeiro c. France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Rétention administrative</w:t>
      </w:r>
      <w:r>
        <w:rPr>
          <w:rFonts w:ascii="Calibri" w:cs="Calibri" w:eastAsia="Calibri" w:hAnsi="Calibri"/>
          <w:color w:val="1A1A1A"/>
          <w:sz w:val="20"/>
          <w:szCs w:val="20"/>
        </w:rPr>
        <w:t xml:space="preserve"> : privation de liberté relevant de l’</w:t>
      </w:r>
      <w:r>
        <w:rPr>
          <w:rFonts w:ascii="Calibri" w:cs="Calibri" w:eastAsia="Calibri" w:hAnsi="Calibri"/>
          <w:color w:val="1E88E5"/>
          <w:sz w:val="20"/>
          <w:szCs w:val="20"/>
        </w:rPr>
        <w:t xml:space="preserve">art. 66</w:t>
      </w:r>
      <w:r>
        <w:rPr>
          <w:rFonts w:ascii="Calibri" w:cs="Calibri" w:eastAsia="Calibri" w:hAnsi="Calibri"/>
          <w:color w:val="1A1A1A"/>
          <w:sz w:val="20"/>
          <w:szCs w:val="20"/>
        </w:rPr>
        <w:t xml:space="preserve"> — placement préfectoral de 96 heures, prolongations par le magistrat du siège du tribunal judiciaire, 90 jours en droit commun ; allongement à 180 voire 210 jours </w:t>
      </w:r>
      <w:r>
        <w:rPr>
          <w:rFonts w:ascii="Calibri" w:cs="Calibri" w:eastAsia="Calibri" w:hAnsi="Calibri"/>
          <w:b/>
          <w:bCs/>
          <w:color w:val="1A1A1A"/>
          <w:sz w:val="20"/>
          <w:szCs w:val="20"/>
        </w:rPr>
        <w:t xml:space="preserve">censuré</w:t>
      </w:r>
      <w:r>
        <w:rPr>
          <w:rFonts w:ascii="Calibri" w:cs="Calibri" w:eastAsia="Calibri" w:hAnsi="Calibri"/>
          <w:color w:val="1A1A1A"/>
          <w:sz w:val="20"/>
          <w:szCs w:val="20"/>
        </w:rPr>
        <w:t xml:space="preserve"> le 7 août 2025 ; réintroduit avec encadrement par la </w:t>
      </w:r>
      <w:r>
        <w:rPr>
          <w:rFonts w:ascii="Calibri" w:cs="Calibri" w:eastAsia="Calibri" w:hAnsi="Calibri"/>
          <w:color w:val="1E88E5"/>
          <w:sz w:val="20"/>
          <w:szCs w:val="20"/>
        </w:rPr>
        <w:t xml:space="preserve">loi du 27 juillet 2026</w:t>
      </w:r>
      <w:r>
        <w:rPr>
          <w:rFonts w:ascii="Calibri" w:cs="Calibri" w:eastAsia="Calibri" w:hAnsi="Calibri"/>
          <w:color w:val="1A1A1A"/>
          <w:sz w:val="20"/>
          <w:szCs w:val="20"/>
        </w:rPr>
        <w:t xml:space="preserve"> (menace réelle, actuelle et d’une particulière gravité ; perspective raisonnable d’éloignement ; cinq placements successifs au plus) et </w:t>
      </w:r>
      <w:r>
        <w:rPr>
          <w:rFonts w:ascii="Calibri" w:cs="Calibri" w:eastAsia="Calibri" w:hAnsi="Calibri"/>
          <w:b/>
          <w:bCs/>
          <w:color w:val="1A1A1A"/>
          <w:sz w:val="20"/>
          <w:szCs w:val="20"/>
        </w:rPr>
        <w:t xml:space="preserve">validé</w:t>
      </w:r>
      <w:r>
        <w:rPr>
          <w:rFonts w:ascii="Calibri" w:cs="Calibri" w:eastAsia="Calibri" w:hAnsi="Calibri"/>
          <w:color w:val="1A1A1A"/>
          <w:sz w:val="20"/>
          <w:szCs w:val="20"/>
        </w:rPr>
        <w:t xml:space="preserve"> le 23 juillet 2026. Le juge de la rétention doit vérifier, au besoin d’office, le non-refoulement, l’intérêt de l’enfant et la vie familiale, même si la décision de retour est définitive (</w:t>
      </w:r>
      <w:r>
        <w:rPr>
          <w:rFonts w:ascii="Calibri" w:cs="Calibri" w:eastAsia="Calibri" w:hAnsi="Calibri"/>
          <w:color w:val="E91E63"/>
          <w:sz w:val="20"/>
          <w:szCs w:val="20"/>
        </w:rPr>
        <w:t xml:space="preserve">CJUE, 4 septembre 2025, Adrar, C-313/25 PPU</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Mineurs</w:t>
      </w:r>
      <w:r>
        <w:rPr>
          <w:rFonts w:ascii="Calibri" w:cs="Calibri" w:eastAsia="Calibri" w:hAnsi="Calibri"/>
          <w:color w:val="1A1A1A"/>
          <w:sz w:val="20"/>
          <w:szCs w:val="20"/>
        </w:rPr>
        <w:t xml:space="preserve"> : rétention de familles avec enfants condamnée (</w:t>
      </w:r>
      <w:r>
        <w:rPr>
          <w:rFonts w:ascii="Calibri" w:cs="Calibri" w:eastAsia="Calibri" w:hAnsi="Calibri"/>
          <w:color w:val="E91E63"/>
          <w:sz w:val="20"/>
          <w:szCs w:val="20"/>
        </w:rPr>
        <w:t xml:space="preserve">CEDH, 12 juillet 2016, A.B. et autres c. France</w:t>
      </w:r>
      <w:r>
        <w:rPr>
          <w:rFonts w:ascii="Calibri" w:cs="Calibri" w:eastAsia="Calibri" w:hAnsi="Calibri"/>
          <w:color w:val="1A1A1A"/>
          <w:sz w:val="20"/>
          <w:szCs w:val="20"/>
        </w:rPr>
        <w:t xml:space="preserve">, et quatre arrêts du même jour) ; interdiction de la rétention des mineurs par la </w:t>
      </w:r>
      <w:r>
        <w:rPr>
          <w:rFonts w:ascii="Calibri" w:cs="Calibri" w:eastAsia="Calibri" w:hAnsi="Calibri"/>
          <w:color w:val="1E88E5"/>
          <w:sz w:val="20"/>
          <w:szCs w:val="20"/>
        </w:rPr>
        <w:t xml:space="preserve">loi du 26 janvier 2024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Externalisation</w:t>
      </w:r>
      <w:r>
        <w:rPr>
          <w:rFonts w:ascii="Calibri" w:cs="Calibri" w:eastAsia="Calibri" w:hAnsi="Calibri"/>
          <w:color w:val="1A1A1A"/>
          <w:sz w:val="20"/>
          <w:szCs w:val="20"/>
        </w:rPr>
        <w:t xml:space="preserve"> : proposition de règlement « retour » de mars 2025 instituant des </w:t>
      </w:r>
      <w:r>
        <w:rPr>
          <w:rFonts w:ascii="Calibri" w:cs="Calibri" w:eastAsia="Calibri" w:hAnsi="Calibri"/>
          <w:b/>
          <w:bCs/>
          <w:color w:val="1A1A1A"/>
          <w:sz w:val="20"/>
          <w:szCs w:val="20"/>
        </w:rPr>
        <w:t xml:space="preserve">« hubs de retour »</w:t>
      </w:r>
      <w:r>
        <w:rPr>
          <w:rFonts w:ascii="Calibri" w:cs="Calibri" w:eastAsia="Calibri" w:hAnsi="Calibri"/>
          <w:color w:val="1A1A1A"/>
          <w:sz w:val="20"/>
          <w:szCs w:val="20"/>
        </w:rPr>
        <w:t xml:space="preserve"> dans des États tiers (accord politique annoncé en juin 2026 selon le fascicule ; procédure à vérifier) — exclusion des mineurs non accompagnés et des familles, respect de l’</w:t>
      </w:r>
      <w:r>
        <w:rPr>
          <w:rFonts w:ascii="Calibri" w:cs="Calibri" w:eastAsia="Calibri" w:hAnsi="Calibri"/>
          <w:color w:val="1E88E5"/>
          <w:sz w:val="20"/>
          <w:szCs w:val="20"/>
        </w:rPr>
        <w:t xml:space="preserve">art. 19 CDFUE</w:t>
      </w:r>
      <w:r>
        <w:rPr>
          <w:rFonts w:ascii="Calibri" w:cs="Calibri" w:eastAsia="Calibri" w:hAnsi="Calibri"/>
          <w:color w:val="1A1A1A"/>
          <w:sz w:val="20"/>
          <w:szCs w:val="20"/>
        </w:rPr>
        <w:t xml:space="preserve"> et prévention du refoulement en chaîne.</w:t>
      </w:r>
    </w:p>
    <w:p>
      <w:pPr>
        <w:pStyle w:val="Heading2"/>
        <w:spacing w:after="120" w:before="280"/>
      </w:pPr>
      <w:r>
        <w:rPr>
          <w:rFonts w:ascii="Calibri" w:cs="Calibri" w:eastAsia="Calibri" w:hAnsi="Calibri"/>
          <w:b/>
          <w:bCs/>
          <w:color w:val="1A1A1A"/>
          <w:sz w:val="24"/>
          <w:szCs w:val="24"/>
        </w:rPr>
        <w:t xml:space="preserve">5.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Le droit d’avoir des droits</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Arendt</w:t>
      </w:r>
      <w:r>
        <w:rPr>
          <w:rFonts w:ascii="Calibri" w:cs="Calibri" w:eastAsia="Calibri" w:hAnsi="Calibri"/>
          <w:color w:val="1A1A1A"/>
          <w:sz w:val="20"/>
          <w:szCs w:val="20"/>
        </w:rPr>
        <w:t xml:space="preserve"> (1951) : l’universalité des droits de l’homme s’effondre devant celui qui n’a plus d’État. </w:t>
      </w:r>
      <w:r>
        <w:rPr>
          <w:rFonts w:ascii="Calibri" w:cs="Calibri" w:eastAsia="Calibri" w:hAnsi="Calibri"/>
          <w:color w:val="2E7D32"/>
          <w:sz w:val="20"/>
          <w:szCs w:val="20"/>
        </w:rPr>
        <w:t xml:space="preserve">Danièle Lochak</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Étrangers : de quel droit ?</w:t>
      </w:r>
      <w:r>
        <w:rPr>
          <w:rFonts w:ascii="Calibri" w:cs="Calibri" w:eastAsia="Calibri" w:hAnsi="Calibri"/>
          <w:color w:val="1A1A1A"/>
          <w:sz w:val="20"/>
          <w:szCs w:val="20"/>
        </w:rPr>
        <w:t xml:space="preserve">, 1985) : le droit des étrangers est un droit d’exception permanent, où la police l’emporte sur la liberté.</w:t>
      </w:r>
    </w:p>
    <w:p>
      <w:pPr>
        <w:pStyle w:val="ListParagraph"/>
        <w:numPr>
          <w:ilvl w:val="0"/>
          <w:numId w:val="2"/>
        </w:numPr>
        <w:spacing w:after="70" w:line="264"/>
        <w:jc w:val="both"/>
      </w:pPr>
      <w:r>
        <w:rPr>
          <w:rFonts w:ascii="Calibri" w:cs="Calibri" w:eastAsia="Calibri" w:hAnsi="Calibri"/>
          <w:b/>
          <w:bCs/>
          <w:color w:val="1A1A1A"/>
          <w:sz w:val="20"/>
          <w:szCs w:val="20"/>
        </w:rPr>
        <w:t xml:space="preserve">Le caractère absolu de l’article 3 en question</w:t>
      </w:r>
      <w:r>
        <w:rPr>
          <w:rFonts w:ascii="Calibri" w:cs="Calibri" w:eastAsia="Calibri" w:hAnsi="Calibri"/>
          <w:color w:val="1A1A1A"/>
          <w:sz w:val="20"/>
          <w:szCs w:val="20"/>
        </w:rPr>
        <w:t xml:space="preserve"> — après les attentats, plusieurs États (dont le Royaume-Uni et le Danemark, déclaration de Copenhague de 2018) ont plaidé pour une mise en balance avec la sécurité ; la Cour a maintenu </w:t>
      </w:r>
      <w:r>
        <w:rPr>
          <w:rFonts w:ascii="Calibri" w:cs="Calibri" w:eastAsia="Calibri" w:hAnsi="Calibri"/>
          <w:color w:val="E91E63"/>
          <w:sz w:val="20"/>
          <w:szCs w:val="20"/>
        </w:rPr>
        <w:t xml:space="preserve">Saadi</w:t>
      </w:r>
      <w:r>
        <w:rPr>
          <w:rFonts w:ascii="Calibri" w:cs="Calibri" w:eastAsia="Calibri" w:hAnsi="Calibri"/>
          <w:color w:val="1A1A1A"/>
          <w:sz w:val="20"/>
          <w:szCs w:val="20"/>
        </w:rPr>
        <w:t xml:space="preserve">. En 2025, une lettre de neuf États membres du Conseil de l’Europe a de nouveau contesté l’interprétation de la Convention en matière migratoire — débat sur la légitimité du juge européen.</w:t>
      </w:r>
    </w:p>
    <w:p>
      <w:pPr>
        <w:pStyle w:val="ListParagraph"/>
        <w:numPr>
          <w:ilvl w:val="0"/>
          <w:numId w:val="2"/>
        </w:numPr>
        <w:spacing w:after="70" w:line="264"/>
        <w:jc w:val="both"/>
      </w:pPr>
      <w:r>
        <w:rPr>
          <w:rFonts w:ascii="Calibri" w:cs="Calibri" w:eastAsia="Calibri" w:hAnsi="Calibri"/>
          <w:b/>
          <w:bCs/>
          <w:color w:val="1A1A1A"/>
          <w:sz w:val="20"/>
          <w:szCs w:val="20"/>
        </w:rPr>
        <w:t xml:space="preserve">Externalisation et responsabilité</w:t>
      </w:r>
      <w:r>
        <w:rPr>
          <w:rFonts w:ascii="Calibri" w:cs="Calibri" w:eastAsia="Calibri" w:hAnsi="Calibri"/>
          <w:color w:val="1A1A1A"/>
          <w:sz w:val="20"/>
          <w:szCs w:val="20"/>
        </w:rPr>
        <w:t xml:space="preserve"> — accords Royaume-Uni–Rwanda (jugés illicites par la Cour suprême britannique en 2023), Italie–Albanie, hubs de retour : la question est celle de la </w:t>
      </w:r>
      <w:r>
        <w:rPr>
          <w:rFonts w:ascii="Calibri" w:cs="Calibri" w:eastAsia="Calibri" w:hAnsi="Calibri"/>
          <w:b/>
          <w:bCs/>
          <w:color w:val="1A1A1A"/>
          <w:sz w:val="20"/>
          <w:szCs w:val="20"/>
        </w:rPr>
        <w:t xml:space="preserve">juridiction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CEDH</w:t>
      </w:r>
      <w:r>
        <w:rPr>
          <w:rFonts w:ascii="Calibri" w:cs="Calibri" w:eastAsia="Calibri" w:hAnsi="Calibri"/>
          <w:color w:val="1A1A1A"/>
          <w:sz w:val="20"/>
          <w:szCs w:val="20"/>
        </w:rPr>
        <w:t xml:space="preserve">) et du contrôle effectif du non-refoulement hors du territoire.</w:t>
      </w:r>
    </w:p>
    <w:p>
      <w:pPr>
        <w:pStyle w:val="ListParagraph"/>
        <w:numPr>
          <w:ilvl w:val="0"/>
          <w:numId w:val="2"/>
        </w:numPr>
        <w:spacing w:after="70" w:line="264"/>
        <w:jc w:val="both"/>
      </w:pPr>
      <w:r>
        <w:rPr>
          <w:rFonts w:ascii="Calibri" w:cs="Calibri" w:eastAsia="Calibri" w:hAnsi="Calibri"/>
          <w:b/>
          <w:bCs/>
          <w:color w:val="1A1A1A"/>
          <w:sz w:val="20"/>
          <w:szCs w:val="20"/>
        </w:rPr>
        <w:t xml:space="preserve">Inflation législative</w:t>
      </w:r>
      <w:r>
        <w:rPr>
          <w:rFonts w:ascii="Calibri" w:cs="Calibri" w:eastAsia="Calibri" w:hAnsi="Calibri"/>
          <w:color w:val="1A1A1A"/>
          <w:sz w:val="20"/>
          <w:szCs w:val="20"/>
        </w:rPr>
        <w:t xml:space="preserve"> — plus de trente lois sur l’immigration depuis 1980 ; la loi de 2024, largement censurée pour cavaliers, illustre l’usage du droit des étrangers comme </w:t>
      </w:r>
      <w:r>
        <w:rPr>
          <w:rFonts w:ascii="Calibri" w:cs="Calibri" w:eastAsia="Calibri" w:hAnsi="Calibri"/>
          <w:b/>
          <w:bCs/>
          <w:color w:val="1A1A1A"/>
          <w:sz w:val="20"/>
          <w:szCs w:val="20"/>
        </w:rPr>
        <w:t xml:space="preserve">terrain symbolique</w:t>
      </w:r>
      <w:r>
        <w:rPr>
          <w:rFonts w:ascii="Calibri" w:cs="Calibri" w:eastAsia="Calibri" w:hAnsi="Calibri"/>
          <w:color w:val="1A1A1A"/>
          <w:sz w:val="20"/>
          <w:szCs w:val="20"/>
        </w:rPr>
        <w:t xml:space="preserve"> du débat politique.</w:t>
      </w:r>
    </w:p>
    <w:p>
      <w:pPr>
        <w:pStyle w:val="Heading2"/>
        <w:spacing w:after="120" w:before="280"/>
      </w:pPr>
      <w:r>
        <w:rPr>
          <w:rFonts w:ascii="Calibri" w:cs="Calibri" w:eastAsia="Calibri" w:hAnsi="Calibri"/>
          <w:b/>
          <w:bCs/>
          <w:color w:val="1A1A1A"/>
          <w:sz w:val="24"/>
          <w:szCs w:val="24"/>
        </w:rPr>
        <w:t xml:space="preserve">6. Dispositif « Grand Oral »</w:t>
      </w:r>
    </w:p>
    <w:p>
      <w:pPr>
        <w:pStyle w:val="Heading3"/>
        <w:spacing w:after="90" w:before="200"/>
      </w:pPr>
      <w:r>
        <w:rPr>
          <w:rFonts w:ascii="Calibri" w:cs="Calibri" w:eastAsia="Calibri" w:hAnsi="Calibri"/>
          <w:b/>
          <w:bCs/>
          <w:i/>
          <w:iCs/>
          <w:color w:val="5A5A5A"/>
          <w:sz w:val="21"/>
          <w:szCs w:val="21"/>
        </w:rPr>
        <w:t xml:space="preserve">6.1.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Peut-on expulser un terroriste vers un pays où il risque la torture ? »</w:t>
      </w:r>
      <w:r>
        <w:rPr>
          <w:rFonts w:ascii="Calibri" w:cs="Calibri" w:eastAsia="Calibri" w:hAnsi="Calibri"/>
          <w:color w:val="1A1A1A"/>
          <w:sz w:val="20"/>
          <w:szCs w:val="20"/>
        </w:rPr>
        <w:t xml:space="preserve"> — Non :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ne souffre aucune mise en balance (</w:t>
      </w:r>
      <w:r>
        <w:rPr>
          <w:rFonts w:ascii="Calibri" w:cs="Calibri" w:eastAsia="Calibri" w:hAnsi="Calibri"/>
          <w:color w:val="E91E63"/>
          <w:sz w:val="20"/>
          <w:szCs w:val="20"/>
        </w:rPr>
        <w:t xml:space="preserve">Chahal</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Saadi</w:t>
      </w:r>
      <w:r>
        <w:rPr>
          <w:rFonts w:ascii="Calibri" w:cs="Calibri" w:eastAsia="Calibri" w:hAnsi="Calibri"/>
          <w:color w:val="1A1A1A"/>
          <w:sz w:val="20"/>
          <w:szCs w:val="20"/>
        </w:rPr>
        <w:t xml:space="preserve">) ; la France a été condamnée pour l’avoir fait au mépris d’une mesure provisoire (</w:t>
      </w:r>
      <w:r>
        <w:rPr>
          <w:rFonts w:ascii="Calibri" w:cs="Calibri" w:eastAsia="Calibri" w:hAnsi="Calibri"/>
          <w:color w:val="E91E63"/>
          <w:sz w:val="20"/>
          <w:szCs w:val="20"/>
        </w:rPr>
        <w:t xml:space="preserve">M.A. c. France</w:t>
      </w:r>
      <w:r>
        <w:rPr>
          <w:rFonts w:ascii="Calibri" w:cs="Calibri" w:eastAsia="Calibri" w:hAnsi="Calibri"/>
          <w:color w:val="1A1A1A"/>
          <w:sz w:val="20"/>
          <w:szCs w:val="20"/>
        </w:rPr>
        <w:t xml:space="preserve">, 2018). Alternatives : assignation à résidence, poursuites pénales en France, assurances diplomatiques </w:t>
      </w:r>
      <w:r>
        <w:rPr>
          <w:rFonts w:ascii="Calibri" w:cs="Calibri" w:eastAsia="Calibri" w:hAnsi="Calibri"/>
          <w:b/>
          <w:bCs/>
          <w:color w:val="1A1A1A"/>
          <w:sz w:val="20"/>
          <w:szCs w:val="20"/>
        </w:rPr>
        <w:t xml:space="preserve">fiables et vérifiables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Othman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Le maire peut-il refuser de marier un étranger sous OQTF ? »</w:t>
      </w:r>
      <w:r>
        <w:rPr>
          <w:rFonts w:ascii="Calibri" w:cs="Calibri" w:eastAsia="Calibri" w:hAnsi="Calibri"/>
          <w:color w:val="1A1A1A"/>
          <w:sz w:val="20"/>
          <w:szCs w:val="20"/>
        </w:rPr>
        <w:t xml:space="preserve"> — Non : l’irrégularité du séjour n’est pas un obstacle au mariage ; en cas de doute sérieux sur le consentement, le maire saisit le procureur (</w:t>
      </w:r>
      <w:r>
        <w:rPr>
          <w:rFonts w:ascii="Calibri" w:cs="Calibri" w:eastAsia="Calibri" w:hAnsi="Calibri"/>
          <w:color w:val="1E88E5"/>
          <w:sz w:val="20"/>
          <w:szCs w:val="20"/>
        </w:rPr>
        <w:t xml:space="preserve">art. 175-2 C. civ.</w:t>
      </w:r>
      <w:r>
        <w:rPr>
          <w:rFonts w:ascii="Calibri" w:cs="Calibri" w:eastAsia="Calibri" w:hAnsi="Calibri"/>
          <w:color w:val="1A1A1A"/>
          <w:sz w:val="20"/>
          <w:szCs w:val="20"/>
        </w:rPr>
        <w:t xml:space="preserve">), qui peut surseoir ou s’opposer ; refuser sans cette voie expose le maire à des poursuites.</w:t>
      </w:r>
    </w:p>
    <w:p>
      <w:pPr>
        <w:pStyle w:val="ListParagraph"/>
        <w:numPr>
          <w:ilvl w:val="0"/>
          <w:numId w:val="2"/>
        </w:numPr>
        <w:spacing w:after="70" w:line="264"/>
        <w:jc w:val="both"/>
      </w:pPr>
      <w:r>
        <w:rPr>
          <w:rFonts w:ascii="Calibri" w:cs="Calibri" w:eastAsia="Calibri" w:hAnsi="Calibri"/>
          <w:b/>
          <w:bCs/>
          <w:color w:val="1A1A1A"/>
          <w:sz w:val="20"/>
          <w:szCs w:val="20"/>
        </w:rPr>
        <w:t xml:space="preserve">« La France extrade-t-elle ses nationaux ? »</w:t>
      </w:r>
      <w:r>
        <w:rPr>
          <w:rFonts w:ascii="Calibri" w:cs="Calibri" w:eastAsia="Calibri" w:hAnsi="Calibri"/>
          <w:color w:val="1A1A1A"/>
          <w:sz w:val="20"/>
          <w:szCs w:val="20"/>
        </w:rPr>
        <w:t xml:space="preserve"> — Non par la voie de l’extradition (</w:t>
      </w:r>
      <w:r>
        <w:rPr>
          <w:rFonts w:ascii="Calibri" w:cs="Calibri" w:eastAsia="Calibri" w:hAnsi="Calibri"/>
          <w:color w:val="1E88E5"/>
          <w:sz w:val="20"/>
          <w:szCs w:val="20"/>
        </w:rPr>
        <w:t xml:space="preserve">art. 696-4 CPP</w:t>
      </w:r>
      <w:r>
        <w:rPr>
          <w:rFonts w:ascii="Calibri" w:cs="Calibri" w:eastAsia="Calibri" w:hAnsi="Calibri"/>
          <w:color w:val="1A1A1A"/>
          <w:sz w:val="20"/>
          <w:szCs w:val="20"/>
        </w:rPr>
        <w:t xml:space="preserve">) ; mais elle les </w:t>
      </w:r>
      <w:r>
        <w:rPr>
          <w:rFonts w:ascii="Calibri" w:cs="Calibri" w:eastAsia="Calibri" w:hAnsi="Calibri"/>
          <w:b/>
          <w:bCs/>
          <w:color w:val="1A1A1A"/>
          <w:sz w:val="20"/>
          <w:szCs w:val="20"/>
        </w:rPr>
        <w:t xml:space="preserve">remet</w:t>
      </w:r>
      <w:r>
        <w:rPr>
          <w:rFonts w:ascii="Calibri" w:cs="Calibri" w:eastAsia="Calibri" w:hAnsi="Calibri"/>
          <w:color w:val="1A1A1A"/>
          <w:sz w:val="20"/>
          <w:szCs w:val="20"/>
        </w:rPr>
        <w:t xml:space="preserve"> aux autres États membres dans le cadre du mandat d’arrêt européen, ce qui a exigé une révision constitutionnelle (</w:t>
      </w:r>
      <w:r>
        <w:rPr>
          <w:rFonts w:ascii="Calibri" w:cs="Calibri" w:eastAsia="Calibri" w:hAnsi="Calibri"/>
          <w:color w:val="1E88E5"/>
          <w:sz w:val="20"/>
          <w:szCs w:val="20"/>
        </w:rPr>
        <w:t xml:space="preserve">art. 88-2</w:t>
      </w:r>
      <w:r>
        <w:rPr>
          <w:rFonts w:ascii="Calibri" w:cs="Calibri" w:eastAsia="Calibri" w:hAnsi="Calibri"/>
          <w:color w:val="1A1A1A"/>
          <w:sz w:val="20"/>
          <w:szCs w:val="20"/>
        </w:rPr>
        <w:t xml:space="preserve">, 2003).</w:t>
      </w:r>
    </w:p>
    <w:p>
      <w:pPr>
        <w:pStyle w:val="Heading3"/>
        <w:spacing w:after="90" w:before="200"/>
      </w:pPr>
      <w:r>
        <w:rPr>
          <w:rFonts w:ascii="Calibri" w:cs="Calibri" w:eastAsia="Calibri" w:hAnsi="Calibri"/>
          <w:b/>
          <w:bCs/>
          <w:i/>
          <w:iCs/>
          <w:color w:val="5A5A5A"/>
          <w:sz w:val="21"/>
          <w:szCs w:val="21"/>
        </w:rPr>
        <w:t xml:space="preserve">6.2.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L’étranger et les droits fondamentaux — Le non-refoulement — L’expulsion des étrangers — L’extradition — La rétention administrative — Souveraineté et droits de l’homme — Commentaire : proposition de loi visant à interdire le mariage d’un étranger sous OQTF (sujet « Pour s’entraîner » du fascicule) — Commentaire : </w:t>
      </w:r>
      <w:r>
        <w:rPr>
          <w:rFonts w:ascii="Calibri" w:cs="Calibri" w:eastAsia="Calibri" w:hAnsi="Calibri"/>
          <w:color w:val="E91E63"/>
          <w:sz w:val="20"/>
          <w:szCs w:val="20"/>
        </w:rPr>
        <w:t xml:space="preserve">CE, 9 juin 2026</w:t>
      </w:r>
      <w:r>
        <w:rPr>
          <w:rFonts w:ascii="Calibri" w:cs="Calibri" w:eastAsia="Calibri" w:hAnsi="Calibri"/>
          <w:color w:val="1A1A1A"/>
          <w:sz w:val="20"/>
          <w:szCs w:val="20"/>
        </w:rPr>
        <w:t xml:space="preserve"> ou </w:t>
      </w:r>
      <w:r>
        <w:rPr>
          <w:rFonts w:ascii="Calibri" w:cs="Calibri" w:eastAsia="Calibri" w:hAnsi="Calibri"/>
          <w:color w:val="E91E63"/>
          <w:sz w:val="20"/>
          <w:szCs w:val="20"/>
        </w:rPr>
        <w:t xml:space="preserve">Adrar</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6.3.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est la durée maximale de la rétention administrative en droit commun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Quatre-vingt-dix jours</w:t>
      </w:r>
      <w:r>
        <w:rPr>
          <w:rFonts w:ascii="Calibri" w:cs="Calibri" w:eastAsia="Calibri" w:hAnsi="Calibri"/>
          <w:color w:val="1A1A1A"/>
          <w:sz w:val="20"/>
          <w:szCs w:val="20"/>
        </w:rPr>
        <w:t xml:space="preserve">, avec des prolongations au-delà pour les menaces d’une particulière gravité depuis la loi du 27 juillet 2026.</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juridiction donne son avis sur une demande d’extradition ?</w:t>
      </w:r>
      <w:r>
        <w:rPr>
          <w:rFonts w:ascii="Calibri" w:cs="Calibri" w:eastAsia="Calibri" w:hAnsi="Calibri"/>
          <w:color w:val="1A1A1A"/>
          <w:sz w:val="20"/>
          <w:szCs w:val="20"/>
        </w:rPr>
        <w:t xml:space="preserve"> — La </w:t>
      </w:r>
      <w:r>
        <w:rPr>
          <w:rFonts w:ascii="Calibri" w:cs="Calibri" w:eastAsia="Calibri" w:hAnsi="Calibri"/>
          <w:b/>
          <w:bCs/>
          <w:color w:val="1A1A1A"/>
          <w:sz w:val="20"/>
          <w:szCs w:val="20"/>
        </w:rPr>
        <w:t xml:space="preserve">chambre de l’instruction</w:t>
      </w:r>
      <w:r>
        <w:rPr>
          <w:rFonts w:ascii="Calibri" w:cs="Calibri" w:eastAsia="Calibri" w:hAnsi="Calibri"/>
          <w:color w:val="1A1A1A"/>
          <w:sz w:val="20"/>
          <w:szCs w:val="20"/>
        </w:rPr>
        <w:t xml:space="preserve"> de la cour d’appel.</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l’interdiction de retour sur le territoire français ?</w:t>
      </w:r>
      <w:r>
        <w:rPr>
          <w:rFonts w:ascii="Calibri" w:cs="Calibri" w:eastAsia="Calibri" w:hAnsi="Calibri"/>
          <w:color w:val="1A1A1A"/>
          <w:sz w:val="20"/>
          <w:szCs w:val="20"/>
        </w:rPr>
        <w:t xml:space="preserve"> — Mesure accessoire à l’OQTF, créée en 2011, interdisant le retour pour une durée fixée par le préfet et inscrite au système d’information Schengen.</w:t>
      </w:r>
    </w:p>
    <w:p>
      <w:pPr>
        <w:pStyle w:val="ListParagraph"/>
        <w:numPr>
          <w:ilvl w:val="0"/>
          <w:numId w:val="2"/>
        </w:numPr>
        <w:spacing w:after="70" w:line="264"/>
        <w:jc w:val="both"/>
      </w:pPr>
      <w:r>
        <w:rPr>
          <w:rFonts w:ascii="Calibri" w:cs="Calibri" w:eastAsia="Calibri" w:hAnsi="Calibri"/>
          <w:b/>
          <w:bCs/>
          <w:color w:val="1A1A1A"/>
          <w:sz w:val="20"/>
          <w:szCs w:val="20"/>
        </w:rPr>
        <w:t xml:space="preserve">Q. L’article 1er du Protocole n° 7 protège-t-il l’étranger en situation irrégulière ?</w:t>
      </w:r>
      <w:r>
        <w:rPr>
          <w:rFonts w:ascii="Calibri" w:cs="Calibri" w:eastAsia="Calibri" w:hAnsi="Calibri"/>
          <w:color w:val="1A1A1A"/>
          <w:sz w:val="20"/>
          <w:szCs w:val="20"/>
        </w:rPr>
        <w:t xml:space="preserve"> — Non : il ne vise que l’étranger « résidant régulièrement » sur le territoire.</w:t>
      </w:r>
    </w:p>
    <w:p>
      <w:pPr>
        <w:pStyle w:val="ListParagraph"/>
        <w:numPr>
          <w:ilvl w:val="0"/>
          <w:numId w:val="2"/>
        </w:numPr>
        <w:spacing w:after="70" w:line="264"/>
        <w:jc w:val="both"/>
      </w:pPr>
      <w:r>
        <w:rPr>
          <w:rFonts w:ascii="Calibri" w:cs="Calibri" w:eastAsia="Calibri" w:hAnsi="Calibri"/>
          <w:b/>
          <w:bCs/>
          <w:color w:val="1A1A1A"/>
          <w:sz w:val="20"/>
          <w:szCs w:val="20"/>
        </w:rPr>
        <w:t xml:space="preserve">Q. Qu’a jugé la Cour dans Paposhvili ?</w:t>
      </w:r>
      <w:r>
        <w:rPr>
          <w:rFonts w:ascii="Calibri" w:cs="Calibri" w:eastAsia="Calibri" w:hAnsi="Calibri"/>
          <w:color w:val="1A1A1A"/>
          <w:sz w:val="20"/>
          <w:szCs w:val="20"/>
        </w:rPr>
        <w:t xml:space="preserve"> — Que l’éloignement d’un malade grave peut violer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même sans risque imminent de décès, s’il l’expose à un déclin grave, rapide et irréversible de sa santé (GC, 2016).</w:t>
      </w:r>
    </w:p>
    <w:p>
      <w:pPr>
        <w:pStyle w:val="ListParagraph"/>
        <w:numPr>
          <w:ilvl w:val="0"/>
          <w:numId w:val="2"/>
        </w:numPr>
        <w:spacing w:after="70" w:line="264"/>
        <w:jc w:val="both"/>
      </w:pPr>
      <w:r>
        <w:rPr>
          <w:rFonts w:ascii="Calibri" w:cs="Calibri" w:eastAsia="Calibri" w:hAnsi="Calibri"/>
          <w:b/>
          <w:bCs/>
          <w:color w:val="1A1A1A"/>
          <w:sz w:val="20"/>
          <w:szCs w:val="20"/>
        </w:rPr>
        <w:t xml:space="preserve">Q. Le Conseil d’État contrôle-t-il un décret d’extradition ?</w:t>
      </w:r>
      <w:r>
        <w:rPr>
          <w:rFonts w:ascii="Calibri" w:cs="Calibri" w:eastAsia="Calibri" w:hAnsi="Calibri"/>
          <w:color w:val="1A1A1A"/>
          <w:sz w:val="20"/>
          <w:szCs w:val="20"/>
        </w:rPr>
        <w:t xml:space="preserve"> — Oui, depuis </w:t>
      </w:r>
      <w:r>
        <w:rPr>
          <w:rFonts w:ascii="Calibri" w:cs="Calibri" w:eastAsia="Calibri" w:hAnsi="Calibri"/>
          <w:color w:val="E91E63"/>
          <w:sz w:val="20"/>
          <w:szCs w:val="20"/>
        </w:rPr>
        <w:t xml:space="preserve">Astudillo Calleja</w:t>
      </w:r>
      <w:r>
        <w:rPr>
          <w:rFonts w:ascii="Calibri" w:cs="Calibri" w:eastAsia="Calibri" w:hAnsi="Calibri"/>
          <w:color w:val="1A1A1A"/>
          <w:sz w:val="20"/>
          <w:szCs w:val="20"/>
        </w:rPr>
        <w:t xml:space="preserve"> (1977) ; l’acte n’est plus un acte de gouvernement.</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44 — LE DROIT DES PEUPLES À DISPOSER D’EUX-MÊMES</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Le 11 mars 1882, à la Sorbonne, </w:t>
      </w:r>
      <w:r>
        <w:rPr>
          <w:rFonts w:ascii="Calibri" w:cs="Calibri" w:eastAsia="Calibri" w:hAnsi="Calibri"/>
          <w:color w:val="2E7D32"/>
          <w:sz w:val="20"/>
          <w:szCs w:val="20"/>
        </w:rPr>
        <w:t xml:space="preserve">Ernest Renan</w:t>
      </w:r>
      <w:r>
        <w:rPr>
          <w:rFonts w:ascii="Calibri" w:cs="Calibri" w:eastAsia="Calibri" w:hAnsi="Calibri"/>
          <w:color w:val="1A1A1A"/>
          <w:sz w:val="20"/>
          <w:szCs w:val="20"/>
        </w:rPr>
        <w:t xml:space="preserve"> définit la nation comme « un </w:t>
      </w:r>
      <w:r>
        <w:rPr>
          <w:rFonts w:ascii="Calibri" w:cs="Calibri" w:eastAsia="Calibri" w:hAnsi="Calibri"/>
          <w:b/>
          <w:bCs/>
          <w:color w:val="1A1A1A"/>
          <w:sz w:val="20"/>
          <w:szCs w:val="20"/>
        </w:rPr>
        <w:t xml:space="preserve">plébiscite de tous les jours</w:t>
      </w:r>
      <w:r>
        <w:rPr>
          <w:rFonts w:ascii="Calibri" w:cs="Calibri" w:eastAsia="Calibri" w:hAnsi="Calibri"/>
          <w:color w:val="1A1A1A"/>
          <w:sz w:val="20"/>
          <w:szCs w:val="20"/>
        </w:rPr>
        <w:t xml:space="preserve"> ». Un siècle et demi plus tard, la Nouvelle-Calédonie a voté trois fois sur son indépendance (2018, 2020, 2021), et la Corse attend une autonomie inscrite dans la Constitution : </w:t>
      </w:r>
      <w:r>
        <w:rPr>
          <w:rFonts w:ascii="Calibri" w:cs="Calibri" w:eastAsia="Calibri" w:hAnsi="Calibri"/>
          <w:b/>
          <w:bCs/>
          <w:color w:val="1A1A1A"/>
          <w:sz w:val="20"/>
          <w:szCs w:val="20"/>
        </w:rPr>
        <w:t xml:space="preserve">la France, État unitaire, organise en son sein le droit de partir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en 1991, le Conseil constitutionnel refuse au « peuple corse » le droit d’exister juridiquement (</w:t>
      </w:r>
      <w:r>
        <w:rPr>
          <w:rFonts w:ascii="Calibri" w:cs="Calibri" w:eastAsia="Calibri" w:hAnsi="Calibri"/>
          <w:color w:val="E91E63"/>
          <w:sz w:val="20"/>
          <w:szCs w:val="20"/>
        </w:rPr>
        <w:t xml:space="preserve">91-290 DC</w:t>
      </w:r>
      <w:r>
        <w:rPr>
          <w:rFonts w:ascii="Calibri" w:cs="Calibri" w:eastAsia="Calibri" w:hAnsi="Calibri"/>
          <w:color w:val="1A1A1A"/>
          <w:sz w:val="20"/>
          <w:szCs w:val="20"/>
        </w:rPr>
        <w:t xml:space="preserve">) ; la même Constitution reconnaît, au titre XIII, un processus d’autodétermination et l’accord de Nouméa parle du « </w:t>
      </w:r>
      <w:r>
        <w:rPr>
          <w:rFonts w:ascii="Calibri" w:cs="Calibri" w:eastAsia="Calibri" w:hAnsi="Calibri"/>
          <w:b/>
          <w:bCs/>
          <w:color w:val="1A1A1A"/>
          <w:sz w:val="20"/>
          <w:szCs w:val="20"/>
        </w:rPr>
        <w:t xml:space="preserve">peuple kanak</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Le peuple français est un, mais la République connaît des peuples.</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 droit des peuples à disposer d’eux-mêmes est le droit d’un peuple de déterminer librement son statut politique et d’assurer librement son développement économique, social et culturel (</w:t>
      </w:r>
      <w:r>
        <w:rPr>
          <w:rFonts w:ascii="Calibri" w:cs="Calibri" w:eastAsia="Calibri" w:hAnsi="Calibri"/>
          <w:color w:val="1E88E5"/>
          <w:sz w:val="20"/>
          <w:szCs w:val="20"/>
        </w:rPr>
        <w:t xml:space="preserve">art. 1er commun aux deux Pactes de 1966</w:t>
      </w:r>
      <w:r>
        <w:rPr>
          <w:rFonts w:ascii="Calibri" w:cs="Calibri" w:eastAsia="Calibri" w:hAnsi="Calibri"/>
          <w:color w:val="1A1A1A"/>
          <w:sz w:val="20"/>
          <w:szCs w:val="20"/>
        </w:rPr>
        <w:t xml:space="preserve">) ; principe </w:t>
      </w:r>
      <w:r>
        <w:rPr>
          <w:rFonts w:ascii="Calibri" w:cs="Calibri" w:eastAsia="Calibri" w:hAnsi="Calibri"/>
          <w:b/>
          <w:bCs/>
          <w:color w:val="1A1A1A"/>
          <w:sz w:val="20"/>
          <w:szCs w:val="20"/>
        </w:rPr>
        <w:t xml:space="preserve">coutumier</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erga omnes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Timor oriental</w:t>
      </w:r>
      <w:r>
        <w:rPr>
          <w:rFonts w:ascii="Calibri" w:cs="Calibri" w:eastAsia="Calibri" w:hAnsi="Calibri"/>
          <w:color w:val="1A1A1A"/>
          <w:sz w:val="20"/>
          <w:szCs w:val="20"/>
        </w:rPr>
        <w:t xml:space="preserve">, 1995), il s’est construit dans le cadre de la </w:t>
      </w:r>
      <w:r>
        <w:rPr>
          <w:rFonts w:ascii="Calibri" w:cs="Calibri" w:eastAsia="Calibri" w:hAnsi="Calibri"/>
          <w:b/>
          <w:bCs/>
          <w:color w:val="1A1A1A"/>
          <w:sz w:val="20"/>
          <w:szCs w:val="20"/>
        </w:rPr>
        <w:t xml:space="preserve">décolonisation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Il se combine avec l’</w:t>
      </w:r>
      <w:r>
        <w:rPr>
          <w:rFonts w:ascii="Calibri" w:cs="Calibri" w:eastAsia="Calibri" w:hAnsi="Calibri"/>
          <w:b/>
          <w:bCs/>
          <w:color w:val="1A1A1A"/>
          <w:sz w:val="20"/>
          <w:szCs w:val="20"/>
        </w:rPr>
        <w:t xml:space="preserve">intégrité territoriale</w:t>
      </w:r>
      <w:r>
        <w:rPr>
          <w:rFonts w:ascii="Calibri" w:cs="Calibri" w:eastAsia="Calibri" w:hAnsi="Calibri"/>
          <w:color w:val="1A1A1A"/>
          <w:sz w:val="20"/>
          <w:szCs w:val="20"/>
        </w:rPr>
        <w:t xml:space="preserve"> des États et l’</w:t>
      </w:r>
      <w:r>
        <w:rPr>
          <w:rFonts w:ascii="Calibri" w:cs="Calibri" w:eastAsia="Calibri" w:hAnsi="Calibri"/>
          <w:b/>
          <w:bCs/>
          <w:color w:val="1A1A1A"/>
          <w:sz w:val="20"/>
          <w:szCs w:val="20"/>
        </w:rPr>
        <w:t xml:space="preserve">uti possidetis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Burkina Faso/Mali</w:t>
      </w:r>
      <w:r>
        <w:rPr>
          <w:rFonts w:ascii="Calibri" w:cs="Calibri" w:eastAsia="Calibri" w:hAnsi="Calibri"/>
          <w:color w:val="1A1A1A"/>
          <w:sz w:val="20"/>
          <w:szCs w:val="20"/>
        </w:rPr>
        <w:t xml:space="preserve">, 1986) : hors situation coloniale ou d’occupation, il s’exerce en principe sous forme </w:t>
      </w:r>
      <w:r>
        <w:rPr>
          <w:rFonts w:ascii="Calibri" w:cs="Calibri" w:eastAsia="Calibri" w:hAnsi="Calibri"/>
          <w:b/>
          <w:bCs/>
          <w:color w:val="1A1A1A"/>
          <w:sz w:val="20"/>
          <w:szCs w:val="20"/>
        </w:rPr>
        <w:t xml:space="preserve">interne</w:t>
      </w:r>
      <w:r>
        <w:rPr>
          <w:rFonts w:ascii="Calibri" w:cs="Calibri" w:eastAsia="Calibri" w:hAnsi="Calibri"/>
          <w:color w:val="1A1A1A"/>
          <w:sz w:val="20"/>
          <w:szCs w:val="20"/>
        </w:rPr>
        <w:t xml:space="preserve"> (autonomie, participation), non par la sécession.</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 2 et 55 de la Charte des Nations unies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PIDCP et PIDESC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résolution 1514 (XV) du 14 décembre 1960</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résolution 2625 (XXV) du 24 octobre 1970</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20 Charte africaine des droits de l’homme et des peuples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CIJ, avis, 25 février 2019, Archipel des Chagos</w:t>
      </w:r>
      <w:r>
        <w:rPr>
          <w:rFonts w:ascii="Calibri" w:cs="Calibri" w:eastAsia="Calibri" w:hAnsi="Calibri"/>
          <w:color w:val="1A1A1A"/>
          <w:sz w:val="20"/>
          <w:szCs w:val="20"/>
        </w:rPr>
        <w:t xml:space="preserve"> : la décolonisation de Maurice n’a pas été validement achevée ; droit coutumier à l’autodétermination dès 1960 et droit à l’intégrité territoriale du territoire non autonome.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CIJ, avis, 22 juillet 2010, Kosovo</w:t>
      </w:r>
      <w:r>
        <w:rPr>
          <w:rFonts w:ascii="Calibri" w:cs="Calibri" w:eastAsia="Calibri" w:hAnsi="Calibri"/>
          <w:color w:val="1A1A1A"/>
          <w:sz w:val="20"/>
          <w:szCs w:val="20"/>
        </w:rPr>
        <w:t xml:space="preserve"> : la déclaration unilatérale d’indépendance ne viole pas le droit international, mais la Cour refuse de se prononcer sur un droit à la </w:t>
      </w:r>
      <w:r>
        <w:rPr>
          <w:rFonts w:ascii="Calibri" w:cs="Calibri" w:eastAsia="Calibri" w:hAnsi="Calibri"/>
          <w:b/>
          <w:bCs/>
          <w:color w:val="1A1A1A"/>
          <w:sz w:val="20"/>
          <w:szCs w:val="20"/>
        </w:rPr>
        <w:t xml:space="preserve">sécession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91-290 DC, 9 mai 1991, Statut de la Corse</w:t>
      </w:r>
      <w:r>
        <w:rPr>
          <w:rFonts w:ascii="Calibri" w:cs="Calibri" w:eastAsia="Calibri" w:hAnsi="Calibri"/>
          <w:color w:val="1A1A1A"/>
          <w:sz w:val="20"/>
          <w:szCs w:val="20"/>
        </w:rPr>
        <w:t xml:space="preserve"> : le concept juridique de </w:t>
      </w:r>
      <w:r>
        <w:rPr>
          <w:rFonts w:ascii="Calibri" w:cs="Calibri" w:eastAsia="Calibri" w:hAnsi="Calibri"/>
          <w:b/>
          <w:bCs/>
          <w:color w:val="1A1A1A"/>
          <w:sz w:val="20"/>
          <w:szCs w:val="20"/>
        </w:rPr>
        <w:t xml:space="preserve">« peuple français »</w:t>
      </w:r>
      <w:r>
        <w:rPr>
          <w:rFonts w:ascii="Calibri" w:cs="Calibri" w:eastAsia="Calibri" w:hAnsi="Calibri"/>
          <w:color w:val="1A1A1A"/>
          <w:sz w:val="20"/>
          <w:szCs w:val="20"/>
        </w:rPr>
        <w:t xml:space="preserve"> a valeur constitutionnelle et ne peut être fractionné.</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75-59 DC, 30 décembre 1975, Comores</w:t>
      </w:r>
      <w:r>
        <w:rPr>
          <w:rFonts w:ascii="Calibri" w:cs="Calibri" w:eastAsia="Calibri" w:hAnsi="Calibri"/>
          <w:color w:val="1A1A1A"/>
          <w:sz w:val="20"/>
          <w:szCs w:val="20"/>
        </w:rPr>
        <w:t xml:space="preserve"> : principe de </w:t>
      </w:r>
      <w:r>
        <w:rPr>
          <w:rFonts w:ascii="Calibri" w:cs="Calibri" w:eastAsia="Calibri" w:hAnsi="Calibri"/>
          <w:b/>
          <w:bCs/>
          <w:color w:val="1A1A1A"/>
          <w:sz w:val="20"/>
          <w:szCs w:val="20"/>
        </w:rPr>
        <w:t xml:space="preserve">libre détermination des peuples</w:t>
      </w:r>
      <w:r>
        <w:rPr>
          <w:rFonts w:ascii="Calibri" w:cs="Calibri" w:eastAsia="Calibri" w:hAnsi="Calibri"/>
          <w:color w:val="1A1A1A"/>
          <w:sz w:val="20"/>
          <w:szCs w:val="20"/>
        </w:rPr>
        <w:t xml:space="preserve"> d’outre-mer et interprétation de l’</w:t>
      </w:r>
      <w:r>
        <w:rPr>
          <w:rFonts w:ascii="Calibri" w:cs="Calibri" w:eastAsia="Calibri" w:hAnsi="Calibri"/>
          <w:color w:val="1E88E5"/>
          <w:sz w:val="20"/>
          <w:szCs w:val="20"/>
        </w:rPr>
        <w:t xml:space="preserve">art. 53 C.</w:t>
      </w:r>
      <w:r>
        <w:rPr>
          <w:rFonts w:ascii="Calibri" w:cs="Calibri" w:eastAsia="Calibri" w:hAnsi="Calibri"/>
          <w:color w:val="1A1A1A"/>
          <w:sz w:val="20"/>
          <w:szCs w:val="20"/>
        </w:rPr>
        <w:t xml:space="preserve"> île par île (Mayotte).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droit des peuples à disposer d’eux-mêmes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droit né de la décolonisation</w:t>
      </w:r>
      <w:r>
        <w:rPr>
          <w:rFonts w:ascii="Calibri" w:cs="Calibri" w:eastAsia="Calibri" w:hAnsi="Calibri"/>
          <w:color w:val="1A1A1A"/>
          <w:sz w:val="20"/>
          <w:szCs w:val="20"/>
        </w:rPr>
        <w:t xml:space="preserve"> (A. La consécration : Charte, </w:t>
      </w:r>
      <w:r>
        <w:rPr>
          <w:rFonts w:ascii="Calibri" w:cs="Calibri" w:eastAsia="Calibri" w:hAnsi="Calibri"/>
          <w:color w:val="1E88E5"/>
          <w:sz w:val="20"/>
          <w:szCs w:val="20"/>
        </w:rPr>
        <w:t xml:space="preserve">résolution 1514</w:t>
      </w:r>
      <w:r>
        <w:rPr>
          <w:rFonts w:ascii="Calibri" w:cs="Calibri" w:eastAsia="Calibri" w:hAnsi="Calibri"/>
          <w:color w:val="1A1A1A"/>
          <w:sz w:val="20"/>
          <w:szCs w:val="20"/>
        </w:rPr>
        <w:t xml:space="preserve">, Pactes ; B. La portée : coutume, erga omnes, uti possidetis — </w:t>
      </w:r>
      <w:r>
        <w:rPr>
          <w:rFonts w:ascii="Calibri" w:cs="Calibri" w:eastAsia="Calibri" w:hAnsi="Calibri"/>
          <w:color w:val="E91E63"/>
          <w:sz w:val="20"/>
          <w:szCs w:val="20"/>
        </w:rPr>
        <w:t xml:space="preserve">Namibie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Sahara occidental</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Timor</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Chagos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Front Polisario</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 droit en quête de sujet hors de la décolonisation</w:t>
      </w:r>
      <w:r>
        <w:rPr>
          <w:rFonts w:ascii="Calibri" w:cs="Calibri" w:eastAsia="Calibri" w:hAnsi="Calibri"/>
          <w:color w:val="1A1A1A"/>
          <w:sz w:val="20"/>
          <w:szCs w:val="20"/>
        </w:rPr>
        <w:t xml:space="preserve"> (A. L’autodétermination externe contestée : </w:t>
      </w:r>
      <w:r>
        <w:rPr>
          <w:rFonts w:ascii="Calibri" w:cs="Calibri" w:eastAsia="Calibri" w:hAnsi="Calibri"/>
          <w:color w:val="E91E63"/>
          <w:sz w:val="20"/>
          <w:szCs w:val="20"/>
        </w:rPr>
        <w:t xml:space="preserve">Kosovo</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Renvoi relatif à la sécession du Québec</w:t>
      </w:r>
      <w:r>
        <w:rPr>
          <w:rFonts w:ascii="Calibri" w:cs="Calibri" w:eastAsia="Calibri" w:hAnsi="Calibri"/>
          <w:color w:val="1A1A1A"/>
          <w:sz w:val="20"/>
          <w:szCs w:val="20"/>
        </w:rPr>
        <w:t xml:space="preserve">, Crimée ; B. L’autodétermination interne : autonomie, minorités, Nouvelle-Calédonie, Corse).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Les implications du droit des peuples en France »</w:t>
      </w:r>
      <w:r>
        <w:rPr>
          <w:rFonts w:ascii="Calibri" w:cs="Calibri" w:eastAsia="Calibri" w:hAnsi="Calibri"/>
          <w:color w:val="1A1A1A"/>
          <w:sz w:val="20"/>
          <w:szCs w:val="20"/>
        </w:rPr>
        <w:t xml:space="preserve"> (sujet « Pour s’entraîner ») — </w:t>
      </w:r>
      <w:r>
        <w:rPr>
          <w:rFonts w:ascii="Calibri" w:cs="Calibri" w:eastAsia="Calibri" w:hAnsi="Calibri"/>
          <w:b/>
          <w:bCs/>
          <w:color w:val="1A1A1A"/>
          <w:sz w:val="20"/>
          <w:szCs w:val="20"/>
        </w:rPr>
        <w:t xml:space="preserve">I. L’unicité du peuple français</w:t>
      </w:r>
      <w:r>
        <w:rPr>
          <w:rFonts w:ascii="Calibri" w:cs="Calibri" w:eastAsia="Calibri" w:hAnsi="Calibri"/>
          <w:color w:val="1A1A1A"/>
          <w:sz w:val="20"/>
          <w:szCs w:val="20"/>
        </w:rPr>
        <w:t xml:space="preserve"> (A. Un concept constitutionnel : </w:t>
      </w:r>
      <w:r>
        <w:rPr>
          <w:rFonts w:ascii="Calibri" w:cs="Calibri" w:eastAsia="Calibri" w:hAnsi="Calibri"/>
          <w:color w:val="E91E63"/>
          <w:sz w:val="20"/>
          <w:szCs w:val="20"/>
        </w:rPr>
        <w:t xml:space="preserve">91-290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99-412 DC</w:t>
      </w:r>
      <w:r>
        <w:rPr>
          <w:rFonts w:ascii="Calibri" w:cs="Calibri" w:eastAsia="Calibri" w:hAnsi="Calibri"/>
          <w:color w:val="1A1A1A"/>
          <w:sz w:val="20"/>
          <w:szCs w:val="20"/>
        </w:rPr>
        <w:t xml:space="preserve"> ; B. Le refus des droits collectifs : langues régionales, </w:t>
      </w:r>
      <w:r>
        <w:rPr>
          <w:rFonts w:ascii="Calibri" w:cs="Calibri" w:eastAsia="Calibri" w:hAnsi="Calibri"/>
          <w:color w:val="E91E63"/>
          <w:sz w:val="20"/>
          <w:szCs w:val="20"/>
        </w:rPr>
        <w:t xml:space="preserve">2021-818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Des peuples d’outre-mer et une autonomie différenciée</w:t>
      </w:r>
      <w:r>
        <w:rPr>
          <w:rFonts w:ascii="Calibri" w:cs="Calibri" w:eastAsia="Calibri" w:hAnsi="Calibri"/>
          <w:color w:val="1A1A1A"/>
          <w:sz w:val="20"/>
          <w:szCs w:val="20"/>
        </w:rPr>
        <w:t xml:space="preserve"> (A. L’autodétermination organisée : </w:t>
      </w:r>
      <w:r>
        <w:rPr>
          <w:rFonts w:ascii="Calibri" w:cs="Calibri" w:eastAsia="Calibri" w:hAnsi="Calibri"/>
          <w:color w:val="1E88E5"/>
          <w:sz w:val="20"/>
          <w:szCs w:val="20"/>
        </w:rPr>
        <w:t xml:space="preserve">art. 53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75-59 DC</w:t>
      </w:r>
      <w:r>
        <w:rPr>
          <w:rFonts w:ascii="Calibri" w:cs="Calibri" w:eastAsia="Calibri" w:hAnsi="Calibri"/>
          <w:color w:val="1A1A1A"/>
          <w:sz w:val="20"/>
          <w:szCs w:val="20"/>
        </w:rPr>
        <w:t xml:space="preserve">, titre XIII, </w:t>
      </w:r>
      <w:r>
        <w:rPr>
          <w:rFonts w:ascii="Calibri" w:cs="Calibri" w:eastAsia="Calibri" w:hAnsi="Calibri"/>
          <w:color w:val="E91E63"/>
          <w:sz w:val="20"/>
          <w:szCs w:val="20"/>
        </w:rPr>
        <w:t xml:space="preserve">Py c. France</w:t>
      </w:r>
      <w:r>
        <w:rPr>
          <w:rFonts w:ascii="Calibri" w:cs="Calibri" w:eastAsia="Calibri" w:hAnsi="Calibri"/>
          <w:color w:val="1A1A1A"/>
          <w:sz w:val="20"/>
          <w:szCs w:val="20"/>
        </w:rPr>
        <w:t xml:space="preserve"> ; B. L’autonomie normative en devenir : accord de Bougival, projet de loi constitutionnelle Corse 2026).</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Autodétermination ≠ droit de sécession</w:t>
      </w:r>
      <w:r>
        <w:rPr>
          <w:rFonts w:ascii="Calibri" w:cs="Calibri" w:eastAsia="Calibri" w:hAnsi="Calibri"/>
          <w:color w:val="1A1A1A"/>
          <w:sz w:val="20"/>
          <w:szCs w:val="20"/>
        </w:rPr>
        <w:t xml:space="preserve"> : hors colonisation, domination étrangère ou occupation, le droit international ne consacre pas de droit à la sécession ; la « sécession-remède » reste doctrinale (</w:t>
      </w:r>
      <w:r>
        <w:rPr>
          <w:rFonts w:ascii="Calibri" w:cs="Calibri" w:eastAsia="Calibri" w:hAnsi="Calibri"/>
          <w:color w:val="E91E63"/>
          <w:sz w:val="20"/>
          <w:szCs w:val="20"/>
        </w:rPr>
        <w:t xml:space="preserve">Renvoi relatif à la sécession du Québec</w:t>
      </w:r>
      <w:r>
        <w:rPr>
          <w:rFonts w:ascii="Calibri" w:cs="Calibri" w:eastAsia="Calibri" w:hAnsi="Calibri"/>
          <w:color w:val="1A1A1A"/>
          <w:sz w:val="20"/>
          <w:szCs w:val="20"/>
        </w:rPr>
        <w:t xml:space="preserve">, Cour suprême du Canada, 20 août 1998 ; </w:t>
      </w:r>
      <w:r>
        <w:rPr>
          <w:rFonts w:ascii="Calibri" w:cs="Calibri" w:eastAsia="Calibri" w:hAnsi="Calibri"/>
          <w:color w:val="E91E63"/>
          <w:sz w:val="20"/>
          <w:szCs w:val="20"/>
        </w:rPr>
        <w:t xml:space="preserve">Kosovo</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Un avis consultatif n’est pas obligatoire… mais il dit le droit</w:t>
      </w:r>
      <w:r>
        <w:rPr>
          <w:rFonts w:ascii="Calibri" w:cs="Calibri" w:eastAsia="Calibri" w:hAnsi="Calibri"/>
          <w:color w:val="1A1A1A"/>
          <w:sz w:val="20"/>
          <w:szCs w:val="20"/>
        </w:rPr>
        <w:t xml:space="preserve"> : l’avis </w:t>
      </w:r>
      <w:r>
        <w:rPr>
          <w:rFonts w:ascii="Calibri" w:cs="Calibri" w:eastAsia="Calibri" w:hAnsi="Calibri"/>
          <w:color w:val="E91E63"/>
          <w:sz w:val="20"/>
          <w:szCs w:val="20"/>
        </w:rPr>
        <w:t xml:space="preserve">Chagos</w:t>
      </w:r>
      <w:r>
        <w:rPr>
          <w:rFonts w:ascii="Calibri" w:cs="Calibri" w:eastAsia="Calibri" w:hAnsi="Calibri"/>
          <w:color w:val="1A1A1A"/>
          <w:sz w:val="20"/>
          <w:szCs w:val="20"/>
        </w:rPr>
        <w:t xml:space="preserve"> n’a pas d’effet contraignant, mais il constate des obligations coutumières erga omnes et a été suivi d’effets (résolution de l’Assemblée générale, accord Royaume-Uni–Maurice de 2025).</w:t>
      </w:r>
    </w:p>
    <w:p>
      <w:pPr>
        <w:pStyle w:val="ListParagraph"/>
        <w:numPr>
          <w:ilvl w:val="0"/>
          <w:numId w:val="2"/>
        </w:numPr>
        <w:spacing w:after="70" w:line="264"/>
        <w:jc w:val="both"/>
      </w:pPr>
      <w:r>
        <w:rPr>
          <w:rFonts w:ascii="Calibri" w:cs="Calibri" w:eastAsia="Calibri" w:hAnsi="Calibri"/>
          <w:b/>
          <w:bCs/>
          <w:color w:val="1A1A1A"/>
          <w:sz w:val="20"/>
          <w:szCs w:val="20"/>
        </w:rPr>
        <w:t xml:space="preserve">Nouvelle-Calédonie : l’état du droit</w:t>
      </w:r>
      <w:r>
        <w:rPr>
          <w:rFonts w:ascii="Calibri" w:cs="Calibri" w:eastAsia="Calibri" w:hAnsi="Calibri"/>
          <w:color w:val="1A1A1A"/>
          <w:sz w:val="20"/>
          <w:szCs w:val="20"/>
        </w:rPr>
        <w:t xml:space="preserve"> — l’accord de Bougival (2025) et l’accord Élysée-Oudinot (2026) n’ont </w:t>
      </w:r>
      <w:r>
        <w:rPr>
          <w:rFonts w:ascii="Calibri" w:cs="Calibri" w:eastAsia="Calibri" w:hAnsi="Calibri"/>
          <w:b/>
          <w:bCs/>
          <w:color w:val="1A1A1A"/>
          <w:sz w:val="20"/>
          <w:szCs w:val="20"/>
        </w:rPr>
        <w:t xml:space="preserve">pas</w:t>
      </w:r>
      <w:r>
        <w:rPr>
          <w:rFonts w:ascii="Calibri" w:cs="Calibri" w:eastAsia="Calibri" w:hAnsi="Calibri"/>
          <w:color w:val="1A1A1A"/>
          <w:sz w:val="20"/>
          <w:szCs w:val="20"/>
        </w:rPr>
        <w:t xml:space="preserve"> modifié le statut en vigueur : le projet de loi constitutionnelle, adopté par le Sénat, a été rejeté par l’Assemblée nationale le 2 avril 2026 ; les élections provinciales se sont tenues le 28 juin 2026 sur une liste spéciale élargie. Le fascicule présente la révision comme « en cours ».</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Charte des Nations unies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 2</w:t>
      </w:r>
      <w:r>
        <w:rPr>
          <w:rFonts w:ascii="Calibri" w:cs="Calibri" w:eastAsia="Calibri" w:hAnsi="Calibri"/>
          <w:color w:val="1A1A1A"/>
          <w:sz w:val="20"/>
          <w:szCs w:val="20"/>
        </w:rPr>
        <w:t xml:space="preserve"> (respect du principe de l’égalité de droits des peuples et de leur droit à disposer d’eux-mêmes), </w:t>
      </w:r>
      <w:r>
        <w:rPr>
          <w:rFonts w:ascii="Calibri" w:cs="Calibri" w:eastAsia="Calibri" w:hAnsi="Calibri"/>
          <w:color w:val="1E88E5"/>
          <w:sz w:val="20"/>
          <w:szCs w:val="20"/>
        </w:rPr>
        <w:t xml:space="preserve">art. 55</w:t>
      </w:r>
      <w:r>
        <w:rPr>
          <w:rFonts w:ascii="Calibri" w:cs="Calibri" w:eastAsia="Calibri" w:hAnsi="Calibri"/>
          <w:color w:val="1A1A1A"/>
          <w:sz w:val="20"/>
          <w:szCs w:val="20"/>
        </w:rPr>
        <w:t xml:space="preserve"> ; chapitre XI (territoires non autonomes, </w:t>
      </w:r>
      <w:r>
        <w:rPr>
          <w:rFonts w:ascii="Calibri" w:cs="Calibri" w:eastAsia="Calibri" w:hAnsi="Calibri"/>
          <w:color w:val="1E88E5"/>
          <w:sz w:val="20"/>
          <w:szCs w:val="20"/>
        </w:rPr>
        <w:t xml:space="preserve">art. 73-74</w:t>
      </w:r>
      <w:r>
        <w:rPr>
          <w:rFonts w:ascii="Calibri" w:cs="Calibri" w:eastAsia="Calibri" w:hAnsi="Calibri"/>
          <w:color w:val="1A1A1A"/>
          <w:sz w:val="20"/>
          <w:szCs w:val="20"/>
        </w:rPr>
        <w:t xml:space="preserve">), chapitres XII-XIII (tutelle ; Conseil de tutelle suspendu en 1994). Antécédent : </w:t>
      </w:r>
      <w:r>
        <w:rPr>
          <w:rFonts w:ascii="Calibri" w:cs="Calibri" w:eastAsia="Calibri" w:hAnsi="Calibri"/>
          <w:color w:val="1E88E5"/>
          <w:sz w:val="20"/>
          <w:szCs w:val="20"/>
        </w:rPr>
        <w:t xml:space="preserve">art. 22 du Pacte de la SDN</w:t>
      </w:r>
      <w:r>
        <w:rPr>
          <w:rFonts w:ascii="Calibri" w:cs="Calibri" w:eastAsia="Calibri" w:hAnsi="Calibri"/>
          <w:color w:val="1A1A1A"/>
          <w:sz w:val="20"/>
          <w:szCs w:val="20"/>
        </w:rPr>
        <w:t xml:space="preserve"> (mandats).</w:t>
      </w:r>
    </w:p>
    <w:p>
      <w:pPr>
        <w:pStyle w:val="ListParagraph"/>
        <w:numPr>
          <w:ilvl w:val="0"/>
          <w:numId w:val="2"/>
        </w:numPr>
        <w:spacing w:after="70" w:line="264"/>
        <w:jc w:val="both"/>
      </w:pPr>
      <w:r>
        <w:rPr>
          <w:rFonts w:ascii="Calibri" w:cs="Calibri" w:eastAsia="Calibri" w:hAnsi="Calibri"/>
          <w:b/>
          <w:bCs/>
          <w:color w:val="1A1A1A"/>
          <w:sz w:val="20"/>
          <w:szCs w:val="20"/>
        </w:rPr>
        <w:t xml:space="preserve">Résolutions de l’Assemblée générale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1514 (XV), 14 décembre 1960</w:t>
      </w:r>
      <w:r>
        <w:rPr>
          <w:rFonts w:ascii="Calibri" w:cs="Calibri" w:eastAsia="Calibri" w:hAnsi="Calibri"/>
          <w:color w:val="1A1A1A"/>
          <w:sz w:val="20"/>
          <w:szCs w:val="20"/>
        </w:rPr>
        <w:t xml:space="preserve"> (octroi de l’indépendance aux peuples coloniaux) ; </w:t>
      </w:r>
      <w:r>
        <w:rPr>
          <w:rFonts w:ascii="Calibri" w:cs="Calibri" w:eastAsia="Calibri" w:hAnsi="Calibri"/>
          <w:color w:val="1E88E5"/>
          <w:sz w:val="20"/>
          <w:szCs w:val="20"/>
        </w:rPr>
        <w:t xml:space="preserve">1541 (XV), 15 décembre 1960</w:t>
      </w:r>
      <w:r>
        <w:rPr>
          <w:rFonts w:ascii="Calibri" w:cs="Calibri" w:eastAsia="Calibri" w:hAnsi="Calibri"/>
          <w:color w:val="1A1A1A"/>
          <w:sz w:val="20"/>
          <w:szCs w:val="20"/>
        </w:rPr>
        <w:t xml:space="preserve"> (trois modes d’exercice : indépendance, libre association, intégration) ; </w:t>
      </w:r>
      <w:r>
        <w:rPr>
          <w:rFonts w:ascii="Calibri" w:cs="Calibri" w:eastAsia="Calibri" w:hAnsi="Calibri"/>
          <w:color w:val="1E88E5"/>
          <w:sz w:val="20"/>
          <w:szCs w:val="20"/>
        </w:rPr>
        <w:t xml:space="preserve">1803 (XVII), 14 décembre 1962</w:t>
      </w:r>
      <w:r>
        <w:rPr>
          <w:rFonts w:ascii="Calibri" w:cs="Calibri" w:eastAsia="Calibri" w:hAnsi="Calibri"/>
          <w:color w:val="1A1A1A"/>
          <w:sz w:val="20"/>
          <w:szCs w:val="20"/>
        </w:rPr>
        <w:t xml:space="preserve"> (souveraineté permanente sur les ressources naturelles) ; </w:t>
      </w:r>
      <w:r>
        <w:rPr>
          <w:rFonts w:ascii="Calibri" w:cs="Calibri" w:eastAsia="Calibri" w:hAnsi="Calibri"/>
          <w:color w:val="1E88E5"/>
          <w:sz w:val="20"/>
          <w:szCs w:val="20"/>
        </w:rPr>
        <w:t xml:space="preserve">2625 (XXV), 24 octobre 1970</w:t>
      </w:r>
      <w:r>
        <w:rPr>
          <w:rFonts w:ascii="Calibri" w:cs="Calibri" w:eastAsia="Calibri" w:hAnsi="Calibri"/>
          <w:color w:val="1A1A1A"/>
          <w:sz w:val="20"/>
          <w:szCs w:val="20"/>
        </w:rPr>
        <w:t xml:space="preserve"> (relations amicales — clause de sauvegarde de l’intégrité territoriale des États dotés d’un gouvernement représentant l’ensemble du peuple) ; </w:t>
      </w:r>
      <w:r>
        <w:rPr>
          <w:rFonts w:ascii="Calibri" w:cs="Calibri" w:eastAsia="Calibri" w:hAnsi="Calibri"/>
          <w:color w:val="1E88E5"/>
          <w:sz w:val="20"/>
          <w:szCs w:val="20"/>
        </w:rPr>
        <w:t xml:space="preserve">67/19, 29 novembre 2012</w:t>
      </w:r>
      <w:r>
        <w:rPr>
          <w:rFonts w:ascii="Calibri" w:cs="Calibri" w:eastAsia="Calibri" w:hAnsi="Calibri"/>
          <w:color w:val="1A1A1A"/>
          <w:sz w:val="20"/>
          <w:szCs w:val="20"/>
        </w:rPr>
        <w:t xml:space="preserve"> (Palestine, État observateur non membre) ; </w:t>
      </w:r>
      <w:r>
        <w:rPr>
          <w:rFonts w:ascii="Calibri" w:cs="Calibri" w:eastAsia="Calibri" w:hAnsi="Calibri"/>
          <w:color w:val="1E88E5"/>
          <w:sz w:val="20"/>
          <w:szCs w:val="20"/>
        </w:rPr>
        <w:t xml:space="preserve">68/262, 27 mars 2014</w:t>
      </w:r>
      <w:r>
        <w:rPr>
          <w:rFonts w:ascii="Calibri" w:cs="Calibri" w:eastAsia="Calibri" w:hAnsi="Calibri"/>
          <w:color w:val="1A1A1A"/>
          <w:sz w:val="20"/>
          <w:szCs w:val="20"/>
        </w:rPr>
        <w:t xml:space="preserve"> (intégrité territoriale de l’Ukraine).</w:t>
      </w:r>
    </w:p>
    <w:p>
      <w:pPr>
        <w:pStyle w:val="ListParagraph"/>
        <w:numPr>
          <w:ilvl w:val="0"/>
          <w:numId w:val="2"/>
        </w:numPr>
        <w:spacing w:after="70" w:line="264"/>
        <w:jc w:val="both"/>
      </w:pPr>
      <w:r>
        <w:rPr>
          <w:rFonts w:ascii="Calibri" w:cs="Calibri" w:eastAsia="Calibri" w:hAnsi="Calibri"/>
          <w:b/>
          <w:bCs/>
          <w:color w:val="1A1A1A"/>
          <w:sz w:val="20"/>
          <w:szCs w:val="20"/>
        </w:rPr>
        <w:t xml:space="preserve">Pactes de 1966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commun</w:t>
      </w:r>
      <w:r>
        <w:rPr>
          <w:rFonts w:ascii="Calibri" w:cs="Calibri" w:eastAsia="Calibri" w:hAnsi="Calibri"/>
          <w:color w:val="1A1A1A"/>
          <w:sz w:val="20"/>
          <w:szCs w:val="20"/>
        </w:rPr>
        <w:t xml:space="preserve"> (statut politique, développement, libre disposition des richesses naturelles, obligation de faciliter la réalisation du droit) ; </w:t>
      </w:r>
      <w:r>
        <w:rPr>
          <w:rFonts w:ascii="Calibri" w:cs="Calibri" w:eastAsia="Calibri" w:hAnsi="Calibri"/>
          <w:color w:val="1E88E5"/>
          <w:sz w:val="20"/>
          <w:szCs w:val="20"/>
        </w:rPr>
        <w:t xml:space="preserve">Observation générale n° 12 (1984)</w:t>
      </w:r>
      <w:r>
        <w:rPr>
          <w:rFonts w:ascii="Calibri" w:cs="Calibri" w:eastAsia="Calibri" w:hAnsi="Calibri"/>
          <w:color w:val="1A1A1A"/>
          <w:sz w:val="20"/>
          <w:szCs w:val="20"/>
        </w:rPr>
        <w:t xml:space="preserve"> : condition essentielle de la garantie des droits individuels.</w:t>
      </w:r>
    </w:p>
    <w:p>
      <w:pPr>
        <w:pStyle w:val="ListParagraph"/>
        <w:numPr>
          <w:ilvl w:val="0"/>
          <w:numId w:val="2"/>
        </w:numPr>
        <w:spacing w:after="70" w:line="264"/>
        <w:jc w:val="both"/>
      </w:pPr>
      <w:r>
        <w:rPr>
          <w:rFonts w:ascii="Calibri" w:cs="Calibri" w:eastAsia="Calibri" w:hAnsi="Calibri"/>
          <w:b/>
          <w:bCs/>
          <w:color w:val="1A1A1A"/>
          <w:sz w:val="20"/>
          <w:szCs w:val="20"/>
        </w:rPr>
        <w:t xml:space="preserve">Instruments régionaux</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Charte africaine (1981), art. 19 à 24</w:t>
      </w:r>
      <w:r>
        <w:rPr>
          <w:rFonts w:ascii="Calibri" w:cs="Calibri" w:eastAsia="Calibri" w:hAnsi="Calibri"/>
          <w:color w:val="1A1A1A"/>
          <w:sz w:val="20"/>
          <w:szCs w:val="20"/>
        </w:rPr>
        <w:t xml:space="preserve"> (égalité des peuples, droit à l’existence et à l’autodétermination, ressources naturelles, développement, paix, environnement) ; </w:t>
      </w:r>
      <w:r>
        <w:rPr>
          <w:rFonts w:ascii="Calibri" w:cs="Calibri" w:eastAsia="Calibri" w:hAnsi="Calibri"/>
          <w:color w:val="1E88E5"/>
          <w:sz w:val="20"/>
          <w:szCs w:val="20"/>
        </w:rPr>
        <w:t xml:space="preserve">Charte arabe (2004), art. 2</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Acte final d’Helsinki (1975)</w:t>
      </w:r>
      <w:r>
        <w:rPr>
          <w:rFonts w:ascii="Calibri" w:cs="Calibri" w:eastAsia="Calibri" w:hAnsi="Calibri"/>
          <w:color w:val="1A1A1A"/>
          <w:sz w:val="20"/>
          <w:szCs w:val="20"/>
        </w:rPr>
        <w:t xml:space="preserve">, principe VIII. La </w:t>
      </w:r>
      <w:r>
        <w:rPr>
          <w:rFonts w:ascii="Calibri" w:cs="Calibri" w:eastAsia="Calibri" w:hAnsi="Calibri"/>
          <w:color w:val="1E88E5"/>
          <w:sz w:val="20"/>
          <w:szCs w:val="20"/>
        </w:rPr>
        <w:t xml:space="preserve">Convention européenne</w:t>
      </w:r>
      <w:r>
        <w:rPr>
          <w:rFonts w:ascii="Calibri" w:cs="Calibri" w:eastAsia="Calibri" w:hAnsi="Calibri"/>
          <w:color w:val="1A1A1A"/>
          <w:sz w:val="20"/>
          <w:szCs w:val="20"/>
        </w:rPr>
        <w:t xml:space="preserve"> ne consacre aucun droit des peuples.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 français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Préambule de 1958</w:t>
      </w:r>
      <w:r>
        <w:rPr>
          <w:rFonts w:ascii="Calibri" w:cs="Calibri" w:eastAsia="Calibri" w:hAnsi="Calibri"/>
          <w:color w:val="1A1A1A"/>
          <w:sz w:val="20"/>
          <w:szCs w:val="20"/>
        </w:rPr>
        <w:t xml:space="preserve"> (« libre détermination des peuples ») ; </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 (République indivisible) ;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(souveraineté du peuple) ; </w:t>
      </w:r>
      <w:r>
        <w:rPr>
          <w:rFonts w:ascii="Calibri" w:cs="Calibri" w:eastAsia="Calibri" w:hAnsi="Calibri"/>
          <w:color w:val="1E88E5"/>
          <w:sz w:val="20"/>
          <w:szCs w:val="20"/>
        </w:rPr>
        <w:t xml:space="preserve">art. 53 al. 3</w:t>
      </w:r>
      <w:r>
        <w:rPr>
          <w:rFonts w:ascii="Calibri" w:cs="Calibri" w:eastAsia="Calibri" w:hAnsi="Calibri"/>
          <w:color w:val="1A1A1A"/>
          <w:sz w:val="20"/>
          <w:szCs w:val="20"/>
        </w:rPr>
        <w:t xml:space="preserve"> (consentement des populations intéressées à toute cession) ; </w:t>
      </w:r>
      <w:r>
        <w:rPr>
          <w:rFonts w:ascii="Calibri" w:cs="Calibri" w:eastAsia="Calibri" w:hAnsi="Calibri"/>
          <w:color w:val="1E88E5"/>
          <w:sz w:val="20"/>
          <w:szCs w:val="20"/>
        </w:rPr>
        <w:t xml:space="preserve">art. 72-3</w:t>
      </w:r>
      <w:r>
        <w:rPr>
          <w:rFonts w:ascii="Calibri" w:cs="Calibri" w:eastAsia="Calibri" w:hAnsi="Calibri"/>
          <w:color w:val="1A1A1A"/>
          <w:sz w:val="20"/>
          <w:szCs w:val="20"/>
        </w:rPr>
        <w:t xml:space="preserve"> (« populations d’outre-mer » au sein du peuple français) ; </w:t>
      </w:r>
      <w:r>
        <w:rPr>
          <w:rFonts w:ascii="Calibri" w:cs="Calibri" w:eastAsia="Calibri" w:hAnsi="Calibri"/>
          <w:color w:val="1E88E5"/>
          <w:sz w:val="20"/>
          <w:szCs w:val="20"/>
        </w:rPr>
        <w:t xml:space="preserve">art. 72-4</w:t>
      </w:r>
      <w:r>
        <w:rPr>
          <w:rFonts w:ascii="Calibri" w:cs="Calibri" w:eastAsia="Calibri" w:hAnsi="Calibri"/>
          <w:color w:val="1A1A1A"/>
          <w:sz w:val="20"/>
          <w:szCs w:val="20"/>
        </w:rPr>
        <w:t xml:space="preserve"> (consultation sur le changement de statut) ; </w:t>
      </w:r>
      <w:r>
        <w:rPr>
          <w:rFonts w:ascii="Calibri" w:cs="Calibri" w:eastAsia="Calibri" w:hAnsi="Calibri"/>
          <w:color w:val="1E88E5"/>
          <w:sz w:val="20"/>
          <w:szCs w:val="20"/>
        </w:rPr>
        <w:t xml:space="preserve">titre XIII, art. 76-77</w:t>
      </w:r>
      <w:r>
        <w:rPr>
          <w:rFonts w:ascii="Calibri" w:cs="Calibri" w:eastAsia="Calibri" w:hAnsi="Calibri"/>
          <w:color w:val="1A1A1A"/>
          <w:sz w:val="20"/>
          <w:szCs w:val="20"/>
        </w:rPr>
        <w:t xml:space="preserve"> (Nouvelle-Calédonie) ; </w:t>
      </w:r>
      <w:r>
        <w:rPr>
          <w:rFonts w:ascii="Calibri" w:cs="Calibri" w:eastAsia="Calibri" w:hAnsi="Calibri"/>
          <w:color w:val="1E88E5"/>
          <w:sz w:val="20"/>
          <w:szCs w:val="20"/>
        </w:rPr>
        <w:t xml:space="preserve">al. 16 à 18 du Préambule de 1946</w:t>
      </w:r>
      <w:r>
        <w:rPr>
          <w:rFonts w:ascii="Calibri" w:cs="Calibri" w:eastAsia="Calibri" w:hAnsi="Calibri"/>
          <w:color w:val="1A1A1A"/>
          <w:sz w:val="20"/>
          <w:szCs w:val="20"/>
        </w:rPr>
        <w:t xml:space="preserve"> (« peuples d’outre-mer »).</w:t>
      </w:r>
    </w:p>
    <w:p>
      <w:pPr>
        <w:pStyle w:val="Heading2"/>
        <w:spacing w:after="120" w:before="280"/>
      </w:pPr>
      <w:r>
        <w:rPr>
          <w:rFonts w:ascii="Calibri" w:cs="Calibri" w:eastAsia="Calibri" w:hAnsi="Calibri"/>
          <w:b/>
          <w:bCs/>
          <w:color w:val="1A1A1A"/>
          <w:sz w:val="24"/>
          <w:szCs w:val="24"/>
        </w:rPr>
        <w:t xml:space="preserve">2. Le droit des peuples en droit international</w:t>
      </w:r>
    </w:p>
    <w:p>
      <w:pPr>
        <w:pStyle w:val="Heading3"/>
        <w:spacing w:after="90" w:before="200"/>
      </w:pPr>
      <w:r>
        <w:rPr>
          <w:rFonts w:ascii="Calibri" w:cs="Calibri" w:eastAsia="Calibri" w:hAnsi="Calibri"/>
          <w:b/>
          <w:bCs/>
          <w:i/>
          <w:iCs/>
          <w:color w:val="5A5A5A"/>
          <w:sz w:val="21"/>
          <w:szCs w:val="21"/>
        </w:rPr>
        <w:t xml:space="preserve">2.1. Le sujet : qu’est-ce qu’un peuple ?</w:t>
      </w:r>
    </w:p>
    <w:p>
      <w:pPr>
        <w:pStyle w:val="ListParagraph"/>
        <w:numPr>
          <w:ilvl w:val="0"/>
          <w:numId w:val="2"/>
        </w:numPr>
        <w:spacing w:after="70" w:line="264"/>
        <w:jc w:val="both"/>
      </w:pPr>
      <w:r>
        <w:rPr>
          <w:rFonts w:ascii="Calibri" w:cs="Calibri" w:eastAsia="Calibri" w:hAnsi="Calibri"/>
          <w:b/>
          <w:bCs/>
          <w:color w:val="1A1A1A"/>
          <w:sz w:val="20"/>
          <w:szCs w:val="20"/>
        </w:rPr>
        <w:t xml:space="preserve">Approche objective</w:t>
      </w:r>
      <w:r>
        <w:rPr>
          <w:rFonts w:ascii="Calibri" w:cs="Calibri" w:eastAsia="Calibri" w:hAnsi="Calibri"/>
          <w:color w:val="1A1A1A"/>
          <w:sz w:val="20"/>
          <w:szCs w:val="20"/>
        </w:rPr>
        <w:t xml:space="preserve"> (langue, culture, histoire, territoire) et </w:t>
      </w:r>
      <w:r>
        <w:rPr>
          <w:rFonts w:ascii="Calibri" w:cs="Calibri" w:eastAsia="Calibri" w:hAnsi="Calibri"/>
          <w:b/>
          <w:bCs/>
          <w:color w:val="1A1A1A"/>
          <w:sz w:val="20"/>
          <w:szCs w:val="20"/>
        </w:rPr>
        <w:t xml:space="preserve">subjective</w:t>
      </w:r>
      <w:r>
        <w:rPr>
          <w:rFonts w:ascii="Calibri" w:cs="Calibri" w:eastAsia="Calibri" w:hAnsi="Calibri"/>
          <w:color w:val="1A1A1A"/>
          <w:sz w:val="20"/>
          <w:szCs w:val="20"/>
        </w:rPr>
        <w:t xml:space="preserve"> (volonté de vivre ensemble, </w:t>
      </w:r>
      <w:r>
        <w:rPr>
          <w:rFonts w:ascii="Calibri" w:cs="Calibri" w:eastAsia="Calibri" w:hAnsi="Calibri"/>
          <w:color w:val="2E7D32"/>
          <w:sz w:val="20"/>
          <w:szCs w:val="20"/>
        </w:rPr>
        <w:t xml:space="preserve">Renan</w:t>
      </w:r>
      <w:r>
        <w:rPr>
          <w:rFonts w:ascii="Calibri" w:cs="Calibri" w:eastAsia="Calibri" w:hAnsi="Calibri"/>
          <w:color w:val="1A1A1A"/>
          <w:sz w:val="20"/>
          <w:szCs w:val="20"/>
        </w:rPr>
        <w:t xml:space="preserve">) ; en pratique, le droit international a d’abord identifié le peuple au </w:t>
      </w:r>
      <w:r>
        <w:rPr>
          <w:rFonts w:ascii="Calibri" w:cs="Calibri" w:eastAsia="Calibri" w:hAnsi="Calibri"/>
          <w:b/>
          <w:bCs/>
          <w:color w:val="1A1A1A"/>
          <w:sz w:val="20"/>
          <w:szCs w:val="20"/>
        </w:rPr>
        <w:t xml:space="preserve">territoire colonial</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CIJ, avis, 21 juin 1971, Namibie</w:t>
      </w:r>
      <w:r>
        <w:rPr>
          <w:rFonts w:ascii="Calibri" w:cs="Calibri" w:eastAsia="Calibri" w:hAnsi="Calibri"/>
          <w:color w:val="1A1A1A"/>
          <w:sz w:val="20"/>
          <w:szCs w:val="20"/>
        </w:rPr>
        <w:t xml:space="preserve"> : les termes « territoires non autonomes » « visaient les territoires sous régime colonial »). Liste onusienne des territoires non autonomes : dix-sept territoires, dont le Sahara occidental, la </w:t>
      </w:r>
      <w:r>
        <w:rPr>
          <w:rFonts w:ascii="Calibri" w:cs="Calibri" w:eastAsia="Calibri" w:hAnsi="Calibri"/>
          <w:b/>
          <w:bCs/>
          <w:color w:val="1A1A1A"/>
          <w:sz w:val="20"/>
          <w:szCs w:val="20"/>
        </w:rPr>
        <w:t xml:space="preserve">Nouvelle-Calédonie</w:t>
      </w:r>
      <w:r>
        <w:rPr>
          <w:rFonts w:ascii="Calibri" w:cs="Calibri" w:eastAsia="Calibri" w:hAnsi="Calibri"/>
          <w:color w:val="1A1A1A"/>
          <w:sz w:val="20"/>
          <w:szCs w:val="20"/>
        </w:rPr>
        <w:t xml:space="preserve"> (réinscrite en 1986) et la </w:t>
      </w:r>
      <w:r>
        <w:rPr>
          <w:rFonts w:ascii="Calibri" w:cs="Calibri" w:eastAsia="Calibri" w:hAnsi="Calibri"/>
          <w:b/>
          <w:bCs/>
          <w:color w:val="1A1A1A"/>
          <w:sz w:val="20"/>
          <w:szCs w:val="20"/>
        </w:rPr>
        <w:t xml:space="preserve">Polynésie française</w:t>
      </w:r>
      <w:r>
        <w:rPr>
          <w:rFonts w:ascii="Calibri" w:cs="Calibri" w:eastAsia="Calibri" w:hAnsi="Calibri"/>
          <w:color w:val="1A1A1A"/>
          <w:sz w:val="20"/>
          <w:szCs w:val="20"/>
        </w:rPr>
        <w:t xml:space="preserve"> (réinscrite en 2013).</w:t>
      </w:r>
    </w:p>
    <w:p>
      <w:pPr>
        <w:pStyle w:val="Heading3"/>
        <w:spacing w:after="90" w:before="200"/>
      </w:pPr>
      <w:r>
        <w:rPr>
          <w:rFonts w:ascii="Calibri" w:cs="Calibri" w:eastAsia="Calibri" w:hAnsi="Calibri"/>
          <w:b/>
          <w:bCs/>
          <w:i/>
          <w:iCs/>
          <w:color w:val="5A5A5A"/>
          <w:sz w:val="21"/>
          <w:szCs w:val="21"/>
        </w:rPr>
        <w:t xml:space="preserve">2.2. La jurisprudence de la Cour internationale de justice</w:t>
      </w:r>
    </w:p>
    <w:p>
      <w:pPr>
        <w:pStyle w:val="ListParagraph"/>
        <w:numPr>
          <w:ilvl w:val="0"/>
          <w:numId w:val="2"/>
        </w:numPr>
        <w:spacing w:after="70" w:line="264"/>
        <w:jc w:val="both"/>
      </w:pPr>
      <w:r>
        <w:rPr>
          <w:rFonts w:ascii="Calibri" w:cs="Calibri" w:eastAsia="Calibri" w:hAnsi="Calibri"/>
          <w:b/>
          <w:bCs/>
          <w:color w:val="1A1A1A"/>
          <w:sz w:val="20"/>
          <w:szCs w:val="20"/>
        </w:rPr>
        <w:t xml:space="preserve">Namibie</w:t>
      </w:r>
      <w:r>
        <w:rPr>
          <w:rFonts w:ascii="Calibri" w:cs="Calibri" w:eastAsia="Calibri" w:hAnsi="Calibri"/>
          <w:color w:val="1A1A1A"/>
          <w:sz w:val="20"/>
          <w:szCs w:val="20"/>
        </w:rPr>
        <w:t xml:space="preserve"> (1971) ; </w:t>
      </w:r>
      <w:r>
        <w:rPr>
          <w:rFonts w:ascii="Calibri" w:cs="Calibri" w:eastAsia="Calibri" w:hAnsi="Calibri"/>
          <w:b/>
          <w:bCs/>
          <w:color w:val="1A1A1A"/>
          <w:sz w:val="20"/>
          <w:szCs w:val="20"/>
        </w:rPr>
        <w:t xml:space="preserve">Sahara occidental</w:t>
      </w:r>
      <w:r>
        <w:rPr>
          <w:rFonts w:ascii="Calibri" w:cs="Calibri" w:eastAsia="Calibri" w:hAnsi="Calibri"/>
          <w:color w:val="1A1A1A"/>
          <w:sz w:val="20"/>
          <w:szCs w:val="20"/>
        </w:rPr>
        <w:t xml:space="preserve"> (avis du 16 octobre 1975 : les liens juridiques avec le Maroc et la Mauritanie n’empêchent pas l’application de la résolution 1514) ; </w:t>
      </w:r>
      <w:r>
        <w:rPr>
          <w:rFonts w:ascii="Calibri" w:cs="Calibri" w:eastAsia="Calibri" w:hAnsi="Calibri"/>
          <w:b/>
          <w:bCs/>
          <w:color w:val="1A1A1A"/>
          <w:sz w:val="20"/>
          <w:szCs w:val="20"/>
        </w:rPr>
        <w:t xml:space="preserve">Burkina Faso/Mali</w:t>
      </w:r>
      <w:r>
        <w:rPr>
          <w:rFonts w:ascii="Calibri" w:cs="Calibri" w:eastAsia="Calibri" w:hAnsi="Calibri"/>
          <w:color w:val="1A1A1A"/>
          <w:sz w:val="20"/>
          <w:szCs w:val="20"/>
        </w:rPr>
        <w:t xml:space="preserve"> (22 décembre 1986 : uti possidetis, principe général) ; </w:t>
      </w:r>
      <w:r>
        <w:rPr>
          <w:rFonts w:ascii="Calibri" w:cs="Calibri" w:eastAsia="Calibri" w:hAnsi="Calibri"/>
          <w:b/>
          <w:bCs/>
          <w:color w:val="1A1A1A"/>
          <w:sz w:val="20"/>
          <w:szCs w:val="20"/>
        </w:rPr>
        <w:t xml:space="preserve">Timor oriental</w:t>
      </w:r>
      <w:r>
        <w:rPr>
          <w:rFonts w:ascii="Calibri" w:cs="Calibri" w:eastAsia="Calibri" w:hAnsi="Calibri"/>
          <w:color w:val="1A1A1A"/>
          <w:sz w:val="20"/>
          <w:szCs w:val="20"/>
        </w:rPr>
        <w:t xml:space="preserve"> (30 juin 1995 : droit opposable erga omnes, « l’un des principes essentiels du droit international contemporain ») ; </w:t>
      </w:r>
      <w:r>
        <w:rPr>
          <w:rFonts w:ascii="Calibri" w:cs="Calibri" w:eastAsia="Calibri" w:hAnsi="Calibri"/>
          <w:b/>
          <w:bCs/>
          <w:color w:val="1A1A1A"/>
          <w:sz w:val="20"/>
          <w:szCs w:val="20"/>
        </w:rPr>
        <w:t xml:space="preserve">Mur</w:t>
      </w:r>
      <w:r>
        <w:rPr>
          <w:rFonts w:ascii="Calibri" w:cs="Calibri" w:eastAsia="Calibri" w:hAnsi="Calibri"/>
          <w:color w:val="1A1A1A"/>
          <w:sz w:val="20"/>
          <w:szCs w:val="20"/>
        </w:rPr>
        <w:t xml:space="preserve"> (avis du 9 juillet 2004 : existence d’un peuple palestinien, obligation de ne pas reconnaître la situation illicite) ; </w:t>
      </w:r>
      <w:r>
        <w:rPr>
          <w:rFonts w:ascii="Calibri" w:cs="Calibri" w:eastAsia="Calibri" w:hAnsi="Calibri"/>
          <w:b/>
          <w:bCs/>
          <w:color w:val="1A1A1A"/>
          <w:sz w:val="20"/>
          <w:szCs w:val="20"/>
        </w:rPr>
        <w:t xml:space="preserve">Kosovo</w:t>
      </w:r>
      <w:r>
        <w:rPr>
          <w:rFonts w:ascii="Calibri" w:cs="Calibri" w:eastAsia="Calibri" w:hAnsi="Calibri"/>
          <w:color w:val="1A1A1A"/>
          <w:sz w:val="20"/>
          <w:szCs w:val="20"/>
        </w:rPr>
        <w:t xml:space="preserve"> (2010) ; </w:t>
      </w:r>
      <w:r>
        <w:rPr>
          <w:rFonts w:ascii="Calibri" w:cs="Calibri" w:eastAsia="Calibri" w:hAnsi="Calibri"/>
          <w:b/>
          <w:bCs/>
          <w:color w:val="1A1A1A"/>
          <w:sz w:val="20"/>
          <w:szCs w:val="20"/>
        </w:rPr>
        <w:t xml:space="preserve">Chagos</w:t>
      </w:r>
      <w:r>
        <w:rPr>
          <w:rFonts w:ascii="Calibri" w:cs="Calibri" w:eastAsia="Calibri" w:hAnsi="Calibri"/>
          <w:color w:val="1A1A1A"/>
          <w:sz w:val="20"/>
          <w:szCs w:val="20"/>
        </w:rPr>
        <w:t xml:space="preserve"> (2019) ; </w:t>
      </w:r>
      <w:r>
        <w:rPr>
          <w:rFonts w:ascii="Calibri" w:cs="Calibri" w:eastAsia="Calibri" w:hAnsi="Calibri"/>
          <w:b/>
          <w:bCs/>
          <w:color w:val="1A1A1A"/>
          <w:sz w:val="20"/>
          <w:szCs w:val="20"/>
        </w:rPr>
        <w:t xml:space="preserve">Territoire palestinien occupé</w:t>
      </w:r>
      <w:r>
        <w:rPr>
          <w:rFonts w:ascii="Calibri" w:cs="Calibri" w:eastAsia="Calibri" w:hAnsi="Calibri"/>
          <w:color w:val="1A1A1A"/>
          <w:sz w:val="20"/>
          <w:szCs w:val="20"/>
        </w:rPr>
        <w:t xml:space="preserve"> (avis du 19 juillet 2024 : la présence continue d’Israël est illicite et doit cesser le plus rapidement possible).</w:t>
      </w:r>
    </w:p>
    <w:p>
      <w:pPr>
        <w:pStyle w:val="ListParagraph"/>
        <w:numPr>
          <w:ilvl w:val="0"/>
          <w:numId w:val="2"/>
        </w:numPr>
        <w:spacing w:after="70" w:line="264"/>
        <w:jc w:val="both"/>
      </w:pPr>
      <w:r>
        <w:rPr>
          <w:rFonts w:ascii="Calibri" w:cs="Calibri" w:eastAsia="Calibri" w:hAnsi="Calibri"/>
          <w:b/>
          <w:bCs/>
          <w:color w:val="1A1A1A"/>
          <w:sz w:val="20"/>
          <w:szCs w:val="20"/>
        </w:rPr>
        <w:t xml:space="preserve">Cour de justice de l’Union</w:t>
      </w:r>
      <w:r>
        <w:rPr>
          <w:rFonts w:ascii="Calibri" w:cs="Calibri" w:eastAsia="Calibri" w:hAnsi="Calibri"/>
          <w:color w:val="1A1A1A"/>
          <w:sz w:val="20"/>
          <w:szCs w:val="20"/>
        </w:rPr>
        <w:t xml:space="preserve"> : le Sahara occidental est un territoire distinct et séparé du Maroc ; le </w:t>
      </w:r>
      <w:r>
        <w:rPr>
          <w:rFonts w:ascii="Calibri" w:cs="Calibri" w:eastAsia="Calibri" w:hAnsi="Calibri"/>
          <w:b/>
          <w:bCs/>
          <w:color w:val="1A1A1A"/>
          <w:sz w:val="20"/>
          <w:szCs w:val="20"/>
        </w:rPr>
        <w:t xml:space="preserve">consentement du peuple</w:t>
      </w:r>
      <w:r>
        <w:rPr>
          <w:rFonts w:ascii="Calibri" w:cs="Calibri" w:eastAsia="Calibri" w:hAnsi="Calibri"/>
          <w:color w:val="1A1A1A"/>
          <w:sz w:val="20"/>
          <w:szCs w:val="20"/>
        </w:rPr>
        <w:t xml:space="preserve"> est une condition de l’application d’accords conclus avec le Maroc à ce territoire (</w:t>
      </w:r>
      <w:r>
        <w:rPr>
          <w:rFonts w:ascii="Calibri" w:cs="Calibri" w:eastAsia="Calibri" w:hAnsi="Calibri"/>
          <w:color w:val="E91E63"/>
          <w:sz w:val="20"/>
          <w:szCs w:val="20"/>
        </w:rPr>
        <w:t xml:space="preserve">CJUE [GC], 4 octobre 2024, Commission et Conseil c. Front Polisario, C-778/21 P et C-798/21 P</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2.3. La question de la sécession</w:t>
      </w:r>
    </w:p>
    <w:p>
      <w:pPr>
        <w:pStyle w:val="ListParagraph"/>
        <w:numPr>
          <w:ilvl w:val="0"/>
          <w:numId w:val="2"/>
        </w:numPr>
        <w:spacing w:after="70" w:line="264"/>
        <w:jc w:val="both"/>
      </w:pPr>
      <w:r>
        <w:rPr>
          <w:rFonts w:ascii="Calibri" w:cs="Calibri" w:eastAsia="Calibri" w:hAnsi="Calibri"/>
          <w:b/>
          <w:bCs/>
          <w:color w:val="1A1A1A"/>
          <w:sz w:val="20"/>
          <w:szCs w:val="20"/>
        </w:rPr>
        <w:t xml:space="preserve">Commission Badinter</w:t>
      </w:r>
      <w:r>
        <w:rPr>
          <w:rFonts w:ascii="Calibri" w:cs="Calibri" w:eastAsia="Calibri" w:hAnsi="Calibri"/>
          <w:color w:val="1A1A1A"/>
          <w:sz w:val="20"/>
          <w:szCs w:val="20"/>
        </w:rPr>
        <w:t xml:space="preserve"> (avis n° 1 à 3, 1991-1992) : dissolution de la Yougoslavie, uti possidetis appliqué aux limites internes ; l’autodétermination protège l’appartenance des personnes (</w:t>
      </w:r>
      <w:r>
        <w:rPr>
          <w:rFonts w:ascii="Calibri" w:cs="Calibri" w:eastAsia="Calibri" w:hAnsi="Calibri"/>
          <w:color w:val="1E88E5"/>
          <w:sz w:val="20"/>
          <w:szCs w:val="20"/>
        </w:rPr>
        <w:t xml:space="preserve">avis n° 2 du 11 janvier 1992</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Québec</w:t>
      </w:r>
      <w:r>
        <w:rPr>
          <w:rFonts w:ascii="Calibri" w:cs="Calibri" w:eastAsia="Calibri" w:hAnsi="Calibri"/>
          <w:color w:val="1A1A1A"/>
          <w:sz w:val="20"/>
          <w:szCs w:val="20"/>
        </w:rPr>
        <w:t xml:space="preserve"> : pas de droit de sécession unilatérale en droit constitutionnel ni international, mais obligation de négocier si une majorité claire répond à une question claire (</w:t>
      </w:r>
      <w:r>
        <w:rPr>
          <w:rFonts w:ascii="Calibri" w:cs="Calibri" w:eastAsia="Calibri" w:hAnsi="Calibri"/>
          <w:color w:val="E91E63"/>
          <w:sz w:val="20"/>
          <w:szCs w:val="20"/>
        </w:rPr>
        <w:t xml:space="preserve">Cour suprême du Canada, 20 août 1998, Renvoi relatif à la sécession du Québec</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Catalogne</w:t>
      </w:r>
      <w:r>
        <w:rPr>
          <w:rFonts w:ascii="Calibri" w:cs="Calibri" w:eastAsia="Calibri" w:hAnsi="Calibri"/>
          <w:color w:val="1A1A1A"/>
          <w:sz w:val="20"/>
          <w:szCs w:val="20"/>
        </w:rPr>
        <w:t xml:space="preserve"> : référendum du 1er octobre 2017 déclaré inconstitutionnel par le Tribunal constitutionnel espagnol. </w:t>
      </w:r>
      <w:r>
        <w:rPr>
          <w:rFonts w:ascii="Calibri" w:cs="Calibri" w:eastAsia="Calibri" w:hAnsi="Calibri"/>
          <w:b/>
          <w:bCs/>
          <w:color w:val="1A1A1A"/>
          <w:sz w:val="20"/>
          <w:szCs w:val="20"/>
        </w:rPr>
        <w:t xml:space="preserve">Crimée</w:t>
      </w:r>
      <w:r>
        <w:rPr>
          <w:rFonts w:ascii="Calibri" w:cs="Calibri" w:eastAsia="Calibri" w:hAnsi="Calibri"/>
          <w:color w:val="1A1A1A"/>
          <w:sz w:val="20"/>
          <w:szCs w:val="20"/>
        </w:rPr>
        <w:t xml:space="preserve"> : référendum de 2014 non reconnu (</w:t>
      </w:r>
      <w:r>
        <w:rPr>
          <w:rFonts w:ascii="Calibri" w:cs="Calibri" w:eastAsia="Calibri" w:hAnsi="Calibri"/>
          <w:color w:val="1E88E5"/>
          <w:sz w:val="20"/>
          <w:szCs w:val="20"/>
        </w:rPr>
        <w:t xml:space="preserve">résolution 68/262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Palestine — actualité</w:t>
      </w:r>
      <w:r>
        <w:rPr>
          <w:rFonts w:ascii="Calibri" w:cs="Calibri" w:eastAsia="Calibri" w:hAnsi="Calibri"/>
          <w:color w:val="1A1A1A"/>
          <w:sz w:val="20"/>
          <w:szCs w:val="20"/>
        </w:rPr>
        <w:t xml:space="preserve"> : État observateur non membre (2012) ; droits de participation renforcés en 2024 (admission bloquée par le veto américain au Conseil de sécurité) ; </w:t>
      </w:r>
      <w:r>
        <w:rPr>
          <w:rFonts w:ascii="Calibri" w:cs="Calibri" w:eastAsia="Calibri" w:hAnsi="Calibri"/>
          <w:b/>
          <w:bCs/>
          <w:color w:val="1A1A1A"/>
          <w:sz w:val="20"/>
          <w:szCs w:val="20"/>
        </w:rPr>
        <w:t xml:space="preserve">reconnaissance par la France le 22 septembre 2025</w:t>
      </w:r>
      <w:r>
        <w:rPr>
          <w:rFonts w:ascii="Calibri" w:cs="Calibri" w:eastAsia="Calibri" w:hAnsi="Calibri"/>
          <w:color w:val="1A1A1A"/>
          <w:sz w:val="20"/>
          <w:szCs w:val="20"/>
        </w:rPr>
        <w:t xml:space="preserve">, après la Déclaration de New York adoptée par l’Assemblée générale le 12 septembre 2025 — la reconnaissance ne vaut pas admission à l’ONU (</w:t>
      </w:r>
      <w:r>
        <w:rPr>
          <w:rFonts w:ascii="Calibri" w:cs="Calibri" w:eastAsia="Calibri" w:hAnsi="Calibri"/>
          <w:color w:val="1E88E5"/>
          <w:sz w:val="20"/>
          <w:szCs w:val="20"/>
        </w:rPr>
        <w:t xml:space="preserve">art. 4 de la Charte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Le « peuple » en droit français</w:t>
      </w:r>
    </w:p>
    <w:p>
      <w:pPr>
        <w:pStyle w:val="Heading3"/>
        <w:spacing w:after="90" w:before="200"/>
      </w:pPr>
      <w:r>
        <w:rPr>
          <w:rFonts w:ascii="Calibri" w:cs="Calibri" w:eastAsia="Calibri" w:hAnsi="Calibri"/>
          <w:b/>
          <w:bCs/>
          <w:i/>
          <w:iCs/>
          <w:color w:val="5A5A5A"/>
          <w:sz w:val="21"/>
          <w:szCs w:val="21"/>
        </w:rPr>
        <w:t xml:space="preserve">3.1. L’unicité du peuple français</w:t>
      </w:r>
    </w:p>
    <w:p>
      <w:pPr>
        <w:pStyle w:val="ListParagraph"/>
        <w:numPr>
          <w:ilvl w:val="0"/>
          <w:numId w:val="2"/>
        </w:numPr>
        <w:spacing w:after="70" w:line="264"/>
        <w:jc w:val="both"/>
      </w:pPr>
      <w:r>
        <w:rPr>
          <w:rFonts w:ascii="Calibri" w:cs="Calibri" w:eastAsia="Calibri" w:hAnsi="Calibri"/>
          <w:b/>
          <w:bCs/>
          <w:color w:val="1A1A1A"/>
          <w:sz w:val="20"/>
          <w:szCs w:val="20"/>
        </w:rPr>
        <w:t xml:space="preserve">Corse</w:t>
      </w:r>
      <w:r>
        <w:rPr>
          <w:rFonts w:ascii="Calibri" w:cs="Calibri" w:eastAsia="Calibri" w:hAnsi="Calibri"/>
          <w:color w:val="1A1A1A"/>
          <w:sz w:val="20"/>
          <w:szCs w:val="20"/>
        </w:rPr>
        <w:t xml:space="preserve"> : censure de la mention du « peuple corse, composante du peuple français » (</w:t>
      </w:r>
      <w:r>
        <w:rPr>
          <w:rFonts w:ascii="Calibri" w:cs="Calibri" w:eastAsia="Calibri" w:hAnsi="Calibri"/>
          <w:color w:val="E91E63"/>
          <w:sz w:val="20"/>
          <w:szCs w:val="20"/>
        </w:rPr>
        <w:t xml:space="preserve">91-290 DC, 9 mai 1991</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Langues régionales</w:t>
      </w:r>
      <w:r>
        <w:rPr>
          <w:rFonts w:ascii="Calibri" w:cs="Calibri" w:eastAsia="Calibri" w:hAnsi="Calibri"/>
          <w:color w:val="1A1A1A"/>
          <w:sz w:val="20"/>
          <w:szCs w:val="20"/>
        </w:rPr>
        <w:t xml:space="preserve"> : la Charte européenne de 1992 (signée par la France en 1999, jamais ratifiée) est contraire à la Constitution — les principes d’indivisibilité, d’égalité et d’unicité du peuple français « s’opposent à ce que soient reconnus des droits collectifs à quelque groupe que ce soit, défini par une communauté d’origine, de culture, de langue ou de croyance » (</w:t>
      </w:r>
      <w:r>
        <w:rPr>
          <w:rFonts w:ascii="Calibri" w:cs="Calibri" w:eastAsia="Calibri" w:hAnsi="Calibri"/>
          <w:color w:val="E91E63"/>
          <w:sz w:val="20"/>
          <w:szCs w:val="20"/>
        </w:rPr>
        <w:t xml:space="preserve">99-412 DC, 15 juin 1999</w:t>
      </w:r>
      <w:r>
        <w:rPr>
          <w:rFonts w:ascii="Calibri" w:cs="Calibri" w:eastAsia="Calibri" w:hAnsi="Calibri"/>
          <w:color w:val="1A1A1A"/>
          <w:sz w:val="20"/>
          <w:szCs w:val="20"/>
        </w:rPr>
        <w:t xml:space="preserve">) ; enseignement immersif censuré (</w:t>
      </w:r>
      <w:r>
        <w:rPr>
          <w:rFonts w:ascii="Calibri" w:cs="Calibri" w:eastAsia="Calibri" w:hAnsi="Calibri"/>
          <w:color w:val="E91E63"/>
          <w:sz w:val="20"/>
          <w:szCs w:val="20"/>
        </w:rPr>
        <w:t xml:space="preserve">2021-818 DC, 21 mai 2021</w:t>
      </w:r>
      <w:r>
        <w:rPr>
          <w:rFonts w:ascii="Calibri" w:cs="Calibri" w:eastAsia="Calibri" w:hAnsi="Calibri"/>
          <w:color w:val="1A1A1A"/>
          <w:sz w:val="20"/>
          <w:szCs w:val="20"/>
        </w:rPr>
        <w:t xml:space="preserve">, loi Molac) malgré l’</w:t>
      </w:r>
      <w:r>
        <w:rPr>
          <w:rFonts w:ascii="Calibri" w:cs="Calibri" w:eastAsia="Calibri" w:hAnsi="Calibri"/>
          <w:color w:val="1E88E5"/>
          <w:sz w:val="20"/>
          <w:szCs w:val="20"/>
        </w:rPr>
        <w:t xml:space="preserve">art. 75-1 C.</w:t>
      </w:r>
      <w:r>
        <w:rPr>
          <w:rFonts w:ascii="Calibri" w:cs="Calibri" w:eastAsia="Calibri" w:hAnsi="Calibri"/>
          <w:color w:val="1A1A1A"/>
          <w:sz w:val="20"/>
          <w:szCs w:val="20"/>
        </w:rPr>
        <w:t xml:space="preserve"> (langues régionales, patrimoine de la France, 2008) ; usage du corse dans les débats de l’Assemblée de Corse annulé (</w:t>
      </w:r>
      <w:r>
        <w:rPr>
          <w:rFonts w:ascii="Calibri" w:cs="Calibri" w:eastAsia="Calibri" w:hAnsi="Calibri"/>
          <w:color w:val="E91E63"/>
          <w:sz w:val="20"/>
          <w:szCs w:val="20"/>
        </w:rPr>
        <w:t xml:space="preserve">CAA Marseille, 19 novembre 2024, n° 23MA01110</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3.2. Les peuples d’outre-mer et la libre détermination</w:t>
      </w:r>
    </w:p>
    <w:p>
      <w:pPr>
        <w:pStyle w:val="ListParagraph"/>
        <w:numPr>
          <w:ilvl w:val="0"/>
          <w:numId w:val="2"/>
        </w:numPr>
        <w:spacing w:after="70" w:line="264"/>
        <w:jc w:val="both"/>
      </w:pPr>
      <w:r>
        <w:rPr>
          <w:rFonts w:ascii="Calibri" w:cs="Calibri" w:eastAsia="Calibri" w:hAnsi="Calibri"/>
          <w:b/>
          <w:bCs/>
          <w:color w:val="1A1A1A"/>
          <w:sz w:val="20"/>
          <w:szCs w:val="20"/>
        </w:rPr>
        <w:t xml:space="preserve">Comores et Mayotte</w:t>
      </w:r>
      <w:r>
        <w:rPr>
          <w:rFonts w:ascii="Calibri" w:cs="Calibri" w:eastAsia="Calibri" w:hAnsi="Calibri"/>
          <w:color w:val="1A1A1A"/>
          <w:sz w:val="20"/>
          <w:szCs w:val="20"/>
        </w:rPr>
        <w:t xml:space="preserve"> : référendum du 22 décembre 1974, décompte île par île (</w:t>
      </w:r>
      <w:r>
        <w:rPr>
          <w:rFonts w:ascii="Calibri" w:cs="Calibri" w:eastAsia="Calibri" w:hAnsi="Calibri"/>
          <w:color w:val="E91E63"/>
          <w:sz w:val="20"/>
          <w:szCs w:val="20"/>
        </w:rPr>
        <w:t xml:space="preserve">75-59 DC</w:t>
      </w:r>
      <w:r>
        <w:rPr>
          <w:rFonts w:ascii="Calibri" w:cs="Calibri" w:eastAsia="Calibri" w:hAnsi="Calibri"/>
          <w:color w:val="1A1A1A"/>
          <w:sz w:val="20"/>
          <w:szCs w:val="20"/>
        </w:rPr>
        <w:t xml:space="preserve">) — Mayotte reste française, devenue département en 2011 ; l’Assemblée générale a condamné ce maintien (résolution 31/4 de 1976). </w:t>
      </w:r>
      <w:r>
        <w:rPr>
          <w:rFonts w:ascii="Calibri" w:cs="Calibri" w:eastAsia="Calibri" w:hAnsi="Calibri"/>
          <w:b/>
          <w:bCs/>
          <w:color w:val="1A1A1A"/>
          <w:sz w:val="20"/>
          <w:szCs w:val="20"/>
        </w:rPr>
        <w:t xml:space="preserve">Consultations</w:t>
      </w:r>
      <w:r>
        <w:rPr>
          <w:rFonts w:ascii="Calibri" w:cs="Calibri" w:eastAsia="Calibri" w:hAnsi="Calibri"/>
          <w:color w:val="1A1A1A"/>
          <w:sz w:val="20"/>
          <w:szCs w:val="20"/>
        </w:rPr>
        <w:t xml:space="preserve"> : la question doit satisfaire à la double exigence de </w:t>
      </w:r>
      <w:r>
        <w:rPr>
          <w:rFonts w:ascii="Calibri" w:cs="Calibri" w:eastAsia="Calibri" w:hAnsi="Calibri"/>
          <w:b/>
          <w:bCs/>
          <w:color w:val="1A1A1A"/>
          <w:sz w:val="20"/>
          <w:szCs w:val="20"/>
        </w:rPr>
        <w:t xml:space="preserve">loyauté et de clarté</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87-226 DC, 2 juin 1987</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3.3. La Nouvelle-Calédonie</w:t>
      </w:r>
    </w:p>
    <w:p>
      <w:pPr>
        <w:pStyle w:val="ListParagraph"/>
        <w:numPr>
          <w:ilvl w:val="0"/>
          <w:numId w:val="2"/>
        </w:numPr>
        <w:spacing w:after="70" w:line="264"/>
        <w:jc w:val="both"/>
      </w:pPr>
      <w:r>
        <w:rPr>
          <w:rFonts w:ascii="Calibri" w:cs="Calibri" w:eastAsia="Calibri" w:hAnsi="Calibri"/>
          <w:b/>
          <w:bCs/>
          <w:color w:val="1A1A1A"/>
          <w:sz w:val="20"/>
          <w:szCs w:val="20"/>
        </w:rPr>
        <w:t xml:space="preserve">Historique</w:t>
      </w:r>
      <w:r>
        <w:rPr>
          <w:rFonts w:ascii="Calibri" w:cs="Calibri" w:eastAsia="Calibri" w:hAnsi="Calibri"/>
          <w:color w:val="1A1A1A"/>
          <w:sz w:val="20"/>
          <w:szCs w:val="20"/>
        </w:rPr>
        <w:t xml:space="preserve"> : prise de possession en 1853 ; régime de l’indigénat ; accords de Matignon-Oudinot (1988) ; </w:t>
      </w:r>
      <w:r>
        <w:rPr>
          <w:rFonts w:ascii="Calibri" w:cs="Calibri" w:eastAsia="Calibri" w:hAnsi="Calibri"/>
          <w:color w:val="1E88E5"/>
          <w:sz w:val="20"/>
          <w:szCs w:val="20"/>
        </w:rPr>
        <w:t xml:space="preserve">accord de Nouméa du 5 mai 1998</w:t>
      </w:r>
      <w:r>
        <w:rPr>
          <w:rFonts w:ascii="Calibri" w:cs="Calibri" w:eastAsia="Calibri" w:hAnsi="Calibri"/>
          <w:color w:val="1A1A1A"/>
          <w:sz w:val="20"/>
          <w:szCs w:val="20"/>
        </w:rPr>
        <w:t xml:space="preserve">, constitutionnalisé au </w:t>
      </w:r>
      <w:r>
        <w:rPr>
          <w:rFonts w:ascii="Calibri" w:cs="Calibri" w:eastAsia="Calibri" w:hAnsi="Calibri"/>
          <w:color w:val="1E88E5"/>
          <w:sz w:val="20"/>
          <w:szCs w:val="20"/>
        </w:rPr>
        <w:t xml:space="preserve">titre XIII</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constitutionnelle du 20 juillet 1998</w:t>
      </w:r>
      <w:r>
        <w:rPr>
          <w:rFonts w:ascii="Calibri" w:cs="Calibri" w:eastAsia="Calibri" w:hAnsi="Calibri"/>
          <w:color w:val="1A1A1A"/>
          <w:sz w:val="20"/>
          <w:szCs w:val="20"/>
        </w:rPr>
        <w:t xml:space="preserve">) — préambule reconnaissant le « peuple kanak », transferts irréversibles de compétences, </w:t>
      </w:r>
      <w:r>
        <w:rPr>
          <w:rFonts w:ascii="Calibri" w:cs="Calibri" w:eastAsia="Calibri" w:hAnsi="Calibri"/>
          <w:b/>
          <w:bCs/>
          <w:color w:val="1A1A1A"/>
          <w:sz w:val="20"/>
          <w:szCs w:val="20"/>
        </w:rPr>
        <w:t xml:space="preserve">lois du pays</w:t>
      </w:r>
      <w:r>
        <w:rPr>
          <w:rFonts w:ascii="Calibri" w:cs="Calibri" w:eastAsia="Calibri" w:hAnsi="Calibri"/>
          <w:color w:val="1A1A1A"/>
          <w:sz w:val="20"/>
          <w:szCs w:val="20"/>
        </w:rPr>
        <w:t xml:space="preserve"> contrôlées par le Conseil constitutionnel, citoyenneté calédonienne ; </w:t>
      </w:r>
      <w:r>
        <w:rPr>
          <w:rFonts w:ascii="Calibri" w:cs="Calibri" w:eastAsia="Calibri" w:hAnsi="Calibri"/>
          <w:color w:val="1E88E5"/>
          <w:sz w:val="20"/>
          <w:szCs w:val="20"/>
        </w:rPr>
        <w:t xml:space="preserve">loi organique n° 99-209 du 19 mars 1999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Corps électoral restreint</w:t>
      </w:r>
      <w:r>
        <w:rPr>
          <w:rFonts w:ascii="Calibri" w:cs="Calibri" w:eastAsia="Calibri" w:hAnsi="Calibri"/>
          <w:color w:val="1A1A1A"/>
          <w:sz w:val="20"/>
          <w:szCs w:val="20"/>
        </w:rPr>
        <w:t xml:space="preserve"> pour les provinciales et le Congrès (</w:t>
      </w:r>
      <w:r>
        <w:rPr>
          <w:rFonts w:ascii="Calibri" w:cs="Calibri" w:eastAsia="Calibri" w:hAnsi="Calibri"/>
          <w:color w:val="1E88E5"/>
          <w:sz w:val="20"/>
          <w:szCs w:val="20"/>
        </w:rPr>
        <w:t xml:space="preserve">art. 188 LO 1999</w:t>
      </w:r>
      <w:r>
        <w:rPr>
          <w:rFonts w:ascii="Calibri" w:cs="Calibri" w:eastAsia="Calibri" w:hAnsi="Calibri"/>
          <w:color w:val="1A1A1A"/>
          <w:sz w:val="20"/>
          <w:szCs w:val="20"/>
        </w:rPr>
        <w:t xml:space="preserve">), figé au tableau de 1998 par la </w:t>
      </w:r>
      <w:r>
        <w:rPr>
          <w:rFonts w:ascii="Calibri" w:cs="Calibri" w:eastAsia="Calibri" w:hAnsi="Calibri"/>
          <w:color w:val="1E88E5"/>
          <w:sz w:val="20"/>
          <w:szCs w:val="20"/>
        </w:rPr>
        <w:t xml:space="preserve">loi constitutionnelle du 23 février 2007</w:t>
      </w:r>
      <w:r>
        <w:rPr>
          <w:rFonts w:ascii="Calibri" w:cs="Calibri" w:eastAsia="Calibri" w:hAnsi="Calibri"/>
          <w:color w:val="1A1A1A"/>
          <w:sz w:val="20"/>
          <w:szCs w:val="20"/>
        </w:rPr>
        <w:t xml:space="preserve"> ; compatible avec l’</w:t>
      </w:r>
      <w:r>
        <w:rPr>
          <w:rFonts w:ascii="Calibri" w:cs="Calibri" w:eastAsia="Calibri" w:hAnsi="Calibri"/>
          <w:color w:val="1E88E5"/>
          <w:sz w:val="20"/>
          <w:szCs w:val="20"/>
        </w:rPr>
        <w:t xml:space="preserve">art. 3 Prot. 1</w:t>
      </w:r>
      <w:r>
        <w:rPr>
          <w:rFonts w:ascii="Calibri" w:cs="Calibri" w:eastAsia="Calibri" w:hAnsi="Calibri"/>
          <w:color w:val="1A1A1A"/>
          <w:sz w:val="20"/>
          <w:szCs w:val="20"/>
        </w:rPr>
        <w:t xml:space="preserve"> au titre des « nécessités locales » (</w:t>
      </w:r>
      <w:r>
        <w:rPr>
          <w:rFonts w:ascii="Calibri" w:cs="Calibri" w:eastAsia="Calibri" w:hAnsi="Calibri"/>
          <w:color w:val="E91E63"/>
          <w:sz w:val="20"/>
          <w:szCs w:val="20"/>
        </w:rPr>
        <w:t xml:space="preserve">CEDH, 11 janvier 2005, Py c. France, n° 66289/01</w:t>
      </w:r>
      <w:r>
        <w:rPr>
          <w:rFonts w:ascii="Calibri" w:cs="Calibri" w:eastAsia="Calibri" w:hAnsi="Calibri"/>
          <w:color w:val="1A1A1A"/>
          <w:sz w:val="20"/>
          <w:szCs w:val="20"/>
        </w:rPr>
        <w:t xml:space="preserve">) et avec l’</w:t>
      </w:r>
      <w:r>
        <w:rPr>
          <w:rFonts w:ascii="Calibri" w:cs="Calibri" w:eastAsia="Calibri" w:hAnsi="Calibri"/>
          <w:color w:val="1E88E5"/>
          <w:sz w:val="20"/>
          <w:szCs w:val="20"/>
        </w:rPr>
        <w:t xml:space="preserve">art. 25 PIDCP</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Comité DH, 15 juillet 2002, Gillot c. France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Référendums</w:t>
      </w:r>
      <w:r>
        <w:rPr>
          <w:rFonts w:ascii="Calibri" w:cs="Calibri" w:eastAsia="Calibri" w:hAnsi="Calibri"/>
          <w:color w:val="1A1A1A"/>
          <w:sz w:val="20"/>
          <w:szCs w:val="20"/>
        </w:rPr>
        <w:t xml:space="preserve"> : 4 novembre 2018 (56,7 % non), 4 octobre 2020 (53,3 % non), 12 décembre 2021 (96,5 % non, boycott indépendantiste, participation de 43,9 %). </w:t>
      </w:r>
      <w:r>
        <w:rPr>
          <w:rFonts w:ascii="Calibri" w:cs="Calibri" w:eastAsia="Calibri" w:hAnsi="Calibri"/>
          <w:b/>
          <w:bCs/>
          <w:color w:val="1A1A1A"/>
          <w:sz w:val="20"/>
          <w:szCs w:val="20"/>
        </w:rPr>
        <w:t xml:space="preserve">Crise de 2024</w:t>
      </w:r>
      <w:r>
        <w:rPr>
          <w:rFonts w:ascii="Calibri" w:cs="Calibri" w:eastAsia="Calibri" w:hAnsi="Calibri"/>
          <w:color w:val="1A1A1A"/>
          <w:sz w:val="20"/>
          <w:szCs w:val="20"/>
        </w:rPr>
        <w:t xml:space="preserve"> : projet de dégel du corps électoral, émeutes de mai 2024, état d’urgence (15-28 mai), blocage de TikTok annulé par le Conseil d’État le 1er avril 2025.</w:t>
      </w:r>
    </w:p>
    <w:p>
      <w:pPr>
        <w:pStyle w:val="ListParagraph"/>
        <w:numPr>
          <w:ilvl w:val="0"/>
          <w:numId w:val="2"/>
        </w:numPr>
        <w:spacing w:after="70" w:line="264"/>
        <w:jc w:val="both"/>
      </w:pPr>
      <w:r>
        <w:rPr>
          <w:rFonts w:ascii="Calibri" w:cs="Calibri" w:eastAsia="Calibri" w:hAnsi="Calibri"/>
          <w:b/>
          <w:bCs/>
          <w:color w:val="1A1A1A"/>
          <w:sz w:val="20"/>
          <w:szCs w:val="20"/>
        </w:rPr>
        <w:t xml:space="preserve">2025-2026</w:t>
      </w:r>
      <w:r>
        <w:rPr>
          <w:rFonts w:ascii="Calibri" w:cs="Calibri" w:eastAsia="Calibri" w:hAnsi="Calibri"/>
          <w:color w:val="1A1A1A"/>
          <w:sz w:val="20"/>
          <w:szCs w:val="20"/>
        </w:rPr>
        <w:t xml:space="preserve"> : accord de Bougival (12 juillet 2025, « État de la Nouvelle-Calédonie » au sein de l’ensemble national, nationalité calédonienne cumulée avec la nationalité française), complété par l’accord Élysée-Oudinot (19 janvier 2026) mais non ratifié par le FLNKS ; projet de loi constitutionnelle adopté par le Sénat en février 2026, </w:t>
      </w:r>
      <w:r>
        <w:rPr>
          <w:rFonts w:ascii="Calibri" w:cs="Calibri" w:eastAsia="Calibri" w:hAnsi="Calibri"/>
          <w:b/>
          <w:bCs/>
          <w:color w:val="1A1A1A"/>
          <w:sz w:val="20"/>
          <w:szCs w:val="20"/>
        </w:rPr>
        <w:t xml:space="preserve">rejeté par l’Assemblée nationale le 2 avril 2026</w:t>
      </w:r>
      <w:r>
        <w:rPr>
          <w:rFonts w:ascii="Calibri" w:cs="Calibri" w:eastAsia="Calibri" w:hAnsi="Calibri"/>
          <w:color w:val="1A1A1A"/>
          <w:sz w:val="20"/>
          <w:szCs w:val="20"/>
        </w:rPr>
        <w:t xml:space="preserve"> (motion de rejet préalable) ; élections provinciales tenues le </w:t>
      </w:r>
      <w:r>
        <w:rPr>
          <w:rFonts w:ascii="Calibri" w:cs="Calibri" w:eastAsia="Calibri" w:hAnsi="Calibri"/>
          <w:b/>
          <w:bCs/>
          <w:color w:val="1A1A1A"/>
          <w:sz w:val="20"/>
          <w:szCs w:val="20"/>
        </w:rPr>
        <w:t xml:space="preserve">28 juin 2026</w:t>
      </w:r>
      <w:r>
        <w:rPr>
          <w:rFonts w:ascii="Calibri" w:cs="Calibri" w:eastAsia="Calibri" w:hAnsi="Calibri"/>
          <w:color w:val="1A1A1A"/>
          <w:sz w:val="20"/>
          <w:szCs w:val="20"/>
        </w:rPr>
        <w:t xml:space="preserve"> sur une liste spéciale ouverte en urgence à environ 10 000 natifs.</w:t>
      </w:r>
    </w:p>
    <w:p>
      <w:pPr>
        <w:pStyle w:val="Heading3"/>
        <w:spacing w:after="90" w:before="200"/>
      </w:pPr>
      <w:r>
        <w:rPr>
          <w:rFonts w:ascii="Calibri" w:cs="Calibri" w:eastAsia="Calibri" w:hAnsi="Calibri"/>
          <w:b/>
          <w:bCs/>
          <w:i/>
          <w:iCs/>
          <w:color w:val="5A5A5A"/>
          <w:sz w:val="21"/>
          <w:szCs w:val="21"/>
        </w:rPr>
        <w:t xml:space="preserve">3.4. La Corse</w:t>
      </w:r>
    </w:p>
    <w:p>
      <w:pPr>
        <w:pStyle w:val="ListParagraph"/>
        <w:numPr>
          <w:ilvl w:val="0"/>
          <w:numId w:val="2"/>
        </w:numPr>
        <w:spacing w:after="70" w:line="264"/>
        <w:jc w:val="both"/>
      </w:pPr>
      <w:r>
        <w:rPr>
          <w:rFonts w:ascii="Calibri" w:cs="Calibri" w:eastAsia="Calibri" w:hAnsi="Calibri"/>
          <w:b/>
          <w:bCs/>
          <w:color w:val="1A1A1A"/>
          <w:sz w:val="20"/>
          <w:szCs w:val="20"/>
        </w:rPr>
        <w:t xml:space="preserve">Statuts successifs</w:t>
      </w:r>
      <w:r>
        <w:rPr>
          <w:rFonts w:ascii="Calibri" w:cs="Calibri" w:eastAsia="Calibri" w:hAnsi="Calibri"/>
          <w:color w:val="1A1A1A"/>
          <w:sz w:val="20"/>
          <w:szCs w:val="20"/>
        </w:rPr>
        <w:t xml:space="preserve"> : 1982 (statut particulier), </w:t>
      </w:r>
      <w:r>
        <w:rPr>
          <w:rFonts w:ascii="Calibri" w:cs="Calibri" w:eastAsia="Calibri" w:hAnsi="Calibri"/>
          <w:color w:val="1E88E5"/>
          <w:sz w:val="20"/>
          <w:szCs w:val="20"/>
        </w:rPr>
        <w:t xml:space="preserve">loi Joxe du 13 mai 1991</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22 janvier 2002</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Collectivité de Corse</w:t>
      </w:r>
      <w:r>
        <w:rPr>
          <w:rFonts w:ascii="Calibri" w:cs="Calibri" w:eastAsia="Calibri" w:hAnsi="Calibri"/>
          <w:color w:val="1A1A1A"/>
          <w:sz w:val="20"/>
          <w:szCs w:val="20"/>
        </w:rPr>
        <w:t xml:space="preserve"> au 1er janvier 2018 (fusion de la collectivité territoriale et des deux départements). </w:t>
      </w:r>
      <w:r>
        <w:rPr>
          <w:rFonts w:ascii="Calibri" w:cs="Calibri" w:eastAsia="Calibri" w:hAnsi="Calibri"/>
          <w:b/>
          <w:bCs/>
          <w:color w:val="1A1A1A"/>
          <w:sz w:val="20"/>
          <w:szCs w:val="20"/>
        </w:rPr>
        <w:t xml:space="preserve">Processus de Beauvau</w:t>
      </w:r>
      <w:r>
        <w:rPr>
          <w:rFonts w:ascii="Calibri" w:cs="Calibri" w:eastAsia="Calibri" w:hAnsi="Calibri"/>
          <w:color w:val="1A1A1A"/>
          <w:sz w:val="20"/>
          <w:szCs w:val="20"/>
        </w:rPr>
        <w:t xml:space="preserve"> (2022) après l’agression mortelle d’Yvan Colonna en détention.</w:t>
      </w:r>
    </w:p>
    <w:p>
      <w:pPr>
        <w:pStyle w:val="ListParagraph"/>
        <w:numPr>
          <w:ilvl w:val="0"/>
          <w:numId w:val="2"/>
        </w:numPr>
        <w:spacing w:after="70" w:line="264"/>
        <w:jc w:val="both"/>
      </w:pPr>
      <w:r>
        <w:rPr>
          <w:rFonts w:ascii="Calibri" w:cs="Calibri" w:eastAsia="Calibri" w:hAnsi="Calibri"/>
          <w:b/>
          <w:bCs/>
          <w:color w:val="1A1A1A"/>
          <w:sz w:val="20"/>
          <w:szCs w:val="20"/>
        </w:rPr>
        <w:t xml:space="preserve">Projet de loi constitutionnelle « pour une Corse autonome au sein de la République »</w:t>
      </w:r>
      <w:r>
        <w:rPr>
          <w:rFonts w:ascii="Calibri" w:cs="Calibri" w:eastAsia="Calibri" w:hAnsi="Calibri"/>
          <w:color w:val="1A1A1A"/>
          <w:sz w:val="20"/>
          <w:szCs w:val="20"/>
        </w:rPr>
        <w:t xml:space="preserve"> (déposé le 30 juillet 2025 ; adopté par l’Assemblée nationale en première lecture le </w:t>
      </w:r>
      <w:r>
        <w:rPr>
          <w:rFonts w:ascii="Calibri" w:cs="Calibri" w:eastAsia="Calibri" w:hAnsi="Calibri"/>
          <w:b/>
          <w:bCs/>
          <w:color w:val="1A1A1A"/>
          <w:sz w:val="20"/>
          <w:szCs w:val="20"/>
        </w:rPr>
        <w:t xml:space="preserve">23 juin 2026</w:t>
      </w:r>
      <w:r>
        <w:rPr>
          <w:rFonts w:ascii="Calibri" w:cs="Calibri" w:eastAsia="Calibri" w:hAnsi="Calibri"/>
          <w:color w:val="1A1A1A"/>
          <w:sz w:val="20"/>
          <w:szCs w:val="20"/>
        </w:rPr>
        <w:t xml:space="preserve">) : nouvel </w:t>
      </w:r>
      <w:r>
        <w:rPr>
          <w:rFonts w:ascii="Calibri" w:cs="Calibri" w:eastAsia="Calibri" w:hAnsi="Calibri"/>
          <w:color w:val="1E88E5"/>
          <w:sz w:val="20"/>
          <w:szCs w:val="20"/>
        </w:rPr>
        <w:t xml:space="preserve">art. 72-5</w:t>
      </w:r>
      <w:r>
        <w:rPr>
          <w:rFonts w:ascii="Calibri" w:cs="Calibri" w:eastAsia="Calibri" w:hAnsi="Calibri"/>
          <w:color w:val="1A1A1A"/>
          <w:sz w:val="20"/>
          <w:szCs w:val="20"/>
        </w:rPr>
        <w:t xml:space="preserve"> — statut d’autonomie, reconnaissance d’une « communauté historique, linguistique et culturelle » (et non d’un « peuple corse »), </w:t>
      </w:r>
      <w:r>
        <w:rPr>
          <w:rFonts w:ascii="Calibri" w:cs="Calibri" w:eastAsia="Calibri" w:hAnsi="Calibri"/>
          <w:b/>
          <w:bCs/>
          <w:color w:val="1A1A1A"/>
          <w:sz w:val="20"/>
          <w:szCs w:val="20"/>
        </w:rPr>
        <w:t xml:space="preserve">pouvoir normatif</w:t>
      </w:r>
      <w:r>
        <w:rPr>
          <w:rFonts w:ascii="Calibri" w:cs="Calibri" w:eastAsia="Calibri" w:hAnsi="Calibri"/>
          <w:color w:val="1A1A1A"/>
          <w:sz w:val="20"/>
          <w:szCs w:val="20"/>
        </w:rPr>
        <w:t xml:space="preserve"> sur habilitation organique, y compris dans le domaine de la loi, hors matières régaliennes et libertés publiques ; consultation des électeurs corses. Pour être adopté, le texte doit encore être voté en termes identiques par le Sénat puis approuvé par le Congrès ou par référendum (</w:t>
      </w:r>
      <w:r>
        <w:rPr>
          <w:rFonts w:ascii="Calibri" w:cs="Calibri" w:eastAsia="Calibri" w:hAnsi="Calibri"/>
          <w:color w:val="1E88E5"/>
          <w:sz w:val="20"/>
          <w:szCs w:val="20"/>
        </w:rPr>
        <w:t xml:space="preserve">art. 89</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Un droit sans titulaire défini</w:t>
      </w:r>
      <w:r>
        <w:rPr>
          <w:rFonts w:ascii="Calibri" w:cs="Calibri" w:eastAsia="Calibri" w:hAnsi="Calibri"/>
          <w:color w:val="1A1A1A"/>
          <w:sz w:val="20"/>
          <w:szCs w:val="20"/>
        </w:rPr>
        <w:t xml:space="preserve"> — l’indétermination du « peuple » explique que le droit ait été réservé aux colonies : c’est le territoire, non l’ethnie, qui définit le peuple. </w:t>
      </w:r>
      <w:r>
        <w:rPr>
          <w:rFonts w:ascii="Calibri" w:cs="Calibri" w:eastAsia="Calibri" w:hAnsi="Calibri"/>
          <w:color w:val="2E7D32"/>
          <w:sz w:val="20"/>
          <w:szCs w:val="20"/>
        </w:rPr>
        <w:t xml:space="preserve">Antonio Cassese</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Self-Determination of Peoples</w:t>
      </w:r>
      <w:r>
        <w:rPr>
          <w:rFonts w:ascii="Calibri" w:cs="Calibri" w:eastAsia="Calibri" w:hAnsi="Calibri"/>
          <w:color w:val="1A1A1A"/>
          <w:sz w:val="20"/>
          <w:szCs w:val="20"/>
        </w:rPr>
        <w:t xml:space="preserve">, 1995) distingue autodétermination externe (statut international) et interne (gouvernement représentatif) — seule la seconde a vocation à l’universalité.</w:t>
      </w:r>
    </w:p>
    <w:p>
      <w:pPr>
        <w:pStyle w:val="ListParagraph"/>
        <w:numPr>
          <w:ilvl w:val="0"/>
          <w:numId w:val="2"/>
        </w:numPr>
        <w:spacing w:after="70" w:line="264"/>
        <w:jc w:val="both"/>
      </w:pPr>
      <w:r>
        <w:rPr>
          <w:rFonts w:ascii="Calibri" w:cs="Calibri" w:eastAsia="Calibri" w:hAnsi="Calibri"/>
          <w:b/>
          <w:bCs/>
          <w:color w:val="1A1A1A"/>
          <w:sz w:val="20"/>
          <w:szCs w:val="20"/>
        </w:rPr>
        <w:t xml:space="preserve">De Wilson à Lénine</w:t>
      </w:r>
      <w:r>
        <w:rPr>
          <w:rFonts w:ascii="Calibri" w:cs="Calibri" w:eastAsia="Calibri" w:hAnsi="Calibri"/>
          <w:color w:val="1A1A1A"/>
          <w:sz w:val="20"/>
          <w:szCs w:val="20"/>
        </w:rPr>
        <w:t xml:space="preserve"> — les </w:t>
      </w:r>
      <w:r>
        <w:rPr>
          <w:rFonts w:ascii="Calibri" w:cs="Calibri" w:eastAsia="Calibri" w:hAnsi="Calibri"/>
          <w:color w:val="2E7D32"/>
          <w:sz w:val="20"/>
          <w:szCs w:val="20"/>
        </w:rPr>
        <w:t xml:space="preserve">Quatorze points de Wilson</w:t>
      </w:r>
      <w:r>
        <w:rPr>
          <w:rFonts w:ascii="Calibri" w:cs="Calibri" w:eastAsia="Calibri" w:hAnsi="Calibri"/>
          <w:color w:val="1A1A1A"/>
          <w:sz w:val="20"/>
          <w:szCs w:val="20"/>
        </w:rPr>
        <w:t xml:space="preserve"> (8 janvier 1918) et </w:t>
      </w:r>
      <w:r>
        <w:rPr>
          <w:rFonts w:ascii="Calibri" w:cs="Calibri" w:eastAsia="Calibri" w:hAnsi="Calibri"/>
          <w:color w:val="2E7D32"/>
          <w:sz w:val="20"/>
          <w:szCs w:val="20"/>
        </w:rPr>
        <w:t xml:space="preserve">Lénine</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Du droit des nations à disposer d’elles-mêmes</w:t>
      </w:r>
      <w:r>
        <w:rPr>
          <w:rFonts w:ascii="Calibri" w:cs="Calibri" w:eastAsia="Calibri" w:hAnsi="Calibri"/>
          <w:color w:val="1A1A1A"/>
          <w:sz w:val="20"/>
          <w:szCs w:val="20"/>
        </w:rPr>
        <w:t xml:space="preserve">, 1914) font du principe une arme diplomatique avant d’en faire une norme ; le principe a servi à la fois l’émancipation coloniale et la légitimation de démembrements.</w:t>
      </w:r>
    </w:p>
    <w:p>
      <w:pPr>
        <w:pStyle w:val="ListParagraph"/>
        <w:numPr>
          <w:ilvl w:val="0"/>
          <w:numId w:val="2"/>
        </w:numPr>
        <w:spacing w:after="70" w:line="264"/>
        <w:jc w:val="both"/>
      </w:pPr>
      <w:r>
        <w:rPr>
          <w:rFonts w:ascii="Calibri" w:cs="Calibri" w:eastAsia="Calibri" w:hAnsi="Calibri"/>
          <w:b/>
          <w:bCs/>
          <w:color w:val="1A1A1A"/>
          <w:sz w:val="20"/>
          <w:szCs w:val="20"/>
        </w:rPr>
        <w:t xml:space="preserve">L’indivisibilité à l’épreuve</w:t>
      </w:r>
      <w:r>
        <w:rPr>
          <w:rFonts w:ascii="Calibri" w:cs="Calibri" w:eastAsia="Calibri" w:hAnsi="Calibri"/>
          <w:color w:val="1A1A1A"/>
          <w:sz w:val="20"/>
          <w:szCs w:val="20"/>
        </w:rPr>
        <w:t xml:space="preserve"> — la France pratique une </w:t>
      </w:r>
      <w:r>
        <w:rPr>
          <w:rFonts w:ascii="Calibri" w:cs="Calibri" w:eastAsia="Calibri" w:hAnsi="Calibri"/>
          <w:b/>
          <w:bCs/>
          <w:color w:val="1A1A1A"/>
          <w:sz w:val="20"/>
          <w:szCs w:val="20"/>
        </w:rPr>
        <w:t xml:space="preserve">asymétrie</w:t>
      </w:r>
      <w:r>
        <w:rPr>
          <w:rFonts w:ascii="Calibri" w:cs="Calibri" w:eastAsia="Calibri" w:hAnsi="Calibri"/>
          <w:color w:val="1A1A1A"/>
          <w:sz w:val="20"/>
          <w:szCs w:val="20"/>
        </w:rPr>
        <w:t xml:space="preserve"> : unicité du peuple en métropole (</w:t>
      </w:r>
      <w:r>
        <w:rPr>
          <w:rFonts w:ascii="Calibri" w:cs="Calibri" w:eastAsia="Calibri" w:hAnsi="Calibri"/>
          <w:color w:val="E91E63"/>
          <w:sz w:val="20"/>
          <w:szCs w:val="20"/>
        </w:rPr>
        <w:t xml:space="preserve">91-290 DC</w:t>
      </w:r>
      <w:r>
        <w:rPr>
          <w:rFonts w:ascii="Calibri" w:cs="Calibri" w:eastAsia="Calibri" w:hAnsi="Calibri"/>
          <w:color w:val="1A1A1A"/>
          <w:sz w:val="20"/>
          <w:szCs w:val="20"/>
        </w:rPr>
        <w:t xml:space="preserve">), pluralité outre-mer (titre XIII, </w:t>
      </w:r>
      <w:r>
        <w:rPr>
          <w:rFonts w:ascii="Calibri" w:cs="Calibri" w:eastAsia="Calibri" w:hAnsi="Calibri"/>
          <w:color w:val="1E88E5"/>
          <w:sz w:val="20"/>
          <w:szCs w:val="20"/>
        </w:rPr>
        <w:t xml:space="preserve">art. 72-3</w:t>
      </w:r>
      <w:r>
        <w:rPr>
          <w:rFonts w:ascii="Calibri" w:cs="Calibri" w:eastAsia="Calibri" w:hAnsi="Calibri"/>
          <w:color w:val="1A1A1A"/>
          <w:sz w:val="20"/>
          <w:szCs w:val="20"/>
        </w:rPr>
        <w:t xml:space="preserve">) ; le projet corse importerait en métropole une autonomie normative jusqu’ici réservée à l’outre-mer, ce que le Conseil d’État a qualifié d’« inédit ».</w:t>
      </w:r>
    </w:p>
    <w:p>
      <w:pPr>
        <w:pStyle w:val="ListParagraph"/>
        <w:numPr>
          <w:ilvl w:val="0"/>
          <w:numId w:val="2"/>
        </w:numPr>
        <w:spacing w:after="70" w:line="264"/>
        <w:jc w:val="both"/>
      </w:pPr>
      <w:r>
        <w:rPr>
          <w:rFonts w:ascii="Calibri" w:cs="Calibri" w:eastAsia="Calibri" w:hAnsi="Calibri"/>
          <w:b/>
          <w:bCs/>
          <w:color w:val="1A1A1A"/>
          <w:sz w:val="20"/>
          <w:szCs w:val="20"/>
        </w:rPr>
        <w:t xml:space="preserve">Droit des peuples et droits de l’homme</w:t>
      </w:r>
      <w:r>
        <w:rPr>
          <w:rFonts w:ascii="Calibri" w:cs="Calibri" w:eastAsia="Calibri" w:hAnsi="Calibri"/>
          <w:color w:val="1A1A1A"/>
          <w:sz w:val="20"/>
          <w:szCs w:val="20"/>
        </w:rPr>
        <w:t xml:space="preserve"> — le corps électoral calédonien restreint montre la tension : protéger le peuple colonisé suppose de déroger au suffrage universel égal ; la Cour européenne l’admet au titre des « nécessités locales », la doctrine y voit une </w:t>
      </w:r>
      <w:r>
        <w:rPr>
          <w:rFonts w:ascii="Calibri" w:cs="Calibri" w:eastAsia="Calibri" w:hAnsi="Calibri"/>
          <w:b/>
          <w:bCs/>
          <w:color w:val="1A1A1A"/>
          <w:sz w:val="20"/>
          <w:szCs w:val="20"/>
        </w:rPr>
        <w:t xml:space="preserve">discrimination positive constitutionnalisée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Le peuple corse existe-t-il juridiquement ? »</w:t>
      </w:r>
      <w:r>
        <w:rPr>
          <w:rFonts w:ascii="Calibri" w:cs="Calibri" w:eastAsia="Calibri" w:hAnsi="Calibri"/>
          <w:color w:val="1A1A1A"/>
          <w:sz w:val="20"/>
          <w:szCs w:val="20"/>
        </w:rPr>
        <w:t xml:space="preserve"> — Non : </w:t>
      </w:r>
      <w:r>
        <w:rPr>
          <w:rFonts w:ascii="Calibri" w:cs="Calibri" w:eastAsia="Calibri" w:hAnsi="Calibri"/>
          <w:color w:val="E91E63"/>
          <w:sz w:val="20"/>
          <w:szCs w:val="20"/>
        </w:rPr>
        <w:t xml:space="preserve">91-290 DC</w:t>
      </w:r>
      <w:r>
        <w:rPr>
          <w:rFonts w:ascii="Calibri" w:cs="Calibri" w:eastAsia="Calibri" w:hAnsi="Calibri"/>
          <w:color w:val="1A1A1A"/>
          <w:sz w:val="20"/>
          <w:szCs w:val="20"/>
        </w:rPr>
        <w:t xml:space="preserve"> ; le projet de 2026 parle d’une « communauté historique, linguistique et culturelle ». Mais la Constitution connaît des « populations d’outre-mer » et l’accord de Nouméa du « peuple kanak » — l’unicité vaut pour la métropole.</w:t>
      </w:r>
    </w:p>
    <w:p>
      <w:pPr>
        <w:pStyle w:val="ListParagraph"/>
        <w:numPr>
          <w:ilvl w:val="0"/>
          <w:numId w:val="2"/>
        </w:numPr>
        <w:spacing w:after="70" w:line="264"/>
        <w:jc w:val="both"/>
      </w:pPr>
      <w:r>
        <w:rPr>
          <w:rFonts w:ascii="Calibri" w:cs="Calibri" w:eastAsia="Calibri" w:hAnsi="Calibri"/>
          <w:b/>
          <w:bCs/>
          <w:color w:val="1A1A1A"/>
          <w:sz w:val="20"/>
          <w:szCs w:val="20"/>
        </w:rPr>
        <w:t xml:space="preserve">« La Catalogne pouvait-elle invoquer le droit des peuples à disposer d’eux-mêmes ? »</w:t>
      </w:r>
      <w:r>
        <w:rPr>
          <w:rFonts w:ascii="Calibri" w:cs="Calibri" w:eastAsia="Calibri" w:hAnsi="Calibri"/>
          <w:color w:val="1A1A1A"/>
          <w:sz w:val="20"/>
          <w:szCs w:val="20"/>
        </w:rPr>
        <w:t xml:space="preserve"> — Non au sens externe : ni colonie, ni occupation, ni négation de la participation politique ; elle relève de l’autodétermination interne, dans le cadre de la Constitution espagnole (</w:t>
      </w:r>
      <w:r>
        <w:rPr>
          <w:rFonts w:ascii="Calibri" w:cs="Calibri" w:eastAsia="Calibri" w:hAnsi="Calibri"/>
          <w:color w:val="E91E63"/>
          <w:sz w:val="20"/>
          <w:szCs w:val="20"/>
        </w:rPr>
        <w:t xml:space="preserve">Renvoi Québec</w:t>
      </w:r>
      <w:r>
        <w:rPr>
          <w:rFonts w:ascii="Calibri" w:cs="Calibri" w:eastAsia="Calibri" w:hAnsi="Calibri"/>
          <w:color w:val="1A1A1A"/>
          <w:sz w:val="20"/>
          <w:szCs w:val="20"/>
        </w:rPr>
        <w:t xml:space="preserve">, raisonnement transposable).</w:t>
      </w:r>
    </w:p>
    <w:p>
      <w:pPr>
        <w:pStyle w:val="ListParagraph"/>
        <w:numPr>
          <w:ilvl w:val="0"/>
          <w:numId w:val="2"/>
        </w:numPr>
        <w:spacing w:after="70" w:line="264"/>
        <w:jc w:val="both"/>
      </w:pPr>
      <w:r>
        <w:rPr>
          <w:rFonts w:ascii="Calibri" w:cs="Calibri" w:eastAsia="Calibri" w:hAnsi="Calibri"/>
          <w:b/>
          <w:bCs/>
          <w:color w:val="1A1A1A"/>
          <w:sz w:val="20"/>
          <w:szCs w:val="20"/>
        </w:rPr>
        <w:t xml:space="preserve">« Reconnaître la Palestine, est-ce la faire entrer à l’ONU ? »</w:t>
      </w:r>
      <w:r>
        <w:rPr>
          <w:rFonts w:ascii="Calibri" w:cs="Calibri" w:eastAsia="Calibri" w:hAnsi="Calibri"/>
          <w:color w:val="1A1A1A"/>
          <w:sz w:val="20"/>
          <w:szCs w:val="20"/>
        </w:rPr>
        <w:t xml:space="preserve"> — Non : la reconnaissance est un acte unilatéral déclaratif de chaque État ; l’admission suppose une décision de l’Assemblée générale sur recommandation du Conseil de sécurité (</w:t>
      </w:r>
      <w:r>
        <w:rPr>
          <w:rFonts w:ascii="Calibri" w:cs="Calibri" w:eastAsia="Calibri" w:hAnsi="Calibri"/>
          <w:color w:val="1E88E5"/>
          <w:sz w:val="20"/>
          <w:szCs w:val="20"/>
        </w:rPr>
        <w:t xml:space="preserve">art. 4 de la Charte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Le droit des peuples à disposer d’eux-mêmes — Les implications du droit des peuples en France (sujet « Pour s’entraîner » du fascicule) — L’indivisibilité de la République — Les langues régionales — La Nouvelle-Calédonie et le droit — Autodétermination et intégrité territoriale — Le statut de la Corse — Commentaire : </w:t>
      </w:r>
      <w:r>
        <w:rPr>
          <w:rFonts w:ascii="Calibri" w:cs="Calibri" w:eastAsia="Calibri" w:hAnsi="Calibri"/>
          <w:color w:val="E91E63"/>
          <w:sz w:val="20"/>
          <w:szCs w:val="20"/>
        </w:rPr>
        <w:t xml:space="preserve">CIJ, avis Chagos</w:t>
      </w:r>
      <w:r>
        <w:rPr>
          <w:rFonts w:ascii="Calibri" w:cs="Calibri" w:eastAsia="Calibri" w:hAnsi="Calibri"/>
          <w:color w:val="1A1A1A"/>
          <w:sz w:val="20"/>
          <w:szCs w:val="20"/>
        </w:rPr>
        <w:t xml:space="preserve"> — Commentaire : </w:t>
      </w:r>
      <w:r>
        <w:rPr>
          <w:rFonts w:ascii="Calibri" w:cs="Calibri" w:eastAsia="Calibri" w:hAnsi="Calibri"/>
          <w:color w:val="E91E63"/>
          <w:sz w:val="20"/>
          <w:szCs w:val="20"/>
        </w:rPr>
        <w:t xml:space="preserve">CJUE, Front Polisario</w:t>
      </w:r>
      <w:r>
        <w:rPr>
          <w:rFonts w:ascii="Calibri" w:cs="Calibri" w:eastAsia="Calibri" w:hAnsi="Calibri"/>
          <w:color w:val="1A1A1A"/>
          <w:sz w:val="20"/>
          <w:szCs w:val="20"/>
        </w:rPr>
        <w:t xml:space="preserve"> (2024).</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l’uti possidetis ?</w:t>
      </w:r>
      <w:r>
        <w:rPr>
          <w:rFonts w:ascii="Calibri" w:cs="Calibri" w:eastAsia="Calibri" w:hAnsi="Calibri"/>
          <w:color w:val="1A1A1A"/>
          <w:sz w:val="20"/>
          <w:szCs w:val="20"/>
        </w:rPr>
        <w:t xml:space="preserve"> — Le principe d’intangibilité des frontières héritées de la colonisation (</w:t>
      </w:r>
      <w:r>
        <w:rPr>
          <w:rFonts w:ascii="Calibri" w:cs="Calibri" w:eastAsia="Calibri" w:hAnsi="Calibri"/>
          <w:color w:val="E91E63"/>
          <w:sz w:val="20"/>
          <w:szCs w:val="20"/>
        </w:rPr>
        <w:t xml:space="preserve">Burkina Faso/Mali</w:t>
      </w:r>
      <w:r>
        <w:rPr>
          <w:rFonts w:ascii="Calibri" w:cs="Calibri" w:eastAsia="Calibri" w:hAnsi="Calibri"/>
          <w:color w:val="1A1A1A"/>
          <w:sz w:val="20"/>
          <w:szCs w:val="20"/>
        </w:rPr>
        <w:t xml:space="preserve">, 1986), appliqué aussi aux limites administratives internes lors de la dissolution de la Yougoslavie.</w:t>
      </w:r>
    </w:p>
    <w:p>
      <w:pPr>
        <w:pStyle w:val="ListParagraph"/>
        <w:numPr>
          <w:ilvl w:val="0"/>
          <w:numId w:val="2"/>
        </w:numPr>
        <w:spacing w:after="70" w:line="264"/>
        <w:jc w:val="both"/>
      </w:pPr>
      <w:r>
        <w:rPr>
          <w:rFonts w:ascii="Calibri" w:cs="Calibri" w:eastAsia="Calibri" w:hAnsi="Calibri"/>
          <w:b/>
          <w:bCs/>
          <w:color w:val="1A1A1A"/>
          <w:sz w:val="20"/>
          <w:szCs w:val="20"/>
        </w:rPr>
        <w:t xml:space="preserve">Q. Combien de territoires non autonomes la France administre-t-elle selon l’ONU ?</w:t>
      </w:r>
      <w:r>
        <w:rPr>
          <w:rFonts w:ascii="Calibri" w:cs="Calibri" w:eastAsia="Calibri" w:hAnsi="Calibri"/>
          <w:color w:val="1A1A1A"/>
          <w:sz w:val="20"/>
          <w:szCs w:val="20"/>
        </w:rPr>
        <w:t xml:space="preserve"> — Deux : la Nouvelle-Calédonie et la Polynésie française.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 dit l’article 53 alinéa 3 de la Constitution ?</w:t>
      </w:r>
      <w:r>
        <w:rPr>
          <w:rFonts w:ascii="Calibri" w:cs="Calibri" w:eastAsia="Calibri" w:hAnsi="Calibri"/>
          <w:color w:val="1A1A1A"/>
          <w:sz w:val="20"/>
          <w:szCs w:val="20"/>
        </w:rPr>
        <w:t xml:space="preserve"> — « Nulle cession, nul échange, nulle adjonction de territoire n’est valable sans le consentement des populations intéressées. »</w:t>
      </w:r>
    </w:p>
    <w:p>
      <w:pPr>
        <w:pStyle w:val="ListParagraph"/>
        <w:numPr>
          <w:ilvl w:val="0"/>
          <w:numId w:val="2"/>
        </w:numPr>
        <w:spacing w:after="70" w:line="264"/>
        <w:jc w:val="both"/>
      </w:pPr>
      <w:r>
        <w:rPr>
          <w:rFonts w:ascii="Calibri" w:cs="Calibri" w:eastAsia="Calibri" w:hAnsi="Calibri"/>
          <w:b/>
          <w:bCs/>
          <w:color w:val="1A1A1A"/>
          <w:sz w:val="20"/>
          <w:szCs w:val="20"/>
        </w:rPr>
        <w:t xml:space="preserve">Q. Qui est titulaire des droits de la Charte africaine des droits des peuples ?</w:t>
      </w:r>
      <w:r>
        <w:rPr>
          <w:rFonts w:ascii="Calibri" w:cs="Calibri" w:eastAsia="Calibri" w:hAnsi="Calibri"/>
          <w:color w:val="1A1A1A"/>
          <w:sz w:val="20"/>
          <w:szCs w:val="20"/>
        </w:rPr>
        <w:t xml:space="preserve"> — Les « peuples », notion volontairement indéfinie ; la Commission africaine admet une autodétermination interne compatible avec l’intégrité territoriale.</w:t>
      </w:r>
    </w:p>
    <w:p>
      <w:pPr>
        <w:pStyle w:val="ListParagraph"/>
        <w:numPr>
          <w:ilvl w:val="0"/>
          <w:numId w:val="2"/>
        </w:numPr>
        <w:spacing w:after="70" w:line="264"/>
        <w:jc w:val="both"/>
      </w:pPr>
      <w:r>
        <w:rPr>
          <w:rFonts w:ascii="Calibri" w:cs="Calibri" w:eastAsia="Calibri" w:hAnsi="Calibri"/>
          <w:b/>
          <w:bCs/>
          <w:color w:val="1A1A1A"/>
          <w:sz w:val="20"/>
          <w:szCs w:val="20"/>
        </w:rPr>
        <w:t xml:space="preserve">Q. Pourquoi la France n’a-t-elle pas ratifié la Charte européenne des langues régionales ?</w:t>
      </w:r>
      <w:r>
        <w:rPr>
          <w:rFonts w:ascii="Calibri" w:cs="Calibri" w:eastAsia="Calibri" w:hAnsi="Calibri"/>
          <w:color w:val="1A1A1A"/>
          <w:sz w:val="20"/>
          <w:szCs w:val="20"/>
        </w:rPr>
        <w:t xml:space="preserve"> — Parce qu’elle a été jugée contraire à la Constitution (</w:t>
      </w:r>
      <w:r>
        <w:rPr>
          <w:rFonts w:ascii="Calibri" w:cs="Calibri" w:eastAsia="Calibri" w:hAnsi="Calibri"/>
          <w:color w:val="E91E63"/>
          <w:sz w:val="20"/>
          <w:szCs w:val="20"/>
        </w:rPr>
        <w:t xml:space="preserve">99-412 DC</w:t>
      </w:r>
      <w:r>
        <w:rPr>
          <w:rFonts w:ascii="Calibri" w:cs="Calibri" w:eastAsia="Calibri" w:hAnsi="Calibri"/>
          <w:color w:val="1A1A1A"/>
          <w:sz w:val="20"/>
          <w:szCs w:val="20"/>
        </w:rPr>
        <w:t xml:space="preserve">) et que les tentatives de révision (2008, 2015) n’ont pas abouti.</w:t>
      </w:r>
    </w:p>
    <w:p>
      <w:pPr>
        <w:pStyle w:val="ListParagraph"/>
        <w:numPr>
          <w:ilvl w:val="0"/>
          <w:numId w:val="2"/>
        </w:numPr>
        <w:spacing w:after="70" w:line="264"/>
        <w:jc w:val="both"/>
      </w:pPr>
      <w:r>
        <w:rPr>
          <w:rFonts w:ascii="Calibri" w:cs="Calibri" w:eastAsia="Calibri" w:hAnsi="Calibri"/>
          <w:b/>
          <w:bCs/>
          <w:color w:val="1A1A1A"/>
          <w:sz w:val="20"/>
          <w:szCs w:val="20"/>
        </w:rPr>
        <w:t xml:space="preserve">Q. Quels résultats aux trois référendums calédoniens ?</w:t>
      </w:r>
      <w:r>
        <w:rPr>
          <w:rFonts w:ascii="Calibri" w:cs="Calibri" w:eastAsia="Calibri" w:hAnsi="Calibri"/>
          <w:color w:val="1A1A1A"/>
          <w:sz w:val="20"/>
          <w:szCs w:val="20"/>
        </w:rPr>
        <w:t xml:space="preserve"> — Non à 56,7 % (2018), 53,3 % (2020), 96,5 % (2021, boycott indépendantiste).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ANNEXE — COMPLÉMENTS À LA CHRONOLOGIE ET À L’INDEX (Partie VI-E)</w:t>
      </w:r>
    </w:p>
    <w:p>
      <w:pPr>
        <w:pStyle w:val="Heading2"/>
        <w:spacing w:after="120" w:before="280"/>
      </w:pPr>
      <w:r>
        <w:rPr>
          <w:rFonts w:ascii="Calibri" w:cs="Calibri" w:eastAsia="Calibri" w:hAnsi="Calibri"/>
          <w:b/>
          <w:bCs/>
          <w:color w:val="1A1A1A"/>
          <w:sz w:val="24"/>
          <w:szCs w:val="24"/>
        </w:rPr>
        <w:t xml:space="preserve">I. Ajouts à la chronologie transversale</w:t>
      </w:r>
    </w:p>
    <w:p>
      <w:pPr>
        <w:pStyle w:val="ListParagraph"/>
        <w:numPr>
          <w:ilvl w:val="0"/>
          <w:numId w:val="2"/>
        </w:numPr>
        <w:spacing w:after="70" w:line="264"/>
        <w:jc w:val="both"/>
      </w:pPr>
      <w:r>
        <w:rPr>
          <w:rFonts w:ascii="Calibri" w:cs="Calibri" w:eastAsia="Calibri" w:hAnsi="Calibri"/>
          <w:b/>
          <w:bCs/>
          <w:color w:val="1A1A1A"/>
          <w:sz w:val="20"/>
          <w:szCs w:val="20"/>
        </w:rPr>
        <w:t xml:space="preserve">1539</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Vitoria, jus communicationis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1651</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Hobbes, Léviathan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1795</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Kant, Vers la paix perpétuelle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1833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Guizot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1848</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décret du 5 mars</w:t>
      </w:r>
      <w:r>
        <w:rPr>
          <w:rFonts w:ascii="Calibri" w:cs="Calibri" w:eastAsia="Calibri" w:hAnsi="Calibri"/>
          <w:color w:val="1A1A1A"/>
          <w:sz w:val="20"/>
          <w:szCs w:val="20"/>
        </w:rPr>
        <w:t xml:space="preserve"> (suffrage universel masculin) ; </w:t>
      </w:r>
      <w:r>
        <w:rPr>
          <w:rFonts w:ascii="Calibri" w:cs="Calibri" w:eastAsia="Calibri" w:hAnsi="Calibri"/>
          <w:color w:val="1E88E5"/>
          <w:sz w:val="20"/>
          <w:szCs w:val="20"/>
        </w:rPr>
        <w:t xml:space="preserve">art. 9 Constitution de 1848</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1850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Falloux</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1853</w:t>
      </w:r>
      <w:r>
        <w:rPr>
          <w:rFonts w:ascii="Calibri" w:cs="Calibri" w:eastAsia="Calibri" w:hAnsi="Calibri"/>
          <w:color w:val="1A1A1A"/>
          <w:sz w:val="20"/>
          <w:szCs w:val="20"/>
        </w:rPr>
        <w:t xml:space="preserve"> prise de possession de la Nouvelle-Calédonie — </w:t>
      </w:r>
      <w:r>
        <w:rPr>
          <w:rFonts w:ascii="Calibri" w:cs="Calibri" w:eastAsia="Calibri" w:hAnsi="Calibri"/>
          <w:b/>
          <w:bCs/>
          <w:color w:val="1A1A1A"/>
          <w:sz w:val="20"/>
          <w:szCs w:val="20"/>
        </w:rPr>
        <w:t xml:space="preserve">1875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12 juillet</w:t>
      </w:r>
      <w:r>
        <w:rPr>
          <w:rFonts w:ascii="Calibri" w:cs="Calibri" w:eastAsia="Calibri" w:hAnsi="Calibri"/>
          <w:color w:val="1A1A1A"/>
          <w:sz w:val="20"/>
          <w:szCs w:val="20"/>
        </w:rPr>
        <w:t xml:space="preserve"> (enseignement supérieur) — </w:t>
      </w:r>
      <w:r>
        <w:rPr>
          <w:rFonts w:ascii="Calibri" w:cs="Calibri" w:eastAsia="Calibri" w:hAnsi="Calibri"/>
          <w:b/>
          <w:bCs/>
          <w:color w:val="1A1A1A"/>
          <w:sz w:val="20"/>
          <w:szCs w:val="20"/>
        </w:rPr>
        <w:t xml:space="preserve">1882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Ferry du 28 mars</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Renan, Qu’est-ce qu’une nation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1886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Goblet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1908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Girodet c. Morizot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1918</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Quatorze points de Wilson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1931</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de finances du 31 mars, art. 91</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1937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Decerf</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1944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ordonnance du 21 avril</w:t>
      </w:r>
      <w:r>
        <w:rPr>
          <w:rFonts w:ascii="Calibri" w:cs="Calibri" w:eastAsia="Calibri" w:hAnsi="Calibri"/>
          <w:color w:val="1A1A1A"/>
          <w:sz w:val="20"/>
          <w:szCs w:val="20"/>
        </w:rPr>
        <w:t xml:space="preserve"> (vote des femmes) — </w:t>
      </w:r>
      <w:r>
        <w:rPr>
          <w:rFonts w:ascii="Calibri" w:cs="Calibri" w:eastAsia="Calibri" w:hAnsi="Calibri"/>
          <w:b/>
          <w:bCs/>
          <w:color w:val="1A1A1A"/>
          <w:sz w:val="20"/>
          <w:szCs w:val="20"/>
        </w:rPr>
        <w:t xml:space="preserve">1945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Charte des Nations unies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1951</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Convention de Genève</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Arendt, Origines du totalitarisme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Debré</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résolution 1514</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Protocole n° 4</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Pactes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Affaire linguistique belge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résolution 2625</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CIJ, Namibie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5 juillet</w:t>
      </w:r>
      <w:r>
        <w:rPr>
          <w:rFonts w:ascii="Calibri" w:cs="Calibri" w:eastAsia="Calibri" w:hAnsi="Calibri"/>
          <w:color w:val="1A1A1A"/>
          <w:sz w:val="20"/>
          <w:szCs w:val="20"/>
        </w:rPr>
        <w:t xml:space="preserve"> (majorité à 18 ans) — </w:t>
      </w:r>
      <w:r>
        <w:rPr>
          <w:rFonts w:ascii="Calibri" w:cs="Calibri" w:eastAsia="Calibri" w:hAnsi="Calibri"/>
          <w:b/>
          <w:bCs/>
          <w:color w:val="1A1A1A"/>
          <w:sz w:val="20"/>
          <w:szCs w:val="20"/>
        </w:rPr>
        <w:t xml:space="preserve">1975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CIJ, Sahara occidental</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75-59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Kjeldsen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77-87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Dridi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Astudillo Calleja</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Guermeur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1979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79-107 DC</w:t>
      </w:r>
      <w:r>
        <w:rPr>
          <w:rFonts w:ascii="Calibri" w:cs="Calibri" w:eastAsia="Calibri" w:hAnsi="Calibri"/>
          <w:color w:val="1A1A1A"/>
          <w:sz w:val="20"/>
          <w:szCs w:val="20"/>
        </w:rPr>
        <w:t xml:space="preserve"> (péages) — </w:t>
      </w:r>
      <w:r>
        <w:rPr>
          <w:rFonts w:ascii="Calibri" w:cs="Calibri" w:eastAsia="Calibri" w:hAnsi="Calibri"/>
          <w:b/>
          <w:bCs/>
          <w:color w:val="1A1A1A"/>
          <w:sz w:val="20"/>
          <w:szCs w:val="20"/>
        </w:rPr>
        <w:t xml:space="preserve">1980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Guzzardi</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82-146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Protocole n° 7</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83-165 DC</w:t>
      </w:r>
      <w:r>
        <w:rPr>
          <w:rFonts w:ascii="Calibri" w:cs="Calibri" w:eastAsia="Calibri" w:hAnsi="Calibri"/>
          <w:color w:val="1A1A1A"/>
          <w:sz w:val="20"/>
          <w:szCs w:val="20"/>
        </w:rPr>
        <w:t xml:space="preserve"> ; manifestation du 24 juin pour l’école libre — </w:t>
      </w:r>
      <w:r>
        <w:rPr>
          <w:rFonts w:ascii="Calibri" w:cs="Calibri" w:eastAsia="Calibri" w:hAnsi="Calibri"/>
          <w:b/>
          <w:bCs/>
          <w:color w:val="1A1A1A"/>
          <w:sz w:val="20"/>
          <w:szCs w:val="20"/>
        </w:rPr>
        <w:t xml:space="preserve">1985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84-185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CIJ, Burkina Faso/Mali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86-208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Mathieu-Mohin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87-226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1988</w:t>
      </w:r>
      <w:r>
        <w:rPr>
          <w:rFonts w:ascii="Calibri" w:cs="Calibri" w:eastAsia="Calibri" w:hAnsi="Calibri"/>
          <w:color w:val="1A1A1A"/>
          <w:sz w:val="20"/>
          <w:szCs w:val="20"/>
        </w:rPr>
        <w:t xml:space="preserve"> accords de Matignon — </w:t>
      </w:r>
      <w:r>
        <w:rPr>
          <w:rFonts w:ascii="Calibri" w:cs="Calibri" w:eastAsia="Calibri" w:hAnsi="Calibri"/>
          <w:b/>
          <w:bCs/>
          <w:color w:val="1A1A1A"/>
          <w:sz w:val="20"/>
          <w:szCs w:val="20"/>
        </w:rPr>
        <w:t xml:space="preserve">1989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Soering</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90-280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Belgacem et Babas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91-290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93-323 DC et 93-325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93-329 DC</w:t>
      </w:r>
      <w:r>
        <w:rPr>
          <w:rFonts w:ascii="Calibri" w:cs="Calibri" w:eastAsia="Calibri" w:hAnsi="Calibri"/>
          <w:color w:val="1A1A1A"/>
          <w:sz w:val="20"/>
          <w:szCs w:val="20"/>
        </w:rPr>
        <w:t xml:space="preserve"> (loi Bayrou) — </w:t>
      </w:r>
      <w:r>
        <w:rPr>
          <w:rFonts w:ascii="Calibri" w:cs="Calibri" w:eastAsia="Calibri" w:hAnsi="Calibri"/>
          <w:b/>
          <w:bCs/>
          <w:color w:val="1A1A1A"/>
          <w:sz w:val="20"/>
          <w:szCs w:val="20"/>
        </w:rPr>
        <w:t xml:space="preserve">1995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CIJ, Timor oriental</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Chahal</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Amuur c.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Koné</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1998</w:t>
      </w:r>
      <w:r>
        <w:rPr>
          <w:rFonts w:ascii="Calibri" w:cs="Calibri" w:eastAsia="Calibri" w:hAnsi="Calibri"/>
          <w:color w:val="1A1A1A"/>
          <w:sz w:val="20"/>
          <w:szCs w:val="20"/>
        </w:rPr>
        <w:t xml:space="preserve"> accord de Nouméa ; </w:t>
      </w:r>
      <w:r>
        <w:rPr>
          <w:rFonts w:ascii="Calibri" w:cs="Calibri" w:eastAsia="Calibri" w:hAnsi="Calibri"/>
          <w:color w:val="E91E63"/>
          <w:sz w:val="20"/>
          <w:szCs w:val="20"/>
        </w:rPr>
        <w:t xml:space="preserve">Cour suprême du Canada, Renvoi Québec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Matthews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99-412 DC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organique du 19 mars</w:t>
      </w:r>
      <w:r>
        <w:rPr>
          <w:rFonts w:ascii="Calibri" w:cs="Calibri" w:eastAsia="Calibri" w:hAnsi="Calibri"/>
          <w:color w:val="1A1A1A"/>
          <w:sz w:val="20"/>
          <w:szCs w:val="20"/>
        </w:rPr>
        <w:t xml:space="preserve"> (Nouvelle-Calédonie).</w:t>
      </w:r>
    </w:p>
    <w:p>
      <w:pPr>
        <w:pStyle w:val="ListParagraph"/>
        <w:numPr>
          <w:ilvl w:val="0"/>
          <w:numId w:val="2"/>
        </w:numPr>
        <w:spacing w:after="70" w:line="264"/>
        <w:jc w:val="both"/>
      </w:pPr>
      <w:r>
        <w:rPr>
          <w:rFonts w:ascii="Calibri" w:cs="Calibri" w:eastAsia="Calibri" w:hAnsi="Calibri"/>
          <w:b/>
          <w:bCs/>
          <w:color w:val="1A1A1A"/>
          <w:sz w:val="20"/>
          <w:szCs w:val="20"/>
        </w:rPr>
        <w:t xml:space="preserve">2001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Deperthes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Grzelczyk</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Boultif</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Selim Sadak</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Čonka</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Comité DH, Gillot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2003-484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CIJ, avis sur le Mur</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directive 2004/38</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Py c.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Hirst (n° 2)</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Mamatkulov</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Üner</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Ždanoka</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Gebremedhin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Parti nationaliste basque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Folgerø</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Saadi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Maslov</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Sejdić et Finci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2009-591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CIJ, Kosovo</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Al-Saadoon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Alajos Kiss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O’Donoghue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2010-6/7 QPC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2010-13 QPC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Melki</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Paksas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M.S.S.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Ruiz Zambrano</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2011-631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Hirsi Jamaa</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Scoppola (n° 3)</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De Souza Ribeiro</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2012-279 QPC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2013-667 DC</w:t>
      </w:r>
      <w:r>
        <w:rPr>
          <w:rFonts w:ascii="Calibri" w:cs="Calibri" w:eastAsia="Calibri" w:hAnsi="Calibri"/>
          <w:color w:val="1A1A1A"/>
          <w:sz w:val="20"/>
          <w:szCs w:val="20"/>
        </w:rPr>
        <w:t xml:space="preserve"> ; Polynésie réinscrite sur la liste des territoires non autonomes.</w:t>
      </w:r>
    </w:p>
    <w:p>
      <w:pPr>
        <w:pStyle w:val="ListParagraph"/>
        <w:numPr>
          <w:ilvl w:val="0"/>
          <w:numId w:val="2"/>
        </w:numPr>
        <w:spacing w:after="70" w:line="264"/>
        <w:jc w:val="both"/>
      </w:pPr>
      <w:r>
        <w:rPr>
          <w:rFonts w:ascii="Calibri" w:cs="Calibri" w:eastAsia="Calibri" w:hAnsi="Calibri"/>
          <w:b/>
          <w:bCs/>
          <w:color w:val="1A1A1A"/>
          <w:sz w:val="20"/>
          <w:szCs w:val="20"/>
        </w:rPr>
        <w:t xml:space="preserve">2014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Trabelsi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Dano</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2015-490 QPC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2015-527 QPC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Paposhvili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A.B. c.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Aranyosi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1re civ., 9 novembre</w:t>
      </w:r>
      <w:r>
        <w:rPr>
          <w:rFonts w:ascii="Calibri" w:cs="Calibri" w:eastAsia="Calibri" w:hAnsi="Calibri"/>
          <w:color w:val="1A1A1A"/>
          <w:sz w:val="20"/>
          <w:szCs w:val="20"/>
        </w:rPr>
        <w:t xml:space="preserve"> (contrôles au faciès) — </w:t>
      </w:r>
      <w:r>
        <w:rPr>
          <w:rFonts w:ascii="Calibri" w:cs="Calibri" w:eastAsia="Calibri" w:hAnsi="Calibri"/>
          <w:b/>
          <w:bCs/>
          <w:color w:val="1A1A1A"/>
          <w:sz w:val="20"/>
          <w:szCs w:val="20"/>
        </w:rPr>
        <w:t xml:space="preserve">2017</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SILT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De Tommaso</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Garib</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2016-606/607 QPC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M.A. c.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2017-691 QPC</w:t>
      </w:r>
      <w:r>
        <w:rPr>
          <w:rFonts w:ascii="Calibri" w:cs="Calibri" w:eastAsia="Calibri" w:hAnsi="Calibri"/>
          <w:color w:val="1A1A1A"/>
          <w:sz w:val="20"/>
          <w:szCs w:val="20"/>
        </w:rPr>
        <w:t xml:space="preserve"> ; référendum calédonien (4 novembre) ; </w:t>
      </w:r>
      <w:r>
        <w:rPr>
          <w:rFonts w:ascii="Calibri" w:cs="Calibri" w:eastAsia="Calibri" w:hAnsi="Calibri"/>
          <w:color w:val="1E88E5"/>
          <w:sz w:val="20"/>
          <w:szCs w:val="20"/>
        </w:rPr>
        <w:t xml:space="preserve">loi Gatel</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CIJ, Chagos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2019-809 QPC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26 juillet</w:t>
      </w:r>
      <w:r>
        <w:rPr>
          <w:rFonts w:ascii="Calibri" w:cs="Calibri" w:eastAsia="Calibri" w:hAnsi="Calibri"/>
          <w:color w:val="1A1A1A"/>
          <w:sz w:val="20"/>
          <w:szCs w:val="20"/>
        </w:rPr>
        <w:t xml:space="preserve"> (instruction à 3 ans) ; </w:t>
      </w:r>
      <w:r>
        <w:rPr>
          <w:rFonts w:ascii="Calibri" w:cs="Calibri" w:eastAsia="Calibri" w:hAnsi="Calibri"/>
          <w:color w:val="1E88E5"/>
          <w:sz w:val="20"/>
          <w:szCs w:val="20"/>
        </w:rPr>
        <w:t xml:space="preserve">loi du 23 mars</w:t>
      </w:r>
      <w:r>
        <w:rPr>
          <w:rFonts w:ascii="Calibri" w:cs="Calibri" w:eastAsia="Calibri" w:hAnsi="Calibri"/>
          <w:color w:val="1A1A1A"/>
          <w:sz w:val="20"/>
          <w:szCs w:val="20"/>
        </w:rPr>
        <w:t xml:space="preserve"> (vote des majeurs protégés) — </w:t>
      </w:r>
      <w:r>
        <w:rPr>
          <w:rFonts w:ascii="Calibri" w:cs="Calibri" w:eastAsia="Calibri" w:hAnsi="Calibri"/>
          <w:b/>
          <w:bCs/>
          <w:color w:val="1A1A1A"/>
          <w:sz w:val="20"/>
          <w:szCs w:val="20"/>
        </w:rPr>
        <w:t xml:space="preserve">2020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2020-800 DC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2020-849 QPC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Mugemangango</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N.D. et N.T.</w:t>
      </w:r>
      <w:r>
        <w:rPr>
          <w:rFonts w:ascii="Calibri" w:cs="Calibri" w:eastAsia="Calibri" w:hAnsi="Calibri"/>
          <w:color w:val="1A1A1A"/>
          <w:sz w:val="20"/>
          <w:szCs w:val="20"/>
        </w:rPr>
        <w:t xml:space="preserve"> ; référendum calédonien (4 octobre) — </w:t>
      </w:r>
      <w:r>
        <w:rPr>
          <w:rFonts w:ascii="Calibri" w:cs="Calibri" w:eastAsia="Calibri" w:hAnsi="Calibri"/>
          <w:b/>
          <w:bCs/>
          <w:color w:val="1A1A1A"/>
          <w:sz w:val="20"/>
          <w:szCs w:val="20"/>
        </w:rPr>
        <w:t xml:space="preserve">2021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2021-818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2021-823 DC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2021-824 DC</w:t>
      </w:r>
      <w:r>
        <w:rPr>
          <w:rFonts w:ascii="Calibri" w:cs="Calibri" w:eastAsia="Calibri" w:hAnsi="Calibri"/>
          <w:color w:val="1A1A1A"/>
          <w:sz w:val="20"/>
          <w:szCs w:val="20"/>
        </w:rPr>
        <w:t xml:space="preserve"> ; référendum calédonien (12 décembre) — </w:t>
      </w:r>
      <w:r>
        <w:rPr>
          <w:rFonts w:ascii="Calibri" w:cs="Calibri" w:eastAsia="Calibri" w:hAnsi="Calibri"/>
          <w:b/>
          <w:bCs/>
          <w:color w:val="1A1A1A"/>
          <w:sz w:val="20"/>
          <w:szCs w:val="20"/>
        </w:rPr>
        <w:t xml:space="preserve">2022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H.F. c.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NW</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18 novembre</w:t>
      </w:r>
      <w:r>
        <w:rPr>
          <w:rFonts w:ascii="Calibri" w:cs="Calibri" w:eastAsia="Calibri" w:hAnsi="Calibri"/>
          <w:color w:val="1A1A1A"/>
          <w:sz w:val="20"/>
          <w:szCs w:val="20"/>
        </w:rPr>
        <w:t xml:space="preserve"> (perpétuité incompressible).</w:t>
      </w:r>
    </w:p>
    <w:p>
      <w:pPr>
        <w:pStyle w:val="ListParagraph"/>
        <w:numPr>
          <w:ilvl w:val="0"/>
          <w:numId w:val="2"/>
        </w:numPr>
        <w:spacing w:after="70" w:line="264"/>
        <w:jc w:val="both"/>
      </w:pPr>
      <w:r>
        <w:rPr>
          <w:rFonts w:ascii="Calibri" w:cs="Calibri" w:eastAsia="Calibri" w:hAnsi="Calibri"/>
          <w:b/>
          <w:bCs/>
          <w:color w:val="1A1A1A"/>
          <w:sz w:val="20"/>
          <w:szCs w:val="20"/>
        </w:rPr>
        <w:t xml:space="preserve">2023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11 octobre, Amnesty</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26 janvier</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Cons. const., 2023-863 DC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règlement (UE) 2024/1717</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Pacte sur la migration et l’asile</w:t>
      </w:r>
      <w:r>
        <w:rPr>
          <w:rFonts w:ascii="Calibri" w:cs="Calibri" w:eastAsia="Calibri" w:hAnsi="Calibri"/>
          <w:color w:val="1A1A1A"/>
          <w:sz w:val="20"/>
          <w:szCs w:val="20"/>
        </w:rPr>
        <w:t xml:space="preserve"> ; émeutes en Nouvelle-Calédonie ; </w:t>
      </w:r>
      <w:r>
        <w:rPr>
          <w:rFonts w:ascii="Calibri" w:cs="Calibri" w:eastAsia="Calibri" w:hAnsi="Calibri"/>
          <w:color w:val="E91E63"/>
          <w:sz w:val="20"/>
          <w:szCs w:val="20"/>
        </w:rPr>
        <w:t xml:space="preserve">CIJ, avis du 19 juillet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Front Polisario</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CAA Marseille, 19 novembre</w:t>
      </w:r>
      <w:r>
        <w:rPr>
          <w:rFonts w:ascii="Calibri" w:cs="Calibri" w:eastAsia="Calibri" w:hAnsi="Calibri"/>
          <w:color w:val="1A1A1A"/>
          <w:sz w:val="20"/>
          <w:szCs w:val="20"/>
        </w:rPr>
        <w:t xml:space="preserve"> (langue corse) — </w:t>
      </w:r>
      <w:r>
        <w:rPr>
          <w:rFonts w:ascii="Calibri" w:cs="Calibri" w:eastAsia="Calibri" w:hAnsi="Calibri"/>
          <w:b/>
          <w:bCs/>
          <w:color w:val="1A1A1A"/>
          <w:sz w:val="20"/>
          <w:szCs w:val="20"/>
        </w:rPr>
        <w:t xml:space="preserve">2025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7 mars</w:t>
      </w:r>
      <w:r>
        <w:rPr>
          <w:rFonts w:ascii="Calibri" w:cs="Calibri" w:eastAsia="Calibri" w:hAnsi="Calibri"/>
          <w:color w:val="1A1A1A"/>
          <w:sz w:val="20"/>
          <w:szCs w:val="20"/>
        </w:rPr>
        <w:t xml:space="preserve"> (frontières intérieures) ; </w:t>
      </w:r>
      <w:r>
        <w:rPr>
          <w:rFonts w:ascii="Calibri" w:cs="Calibri" w:eastAsia="Calibri" w:hAnsi="Calibri"/>
          <w:color w:val="E91E63"/>
          <w:sz w:val="20"/>
          <w:szCs w:val="20"/>
        </w:rPr>
        <w:t xml:space="preserve">CE, 10 mars</w:t>
      </w:r>
      <w:r>
        <w:rPr>
          <w:rFonts w:ascii="Calibri" w:cs="Calibri" w:eastAsia="Calibri" w:hAnsi="Calibri"/>
          <w:color w:val="1A1A1A"/>
          <w:sz w:val="20"/>
          <w:szCs w:val="20"/>
        </w:rPr>
        <w:t xml:space="preserve"> (extradition et enfant) ; </w:t>
      </w:r>
      <w:r>
        <w:rPr>
          <w:rFonts w:ascii="Calibri" w:cs="Calibri" w:eastAsia="Calibri" w:hAnsi="Calibri"/>
          <w:color w:val="E91E63"/>
          <w:sz w:val="20"/>
          <w:szCs w:val="20"/>
        </w:rPr>
        <w:t xml:space="preserve">Cons. const., 2025-1129 QPC</w:t>
      </w:r>
      <w:r>
        <w:rPr>
          <w:rFonts w:ascii="Calibri" w:cs="Calibri" w:eastAsia="Calibri" w:hAnsi="Calibri"/>
          <w:color w:val="1A1A1A"/>
          <w:sz w:val="20"/>
          <w:szCs w:val="20"/>
        </w:rPr>
        <w:t xml:space="preserve"> ; condamnation d’une candidate à l’inéligibilité avec exécution provisoire (31 mars) ; </w:t>
      </w:r>
      <w:r>
        <w:rPr>
          <w:rFonts w:ascii="Calibri" w:cs="Calibri" w:eastAsia="Calibri" w:hAnsi="Calibri"/>
          <w:color w:val="E91E63"/>
          <w:sz w:val="20"/>
          <w:szCs w:val="20"/>
        </w:rPr>
        <w:t xml:space="preserve">CE, 1er avril</w:t>
      </w:r>
      <w:r>
        <w:rPr>
          <w:rFonts w:ascii="Calibri" w:cs="Calibri" w:eastAsia="Calibri" w:hAnsi="Calibri"/>
          <w:color w:val="1A1A1A"/>
          <w:sz w:val="20"/>
          <w:szCs w:val="20"/>
        </w:rPr>
        <w:t xml:space="preserve"> (TikTok) ; </w:t>
      </w:r>
      <w:r>
        <w:rPr>
          <w:rFonts w:ascii="Calibri" w:cs="Calibri" w:eastAsia="Calibri" w:hAnsi="Calibri"/>
          <w:color w:val="E91E63"/>
          <w:sz w:val="20"/>
          <w:szCs w:val="20"/>
        </w:rPr>
        <w:t xml:space="preserve">Cons. const., 2025-883 DC</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loi du 21 mai</w:t>
      </w:r>
      <w:r>
        <w:rPr>
          <w:rFonts w:ascii="Calibri" w:cs="Calibri" w:eastAsia="Calibri" w:hAnsi="Calibri"/>
          <w:color w:val="1A1A1A"/>
          <w:sz w:val="20"/>
          <w:szCs w:val="20"/>
        </w:rPr>
        <w:t xml:space="preserve"> (scrutin municipal paritaire) ; </w:t>
      </w:r>
      <w:r>
        <w:rPr>
          <w:rFonts w:ascii="Calibri" w:cs="Calibri" w:eastAsia="Calibri" w:hAnsi="Calibri"/>
          <w:color w:val="E91E63"/>
          <w:sz w:val="20"/>
          <w:szCs w:val="20"/>
        </w:rPr>
        <w:t xml:space="preserve">CEDH, Seydi et Cimpaka Kapeta</w:t>
      </w:r>
      <w:r>
        <w:rPr>
          <w:rFonts w:ascii="Calibri" w:cs="Calibri" w:eastAsia="Calibri" w:hAnsi="Calibri"/>
          <w:color w:val="1A1A1A"/>
          <w:sz w:val="20"/>
          <w:szCs w:val="20"/>
        </w:rPr>
        <w:t xml:space="preserve"> (26 juin) ; </w:t>
      </w:r>
      <w:r>
        <w:rPr>
          <w:rFonts w:ascii="Calibri" w:cs="Calibri" w:eastAsia="Calibri" w:hAnsi="Calibri"/>
          <w:color w:val="E91E63"/>
          <w:sz w:val="20"/>
          <w:szCs w:val="20"/>
        </w:rPr>
        <w:t xml:space="preserve">Cons. const., 2025-1145 QPC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Tomenko</w:t>
      </w:r>
      <w:r>
        <w:rPr>
          <w:rFonts w:ascii="Calibri" w:cs="Calibri" w:eastAsia="Calibri" w:hAnsi="Calibri"/>
          <w:color w:val="1A1A1A"/>
          <w:sz w:val="20"/>
          <w:szCs w:val="20"/>
        </w:rPr>
        <w:t xml:space="preserve"> ; accord de Bougival (12 juillet) ; censure de l’allongement de la rétention (7 août) ; </w:t>
      </w:r>
      <w:r>
        <w:rPr>
          <w:rFonts w:ascii="Calibri" w:cs="Calibri" w:eastAsia="Calibri" w:hAnsi="Calibri"/>
          <w:color w:val="E91E63"/>
          <w:sz w:val="20"/>
          <w:szCs w:val="20"/>
        </w:rPr>
        <w:t xml:space="preserve">CJUE, Adrar</w:t>
      </w:r>
      <w:r>
        <w:rPr>
          <w:rFonts w:ascii="Calibri" w:cs="Calibri" w:eastAsia="Calibri" w:hAnsi="Calibri"/>
          <w:color w:val="1A1A1A"/>
          <w:sz w:val="20"/>
          <w:szCs w:val="20"/>
        </w:rPr>
        <w:t xml:space="preserve"> ; reconnaissance de la Palestine par la France (22 septembre) ; </w:t>
      </w:r>
      <w:r>
        <w:rPr>
          <w:rFonts w:ascii="Calibri" w:cs="Calibri" w:eastAsia="Calibri" w:hAnsi="Calibri"/>
          <w:color w:val="E91E63"/>
          <w:sz w:val="20"/>
          <w:szCs w:val="20"/>
        </w:rPr>
        <w:t xml:space="preserve">CE, ord., L’Arrosoir</w:t>
      </w:r>
      <w:r>
        <w:rPr>
          <w:rFonts w:ascii="Calibri" w:cs="Calibri" w:eastAsia="Calibri" w:hAnsi="Calibri"/>
          <w:color w:val="1A1A1A"/>
          <w:sz w:val="20"/>
          <w:szCs w:val="20"/>
        </w:rPr>
        <w:t xml:space="preserve"> (21 novembre).</w:t>
      </w:r>
    </w:p>
    <w:p>
      <w:pPr>
        <w:pStyle w:val="ListParagraph"/>
        <w:numPr>
          <w:ilvl w:val="0"/>
          <w:numId w:val="2"/>
        </w:numPr>
        <w:spacing w:after="70" w:line="264"/>
        <w:jc w:val="both"/>
      </w:pPr>
      <w:r>
        <w:rPr>
          <w:rFonts w:ascii="Calibri" w:cs="Calibri" w:eastAsia="Calibri" w:hAnsi="Calibri"/>
          <w:b/>
          <w:bCs/>
          <w:color w:val="1A1A1A"/>
          <w:sz w:val="20"/>
          <w:szCs w:val="20"/>
        </w:rPr>
        <w:t xml:space="preserve">2026</w:t>
      </w:r>
      <w:r>
        <w:rPr>
          <w:rFonts w:ascii="Calibri" w:cs="Calibri" w:eastAsia="Calibri" w:hAnsi="Calibri"/>
          <w:color w:val="1A1A1A"/>
          <w:sz w:val="20"/>
          <w:szCs w:val="20"/>
        </w:rPr>
        <w:t xml:space="preserve"> accord Élysée-Oudinot (19 janvier) ; municipales au scrutin de liste paritaire (mars) ; </w:t>
      </w:r>
      <w:r>
        <w:rPr>
          <w:rFonts w:ascii="Calibri" w:cs="Calibri" w:eastAsia="Calibri" w:hAnsi="Calibri"/>
          <w:color w:val="E91E63"/>
          <w:sz w:val="20"/>
          <w:szCs w:val="20"/>
        </w:rPr>
        <w:t xml:space="preserve">CE, ord., 3 avril</w:t>
      </w:r>
      <w:r>
        <w:rPr>
          <w:rFonts w:ascii="Calibri" w:cs="Calibri" w:eastAsia="Calibri" w:hAnsi="Calibri"/>
          <w:color w:val="1A1A1A"/>
          <w:sz w:val="20"/>
          <w:szCs w:val="20"/>
        </w:rPr>
        <w:t xml:space="preserve"> (supporters) ; rejet du projet de loi constitutionnelle calédonien par l’Assemblée (2 avril) ; projet de loi sur l’enseignement supérieur privé adopté par le Sénat (1er juin) ; </w:t>
      </w:r>
      <w:r>
        <w:rPr>
          <w:rFonts w:ascii="Calibri" w:cs="Calibri" w:eastAsia="Calibri" w:hAnsi="Calibri"/>
          <w:color w:val="E91E63"/>
          <w:sz w:val="20"/>
          <w:szCs w:val="20"/>
        </w:rPr>
        <w:t xml:space="preserve">CE, 9 juin</w:t>
      </w:r>
      <w:r>
        <w:rPr>
          <w:rFonts w:ascii="Calibri" w:cs="Calibri" w:eastAsia="Calibri" w:hAnsi="Calibri"/>
          <w:color w:val="1A1A1A"/>
          <w:sz w:val="20"/>
          <w:szCs w:val="20"/>
        </w:rPr>
        <w:t xml:space="preserve"> (expulsion et violences intrafamiliales) ; Pacte migration et asile applicable (juin) ; projet de loi constitutionnelle Corse adopté par l’Assemblée (23 juin) ; provinciales calédoniennes (28 juin) ; abrogation du droit local alsacien sur le recrutement des enseignants (1er juillet) ; arrêt de la cour d’appel de Paris sur l’inéligibilité (7 juillet) ; décision du Conseil constitutionnel du 23 juillet et </w:t>
      </w:r>
      <w:r>
        <w:rPr>
          <w:rFonts w:ascii="Calibri" w:cs="Calibri" w:eastAsia="Calibri" w:hAnsi="Calibri"/>
          <w:color w:val="1E88E5"/>
          <w:sz w:val="20"/>
          <w:szCs w:val="20"/>
        </w:rPr>
        <w:t xml:space="preserve">loi du 27 juillet</w:t>
      </w:r>
      <w:r>
        <w:rPr>
          <w:rFonts w:ascii="Calibri" w:cs="Calibri" w:eastAsia="Calibri" w:hAnsi="Calibri"/>
          <w:color w:val="1A1A1A"/>
          <w:sz w:val="20"/>
          <w:szCs w:val="20"/>
        </w:rPr>
        <w:t xml:space="preserve"> (rétention, MICAS).</w:t>
      </w:r>
    </w:p>
    <w:p>
      <w:pPr>
        <w:pStyle w:val="Heading2"/>
        <w:spacing w:after="120" w:before="280"/>
      </w:pPr>
      <w:r>
        <w:rPr>
          <w:rFonts w:ascii="Calibri" w:cs="Calibri" w:eastAsia="Calibri" w:hAnsi="Calibri"/>
          <w:b/>
          <w:bCs/>
          <w:color w:val="1A1A1A"/>
          <w:sz w:val="24"/>
          <w:szCs w:val="24"/>
        </w:rPr>
        <w:t xml:space="preserve">II. Ajouts à l’index transversal</w:t>
      </w:r>
    </w:p>
    <w:p>
      <w:pPr>
        <w:pStyle w:val="ListParagraph"/>
        <w:numPr>
          <w:ilvl w:val="0"/>
          <w:numId w:val="2"/>
        </w:numPr>
        <w:spacing w:after="70" w:line="264"/>
        <w:jc w:val="both"/>
      </w:pPr>
      <w:r>
        <w:rPr>
          <w:rFonts w:ascii="Calibri" w:cs="Calibri" w:eastAsia="Calibri" w:hAnsi="Calibri"/>
          <w:b/>
          <w:bCs/>
          <w:color w:val="1A1A1A"/>
          <w:sz w:val="20"/>
          <w:szCs w:val="20"/>
        </w:rPr>
        <w:t xml:space="preserve">Restriction / privation de liberté</w:t>
      </w:r>
      <w:r>
        <w:rPr>
          <w:rFonts w:ascii="Calibri" w:cs="Calibri" w:eastAsia="Calibri" w:hAnsi="Calibri"/>
          <w:color w:val="1A1A1A"/>
          <w:sz w:val="20"/>
          <w:szCs w:val="20"/>
        </w:rPr>
        <w:t xml:space="preserve"> → fiches 30 (</w:t>
      </w:r>
      <w:r>
        <w:rPr>
          <w:rFonts w:ascii="Calibri" w:cs="Calibri" w:eastAsia="Calibri" w:hAnsi="Calibri"/>
          <w:color w:val="1E88E5"/>
          <w:sz w:val="20"/>
          <w:szCs w:val="20"/>
        </w:rPr>
        <w:t xml:space="preserve">art. 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Guzzardi</w:t>
      </w:r>
      <w:r>
        <w:rPr>
          <w:rFonts w:ascii="Calibri" w:cs="Calibri" w:eastAsia="Calibri" w:hAnsi="Calibri"/>
          <w:color w:val="1A1A1A"/>
          <w:sz w:val="20"/>
          <w:szCs w:val="20"/>
        </w:rPr>
        <w:t xml:space="preserve">), 40 (seuil des douze heures, MICAS, </w:t>
      </w:r>
      <w:r>
        <w:rPr>
          <w:rFonts w:ascii="Calibri" w:cs="Calibri" w:eastAsia="Calibri" w:hAnsi="Calibri"/>
          <w:color w:val="E91E63"/>
          <w:sz w:val="20"/>
          <w:szCs w:val="20"/>
        </w:rPr>
        <w:t xml:space="preserve">2020-800 DC</w:t>
      </w:r>
      <w:r>
        <w:rPr>
          <w:rFonts w:ascii="Calibri" w:cs="Calibri" w:eastAsia="Calibri" w:hAnsi="Calibri"/>
          <w:color w:val="1A1A1A"/>
          <w:sz w:val="20"/>
          <w:szCs w:val="20"/>
        </w:rPr>
        <w:t xml:space="preserve">), 43 (rétention administrative, </w:t>
      </w:r>
      <w:r>
        <w:rPr>
          <w:rFonts w:ascii="Calibri" w:cs="Calibri" w:eastAsia="Calibri" w:hAnsi="Calibri"/>
          <w:color w:val="1E88E5"/>
          <w:sz w:val="20"/>
          <w:szCs w:val="20"/>
        </w:rPr>
        <w:t xml:space="preserve">art. 66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Contrôles d’identité</w:t>
      </w:r>
      <w:r>
        <w:rPr>
          <w:rFonts w:ascii="Calibri" w:cs="Calibri" w:eastAsia="Calibri" w:hAnsi="Calibri"/>
          <w:color w:val="1A1A1A"/>
          <w:sz w:val="20"/>
          <w:szCs w:val="20"/>
        </w:rPr>
        <w:t xml:space="preserve"> → fiches 33 (vie privée), 40 (</w:t>
      </w:r>
      <w:r>
        <w:rPr>
          <w:rFonts w:ascii="Calibri" w:cs="Calibri" w:eastAsia="Calibri" w:hAnsi="Calibri"/>
          <w:color w:val="E91E63"/>
          <w:sz w:val="20"/>
          <w:szCs w:val="20"/>
        </w:rPr>
        <w:t xml:space="preserve">93-323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2016-606/607 QPC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Seydi</w:t>
      </w:r>
      <w:r>
        <w:rPr>
          <w:rFonts w:ascii="Calibri" w:cs="Calibri" w:eastAsia="Calibri" w:hAnsi="Calibri"/>
          <w:color w:val="1A1A1A"/>
          <w:sz w:val="20"/>
          <w:szCs w:val="20"/>
        </w:rPr>
        <w:t xml:space="preserve">), 54 (discrimination).</w:t>
      </w:r>
    </w:p>
    <w:p>
      <w:pPr>
        <w:pStyle w:val="ListParagraph"/>
        <w:numPr>
          <w:ilvl w:val="0"/>
          <w:numId w:val="2"/>
        </w:numPr>
        <w:spacing w:after="70" w:line="264"/>
        <w:jc w:val="both"/>
      </w:pPr>
      <w:r>
        <w:rPr>
          <w:rFonts w:ascii="Calibri" w:cs="Calibri" w:eastAsia="Calibri" w:hAnsi="Calibri"/>
          <w:b/>
          <w:bCs/>
          <w:color w:val="1A1A1A"/>
          <w:sz w:val="20"/>
          <w:szCs w:val="20"/>
        </w:rPr>
        <w:t xml:space="preserve">Étrangers (statut constitutionnel)</w:t>
      </w:r>
      <w:r>
        <w:rPr>
          <w:rFonts w:ascii="Calibri" w:cs="Calibri" w:eastAsia="Calibri" w:hAnsi="Calibri"/>
          <w:color w:val="1A1A1A"/>
          <w:sz w:val="20"/>
          <w:szCs w:val="20"/>
        </w:rPr>
        <w:t xml:space="preserve"> → fiches 34 (vie familiale, regroupement), 40 (circulation), 42 (vote des citoyens de l’Union), 43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éloignement), 53 (asile).</w:t>
      </w:r>
    </w:p>
    <w:p>
      <w:pPr>
        <w:pStyle w:val="ListParagraph"/>
        <w:numPr>
          <w:ilvl w:val="0"/>
          <w:numId w:val="2"/>
        </w:numPr>
        <w:spacing w:after="70" w:line="264"/>
        <w:jc w:val="both"/>
      </w:pPr>
      <w:r>
        <w:rPr>
          <w:rFonts w:ascii="Calibri" w:cs="Calibri" w:eastAsia="Calibri" w:hAnsi="Calibri"/>
          <w:b/>
          <w:bCs/>
          <w:color w:val="1A1A1A"/>
          <w:sz w:val="20"/>
          <w:szCs w:val="20"/>
        </w:rPr>
        <w:t xml:space="preserve">Non-refoulement et protection par ricochet</w:t>
      </w:r>
      <w:r>
        <w:rPr>
          <w:rFonts w:ascii="Calibri" w:cs="Calibri" w:eastAsia="Calibri" w:hAnsi="Calibri"/>
          <w:color w:val="1A1A1A"/>
          <w:sz w:val="20"/>
          <w:szCs w:val="20"/>
        </w:rPr>
        <w:t xml:space="preserve"> → fiches 28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43 (</w:t>
      </w:r>
      <w:r>
        <w:rPr>
          <w:rFonts w:ascii="Calibri" w:cs="Calibri" w:eastAsia="Calibri" w:hAnsi="Calibri"/>
          <w:color w:val="E91E63"/>
          <w:sz w:val="20"/>
          <w:szCs w:val="20"/>
        </w:rPr>
        <w:t xml:space="preserve">Soering</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Saadi</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Paposhvili</w:t>
      </w:r>
      <w:r>
        <w:rPr>
          <w:rFonts w:ascii="Calibri" w:cs="Calibri" w:eastAsia="Calibri" w:hAnsi="Calibri"/>
          <w:color w:val="1A1A1A"/>
          <w:sz w:val="20"/>
          <w:szCs w:val="20"/>
        </w:rPr>
        <w:t xml:space="preserve">), 53 (asile, </w:t>
      </w:r>
      <w:r>
        <w:rPr>
          <w:rFonts w:ascii="Calibri" w:cs="Calibri" w:eastAsia="Calibri" w:hAnsi="Calibri"/>
          <w:color w:val="1E88E5"/>
          <w:sz w:val="20"/>
          <w:szCs w:val="20"/>
        </w:rPr>
        <w:t xml:space="preserve">Convention de Genève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Enseignement et instruction</w:t>
      </w:r>
      <w:r>
        <w:rPr>
          <w:rFonts w:ascii="Calibri" w:cs="Calibri" w:eastAsia="Calibri" w:hAnsi="Calibri"/>
          <w:color w:val="1A1A1A"/>
          <w:sz w:val="20"/>
          <w:szCs w:val="20"/>
        </w:rPr>
        <w:t xml:space="preserve"> → fiches 36 (laïcité, signes religieux), 41 (liberté de l’enseignement, </w:t>
      </w:r>
      <w:r>
        <w:rPr>
          <w:rFonts w:ascii="Calibri" w:cs="Calibri" w:eastAsia="Calibri" w:hAnsi="Calibri"/>
          <w:color w:val="E91E63"/>
          <w:sz w:val="20"/>
          <w:szCs w:val="20"/>
        </w:rPr>
        <w:t xml:space="preserve">77-87 DC</w:t>
      </w:r>
      <w:r>
        <w:rPr>
          <w:rFonts w:ascii="Calibri" w:cs="Calibri" w:eastAsia="Calibri" w:hAnsi="Calibri"/>
          <w:color w:val="1A1A1A"/>
          <w:sz w:val="20"/>
          <w:szCs w:val="20"/>
        </w:rPr>
        <w:t xml:space="preserve">), 47 (droit à l’éducation, </w:t>
      </w:r>
      <w:r>
        <w:rPr>
          <w:rFonts w:ascii="Calibri" w:cs="Calibri" w:eastAsia="Calibri" w:hAnsi="Calibri"/>
          <w:color w:val="1E88E5"/>
          <w:sz w:val="20"/>
          <w:szCs w:val="20"/>
        </w:rPr>
        <w:t xml:space="preserve">al. 13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Indépendance des professeurs / libertés académiques</w:t>
      </w:r>
      <w:r>
        <w:rPr>
          <w:rFonts w:ascii="Calibri" w:cs="Calibri" w:eastAsia="Calibri" w:hAnsi="Calibri"/>
          <w:color w:val="1A1A1A"/>
          <w:sz w:val="20"/>
          <w:szCs w:val="20"/>
        </w:rPr>
        <w:t xml:space="preserve"> → fiches 9 (PFRLR), 37 (liberté d’expression), 41 (</w:t>
      </w:r>
      <w:r>
        <w:rPr>
          <w:rFonts w:ascii="Calibri" w:cs="Calibri" w:eastAsia="Calibri" w:hAnsi="Calibri"/>
          <w:color w:val="E91E63"/>
          <w:sz w:val="20"/>
          <w:szCs w:val="20"/>
        </w:rPr>
        <w:t xml:space="preserve">83-165 DC</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13 CDFUE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Élections et suffrage</w:t>
      </w:r>
      <w:r>
        <w:rPr>
          <w:rFonts w:ascii="Calibri" w:cs="Calibri" w:eastAsia="Calibri" w:hAnsi="Calibri"/>
          <w:color w:val="1A1A1A"/>
          <w:sz w:val="20"/>
          <w:szCs w:val="20"/>
        </w:rPr>
        <w:t xml:space="preserve"> → fiches 16 (contentieux électoral du Conseil constitutionnel), 39 (partis), 42 (</w:t>
      </w:r>
      <w:r>
        <w:rPr>
          <w:rFonts w:ascii="Calibri" w:cs="Calibri" w:eastAsia="Calibri" w:hAnsi="Calibri"/>
          <w:color w:val="1E88E5"/>
          <w:sz w:val="20"/>
          <w:szCs w:val="20"/>
        </w:rPr>
        <w:t xml:space="preserve">art. 3 Prot. 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Hirst</w:t>
      </w:r>
      <w:r>
        <w:rPr>
          <w:rFonts w:ascii="Calibri" w:cs="Calibri" w:eastAsia="Calibri" w:hAnsi="Calibri"/>
          <w:color w:val="1A1A1A"/>
          <w:sz w:val="20"/>
          <w:szCs w:val="20"/>
        </w:rPr>
        <w:t xml:space="preserve">, inéligibilité), 44 (corps électoral calédonien).</w:t>
      </w:r>
    </w:p>
    <w:p>
      <w:pPr>
        <w:pStyle w:val="ListParagraph"/>
        <w:numPr>
          <w:ilvl w:val="0"/>
          <w:numId w:val="2"/>
        </w:numPr>
        <w:spacing w:after="70" w:line="264"/>
        <w:jc w:val="both"/>
      </w:pPr>
      <w:r>
        <w:rPr>
          <w:rFonts w:ascii="Calibri" w:cs="Calibri" w:eastAsia="Calibri" w:hAnsi="Calibri"/>
          <w:b/>
          <w:bCs/>
          <w:color w:val="1A1A1A"/>
          <w:sz w:val="20"/>
          <w:szCs w:val="20"/>
        </w:rPr>
        <w:t xml:space="preserve">Peuple et indivisibilité</w:t>
      </w:r>
      <w:r>
        <w:rPr>
          <w:rFonts w:ascii="Calibri" w:cs="Calibri" w:eastAsia="Calibri" w:hAnsi="Calibri"/>
          <w:color w:val="1A1A1A"/>
          <w:sz w:val="20"/>
          <w:szCs w:val="20"/>
        </w:rPr>
        <w:t xml:space="preserve"> → fiches 9 (sources constitutionnelles), 42 (souveraineté), 44 (</w:t>
      </w:r>
      <w:r>
        <w:rPr>
          <w:rFonts w:ascii="Calibri" w:cs="Calibri" w:eastAsia="Calibri" w:hAnsi="Calibri"/>
          <w:color w:val="E91E63"/>
          <w:sz w:val="20"/>
          <w:szCs w:val="20"/>
        </w:rPr>
        <w:t xml:space="preserve">91-290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99-412 DC</w:t>
      </w:r>
      <w:r>
        <w:rPr>
          <w:rFonts w:ascii="Calibri" w:cs="Calibri" w:eastAsia="Calibri" w:hAnsi="Calibri"/>
          <w:color w:val="1A1A1A"/>
          <w:sz w:val="20"/>
          <w:szCs w:val="20"/>
        </w:rPr>
        <w:t xml:space="preserve">, Nouvelle-Calédonie, Corse).</w:t>
      </w:r>
    </w:p>
    <w:p>
      <w:pPr>
        <w:pStyle w:val="ListParagraph"/>
        <w:numPr>
          <w:ilvl w:val="0"/>
          <w:numId w:val="2"/>
        </w:numPr>
        <w:spacing w:after="70" w:line="264"/>
        <w:jc w:val="both"/>
      </w:pPr>
      <w:r>
        <w:rPr>
          <w:rFonts w:ascii="Calibri" w:cs="Calibri" w:eastAsia="Calibri" w:hAnsi="Calibri"/>
          <w:b/>
          <w:bCs/>
          <w:color w:val="1A1A1A"/>
          <w:sz w:val="20"/>
          <w:szCs w:val="20"/>
        </w:rPr>
        <w:t xml:space="preserve">Mesures antiterroristes</w:t>
      </w:r>
      <w:r>
        <w:rPr>
          <w:rFonts w:ascii="Calibri" w:cs="Calibri" w:eastAsia="Calibri" w:hAnsi="Calibri"/>
          <w:color w:val="1A1A1A"/>
          <w:sz w:val="20"/>
          <w:szCs w:val="20"/>
        </w:rPr>
        <w:t xml:space="preserve"> → fiches 7 (état d’urgence, SILT), 36 (fermeture de lieux de culte), 39 (dissolution), 40 (IST, MICAS, périmètres), 43 (éloignement des terroristes).</w:t>
      </w:r>
    </w:p>
    <w:p>
      <w:pPr>
        <w:pStyle w:val="ListParagraph"/>
        <w:numPr>
          <w:ilvl w:val="0"/>
          <w:numId w:val="2"/>
        </w:numPr>
        <w:spacing w:after="70" w:line="264"/>
        <w:jc w:val="both"/>
      </w:pPr>
      <w:r>
        <w:rPr>
          <w:rFonts w:ascii="Calibri" w:cs="Calibri" w:eastAsia="Calibri" w:hAnsi="Calibri"/>
          <w:b/>
          <w:bCs/>
          <w:color w:val="1A1A1A"/>
          <w:sz w:val="20"/>
          <w:szCs w:val="20"/>
        </w:rPr>
        <w:t xml:space="preserve">Citoyenneté européenne</w:t>
      </w:r>
      <w:r>
        <w:rPr>
          <w:rFonts w:ascii="Calibri" w:cs="Calibri" w:eastAsia="Calibri" w:hAnsi="Calibri"/>
          <w:color w:val="1A1A1A"/>
          <w:sz w:val="20"/>
          <w:szCs w:val="20"/>
        </w:rPr>
        <w:t xml:space="preserve"> → fiches 15 (droit de l’Union), 40 (</w:t>
      </w:r>
      <w:r>
        <w:rPr>
          <w:rFonts w:ascii="Calibri" w:cs="Calibri" w:eastAsia="Calibri" w:hAnsi="Calibri"/>
          <w:color w:val="1E88E5"/>
          <w:sz w:val="20"/>
          <w:szCs w:val="20"/>
        </w:rPr>
        <w:t xml:space="preserve">art. 21 TFUE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Grzelczyk</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Dano</w:t>
      </w:r>
      <w:r>
        <w:rPr>
          <w:rFonts w:ascii="Calibri" w:cs="Calibri" w:eastAsia="Calibri" w:hAnsi="Calibri"/>
          <w:color w:val="1A1A1A"/>
          <w:sz w:val="20"/>
          <w:szCs w:val="20"/>
        </w:rPr>
        <w:t xml:space="preserve">), 42 (vote aux municipales et européennes).</w:t>
      </w:r>
    </w:p>
    <w:sectPr>
      <w:footerReference w:type="default" r:id="rId7"/>
      <w:pgSz w:w="11906" w:h="16838" w:orient="portrait"/>
      <w:pgMar w:top="1020"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Grand Oral CRFPA — Libertés publiques et droits fondamentaux — Partie VI-E   |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lvl w:ilvl="2" w15:tentative="1">
      <w:start w:val="1"/>
      <w:numFmt w:val="bullet"/>
      <w:lvlText w:val="·"/>
      <w:lvlJc w:val="left"/>
      <w:pPr>
        <w:ind w:left="10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VI-E</dc:title>
  <dc:creator>Simon</dc:creator>
  <dc:description>Fiches de révision n° 40 à 44</dc:description>
  <cp:lastModifiedBy>Un-named</cp:lastModifiedBy>
  <cp:revision>1</cp:revision>
  <dcterms:created xsi:type="dcterms:W3CDTF">2026-10-04T16:04:17.202Z</dcterms:created>
  <dcterms:modified xsi:type="dcterms:W3CDTF">2026-10-04T16:04:17.212Z</dcterms:modified>
</cp:coreProperties>
</file>

<file path=docProps/custom.xml><?xml version="1.0" encoding="utf-8"?>
<Properties xmlns="http://schemas.openxmlformats.org/officeDocument/2006/custom-properties" xmlns:vt="http://schemas.openxmlformats.org/officeDocument/2006/docPropsVTypes"/>
</file>