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34"/>
          <w:szCs w:val="34"/>
        </w:rPr>
        <w:t xml:space="preserve">FICHE 26 — LE DROIT À LA VIE</w:t>
      </w:r>
    </w:p>
    <w:p>
      <w:pPr>
        <w:pBdr>
          <w:bottom w:val="single" w:color="1F3864" w:sz="12" w:space="6"/>
        </w:pBdr>
        <w:spacing w:after="300"/>
      </w:pPr>
      <w:r>
        <w:rPr>
          <w:i/>
          <w:iCs/>
          <w:color w:val="595959"/>
          <w:sz w:val="18"/>
          <w:szCs w:val="18"/>
        </w:rPr>
        <w:t xml:space="preserve">Source unique : Objectif Barreau, Libertés publiques et droits fondamentaux 2026, fiche n° 26, p. 256 à 266.</w:t>
      </w:r>
    </w:p>
    <w:p>
      <w:pPr>
        <w:pBdr>
          <w:left w:val="single" w:color="1F3864" w:sz="18" w:space="8"/>
        </w:pBdr>
        <w:shd w:fill="F4F6FB" w:val="clear"/>
        <w:spacing w:after="140" w:before="140"/>
        <w:ind w:left="160" w:right="120"/>
        <w:jc w:val="both"/>
      </w:pPr>
      <w:r>
        <w:rPr>
          <w:b/>
          <w:bCs/>
          <w:color w:val="1F3864"/>
          <w:sz w:val="20"/>
          <w:szCs w:val="20"/>
        </w:rPr>
        <w:t xml:space="preserve">Points clés du fascicule. </w:t>
      </w:r>
      <w:r>
        <w:rPr>
          <w:sz w:val="20"/>
          <w:szCs w:val="20"/>
        </w:rPr>
        <w:t xml:space="preserve">Valeur suprême et droit indérogeable · début et fin de vie · interdiction de porter atteinte à la vie · peine de mort · opération de puissance publique · situation de conflit armé · obligations positives · effet horizontal · obligations procédurales.</w:t>
      </w:r>
    </w:p>
    <w:p>
      <w:pPr>
        <w:shd w:fill="EEF1F8" w:val="clear"/>
        <w:spacing w:after="140" w:before="320"/>
      </w:pPr>
      <w:r>
        <w:rPr>
          <w:b/>
          <w:bCs/>
          <w:color w:val="FFFFFF"/>
          <w:sz w:val="24"/>
          <w:szCs w:val="24"/>
          <w:shd w:fill="1F3864" w:val="clear"/>
        </w:rPr>
        <w:t xml:space="preserve">  1  </w:t>
      </w:r>
      <w:r>
        <w:rPr>
          <w:b/>
          <w:bCs/>
          <w:caps/>
          <w:color w:val="1F3864"/>
          <w:sz w:val="24"/>
          <w:szCs w:val="24"/>
        </w:rPr>
        <w:t xml:space="preserve">  Identité juridique</w:t>
      </w:r>
    </w:p>
    <w:p>
      <w:pPr>
        <w:spacing w:after="90"/>
        <w:jc w:val="both"/>
      </w:pPr>
      <w:r>
        <w:rPr>
          <w:sz w:val="20"/>
          <w:szCs w:val="20"/>
        </w:rPr>
        <w:t xml:space="preserve">La protection de la vie est une des valeurs fondamentales des sociétés démocratiques. Elle « constitue un attribut inaliénable de la personne humaine » et se place en valeur absolue dans l’échelle des droits de l’homme. Le Comité des droits de l’Homme qualifie le droit à la vie de « droit suprême » de l’être humain. C’est la condition essentielle de l’exercice de tous les autres droits humains.</w:t>
      </w:r>
    </w:p>
    <w:p>
      <w:pPr>
        <w:spacing w:after="70"/>
        <w:ind w:left="340" w:hanging="200"/>
        <w:jc w:val="both"/>
      </w:pPr>
      <w:r>
        <w:rPr>
          <w:b/>
          <w:bCs/>
          <w:color w:val="1F3864"/>
          <w:sz w:val="20"/>
          <w:szCs w:val="20"/>
        </w:rPr>
        <w:t xml:space="preserve">→ </w:t>
      </w:r>
      <w:r>
        <w:rPr>
          <w:b/>
          <w:bCs/>
          <w:sz w:val="20"/>
          <w:szCs w:val="20"/>
        </w:rPr>
        <w:t xml:space="preserve">CEDH [GC], 22 mars 2001, Streletz, Kessler et Krenz c. Allemagne, n° 34044/96</w:t>
      </w:r>
      <w:r>
        <w:rPr>
          <w:sz w:val="20"/>
          <w:szCs w:val="20"/>
        </w:rPr>
        <w:t xml:space="preserve"> — le droit à la vie est une valeur suprême.</w:t>
      </w:r>
    </w:p>
    <w:p>
      <w:pPr>
        <w:spacing w:after="70"/>
        <w:ind w:left="340" w:hanging="200"/>
        <w:jc w:val="both"/>
      </w:pPr>
      <w:r>
        <w:rPr>
          <w:b/>
          <w:bCs/>
          <w:color w:val="1F3864"/>
          <w:sz w:val="20"/>
          <w:szCs w:val="20"/>
        </w:rPr>
        <w:t xml:space="preserve">→ </w:t>
      </w:r>
      <w:r>
        <w:rPr>
          <w:b/>
          <w:bCs/>
          <w:sz w:val="20"/>
          <w:szCs w:val="20"/>
        </w:rPr>
        <w:t xml:space="preserve">CDH, 4 avril 1985, Baboeram c. Suriname, n° 146/1983, A/40/40</w:t>
      </w:r>
      <w:r>
        <w:rPr>
          <w:sz w:val="20"/>
          <w:szCs w:val="20"/>
        </w:rPr>
        <w:t xml:space="preserve"> — droit suprême.</w:t>
      </w:r>
    </w:p>
    <w:p>
      <w:pPr>
        <w:spacing w:after="70"/>
        <w:ind w:left="340" w:hanging="200"/>
        <w:jc w:val="both"/>
      </w:pPr>
      <w:r>
        <w:rPr>
          <w:b/>
          <w:bCs/>
          <w:color w:val="1F3864"/>
          <w:sz w:val="20"/>
          <w:szCs w:val="20"/>
        </w:rPr>
        <w:t xml:space="preserve">→ </w:t>
      </w:r>
      <w:r>
        <w:rPr>
          <w:b/>
          <w:bCs/>
          <w:sz w:val="20"/>
          <w:szCs w:val="20"/>
        </w:rPr>
        <w:t xml:space="preserve">CDH, Observation générale n° 36 sur l’article 6 du PIDCP, 3 septembre 2019</w:t>
      </w:r>
    </w:p>
    <w:p>
      <w:pPr>
        <w:spacing w:after="80" w:before="200"/>
      </w:pPr>
      <w:r>
        <w:rPr>
          <w:b/>
          <w:bCs/>
          <w:color w:val="1F3864"/>
          <w:sz w:val="21"/>
          <w:szCs w:val="21"/>
        </w:rPr>
        <w:t xml:space="preserve">Les trois qualifications à poser d’entrée</w:t>
      </w:r>
    </w:p>
    <w:p>
      <w:pPr>
        <w:pStyle w:val="ListParagraph"/>
        <w:numPr>
          <w:ilvl w:val="0"/>
          <w:numId w:val="2"/>
        </w:numPr>
        <w:spacing w:after="70"/>
        <w:jc w:val="both"/>
      </w:pPr>
      <w:r>
        <w:rPr>
          <w:sz w:val="20"/>
          <w:szCs w:val="20"/>
        </w:rPr>
        <w:t xml:space="preserve">Droit-liberté assorti d’obligations positives. L’État doit s’abstenir d’infliger la mort (obligation négative), mais aussi protéger activement la vie (obligations positives) et enquêter (obligations procédurales). Les trois étages se cumulent.</w:t>
      </w:r>
    </w:p>
    <w:p>
      <w:pPr>
        <w:pStyle w:val="ListParagraph"/>
        <w:numPr>
          <w:ilvl w:val="0"/>
          <w:numId w:val="2"/>
        </w:numPr>
        <w:spacing w:after="70"/>
        <w:jc w:val="both"/>
      </w:pPr>
      <w:r>
        <w:rPr>
          <w:sz w:val="20"/>
          <w:szCs w:val="20"/>
        </w:rPr>
        <w:t xml:space="preserve">Droit indérogeable, au sens où il ne peut faire l’objet de dérogation en temps de troubles internes ou de crises politiques (hors du jeu de l’article 15 CEDH).</w:t>
      </w:r>
    </w:p>
    <w:p>
      <w:pPr>
        <w:pStyle w:val="ListParagraph"/>
        <w:numPr>
          <w:ilvl w:val="0"/>
          <w:numId w:val="2"/>
        </w:numPr>
        <w:spacing w:after="70"/>
        <w:jc w:val="both"/>
      </w:pPr>
      <w:r>
        <w:rPr>
          <w:sz w:val="20"/>
          <w:szCs w:val="20"/>
        </w:rPr>
        <w:t xml:space="preserve">Mais droit NON absolu. L’article 2-2 de la Convention formule des exceptions précises. Le droit à la vie doit s’articuler avec les nécessités inhérentes à la vie en société démocratique.</w:t>
      </w:r>
    </w:p>
    <w:p>
      <w:pPr>
        <w:spacing w:after="70"/>
        <w:ind w:left="340" w:hanging="200"/>
        <w:jc w:val="both"/>
      </w:pPr>
      <w:r>
        <w:rPr>
          <w:b/>
          <w:bCs/>
          <w:color w:val="1F3864"/>
          <w:sz w:val="20"/>
          <w:szCs w:val="20"/>
        </w:rPr>
        <w:t xml:space="preserve">→ </w:t>
      </w:r>
      <w:r>
        <w:rPr>
          <w:b/>
          <w:bCs/>
          <w:sz w:val="20"/>
          <w:szCs w:val="20"/>
        </w:rPr>
        <w:t xml:space="preserve">CEDH, 17 septembre 1995, McCann c. Royaume-Uni, n° 18984/91</w:t>
      </w:r>
    </w:p>
    <w:p>
      <w:pPr>
        <w:pBdr>
          <w:left w:val="single" w:color="8B1A1A" w:sz="18" w:space="8"/>
        </w:pBdr>
        <w:shd w:fill="FDF2F2" w:val="clear"/>
        <w:spacing w:after="140" w:before="140"/>
        <w:ind w:left="160" w:right="120"/>
        <w:jc w:val="both"/>
      </w:pPr>
      <w:r>
        <w:rPr>
          <w:color w:val="4A1010"/>
          <w:sz w:val="20"/>
          <w:szCs w:val="20"/>
        </w:rPr>
        <w:t xml:space="preserve">Le décalage interne / européen est la première richesse de la fiche. La Constitution française ne consacre PAS un droit suprême à la vie, contrairement à d’autres constitutions d’États européens : il est protégé plus spécifiquement au niveau législatif. Le Conseil constitutionnel consacre la dignité de la personne humaine, dont le droit à la vie n’est qu’une application, un corollaire. Les juridictions internes ont en revanche consacré son caractère fondamental au sens de l’article L. 521-2 du Code de justice administrative (CE, ord., 13 août 2013, Commune de St Leu, n° 370902). Ce décalage fournit à lui seul une problématique.</w:t>
      </w:r>
    </w:p>
    <w:p>
      <w:pPr>
        <w:shd w:fill="EEF1F8" w:val="clear"/>
        <w:spacing w:after="140" w:before="320"/>
      </w:pPr>
      <w:r>
        <w:rPr>
          <w:b/>
          <w:bCs/>
          <w:color w:val="FFFFFF"/>
          <w:sz w:val="24"/>
          <w:szCs w:val="24"/>
          <w:shd w:fill="1F3864" w:val="clear"/>
        </w:rPr>
        <w:t xml:space="preserve">  2  </w:t>
      </w:r>
      <w:r>
        <w:rPr>
          <w:b/>
          <w:bCs/>
          <w:caps/>
          <w:color w:val="1F3864"/>
          <w:sz w:val="24"/>
          <w:szCs w:val="24"/>
        </w:rPr>
        <w:t xml:space="preserve">  Les sources, en escalier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shd w:fill="1F3864" w:val="clear"/>
            <w:tcMar>
              <w:top w:type="dxa" w:w="80"/>
              <w:left w:type="dxa" w:w="120"/>
              <w:bottom w:type="dxa" w:w="80"/>
              <w:right w:type="dxa" w:w="120"/>
            </w:tcMar>
          </w:tcPr>
          <w:p>
            <w:r>
              <w:rPr>
                <w:b/>
                <w:bCs/>
                <w:color w:val="FFFFFF"/>
                <w:sz w:val="19"/>
                <w:szCs w:val="19"/>
              </w:rPr>
              <w:t xml:space="preserve">Niveau</w:t>
            </w:r>
          </w:p>
        </w:tc>
        <w:tc>
          <w:tcPr>
            <w:tcW w:type="dxa" w:w="7060"/>
            <w:shd w:fill="1F3864" w:val="clear"/>
            <w:tcMar>
              <w:top w:type="dxa" w:w="80"/>
              <w:left w:type="dxa" w:w="120"/>
              <w:bottom w:type="dxa" w:w="80"/>
              <w:right w:type="dxa" w:w="120"/>
            </w:tcMar>
          </w:tcPr>
          <w:p>
            <w:pPr>
              <w:jc w:val="both"/>
            </w:pPr>
            <w:r>
              <w:rPr>
                <w:b/>
                <w:bCs/>
                <w:color w:val="FFFFFF"/>
                <w:sz w:val="19"/>
                <w:szCs w:val="19"/>
              </w:rPr>
              <w:t xml:space="preserve">Textes</w:t>
            </w:r>
          </w:p>
        </w:tc>
      </w:tr>
      <w:tr>
        <w:tc>
          <w:tcPr>
            <w:tcW w:type="dxa" w:w="2300"/>
            <w:shd w:fill="F4F6FB" w:val="clear"/>
            <w:tcMar>
              <w:top w:type="dxa" w:w="80"/>
              <w:left w:type="dxa" w:w="120"/>
              <w:bottom w:type="dxa" w:w="80"/>
              <w:right w:type="dxa" w:w="120"/>
            </w:tcMar>
          </w:tcPr>
          <w:p>
            <w:r>
              <w:rPr>
                <w:b/>
                <w:bCs/>
                <w:color w:val="1F3864"/>
                <w:sz w:val="19"/>
                <w:szCs w:val="19"/>
              </w:rPr>
              <w:t xml:space="preserve">Constitutionnel</w:t>
            </w:r>
          </w:p>
        </w:tc>
        <w:tc>
          <w:tcPr>
            <w:tcW w:type="dxa" w:w="7060"/>
            <w:shd w:fill="FFFFFF" w:val="clear"/>
            <w:tcMar>
              <w:top w:type="dxa" w:w="80"/>
              <w:left w:type="dxa" w:w="120"/>
              <w:bottom w:type="dxa" w:w="80"/>
              <w:right w:type="dxa" w:w="120"/>
            </w:tcMar>
          </w:tcPr>
          <w:p>
            <w:pPr>
              <w:jc w:val="both"/>
            </w:pPr>
            <w:r>
              <w:rPr>
                <w:b w:val="false"/>
                <w:bCs w:val="false"/>
                <w:color w:val="000000"/>
                <w:sz w:val="19"/>
                <w:szCs w:val="19"/>
              </w:rPr>
              <w:t xml:space="preserve">Aucune consécration autonome d’un droit suprême à la vie. Article 66-1 de la Constitution : « nul ne peut être condamné à la peine de mort » (révision consécutive à la décision n° 2005-524/525 DC). Rattachement au principe de sauvegarde de la dignité de la personne humaine. Article 53-2 : Cour pénale internationale.</w:t>
            </w:r>
          </w:p>
        </w:tc>
      </w:tr>
      <w:tr>
        <w:tc>
          <w:tcPr>
            <w:tcW w:type="dxa" w:w="2300"/>
            <w:shd w:fill="F4F6FB" w:val="clear"/>
            <w:tcMar>
              <w:top w:type="dxa" w:w="80"/>
              <w:left w:type="dxa" w:w="120"/>
              <w:bottom w:type="dxa" w:w="80"/>
              <w:right w:type="dxa" w:w="120"/>
            </w:tcMar>
          </w:tcPr>
          <w:p>
            <w:r>
              <w:rPr>
                <w:b/>
                <w:bCs/>
                <w:color w:val="1F3864"/>
                <w:sz w:val="19"/>
                <w:szCs w:val="19"/>
              </w:rPr>
              <w:t xml:space="preserve">Conventionnel</w:t>
            </w:r>
          </w:p>
        </w:tc>
        <w:tc>
          <w:tcPr>
            <w:tcW w:type="dxa" w:w="7060"/>
            <w:shd w:fill="FFFFFF" w:val="clear"/>
            <w:tcMar>
              <w:top w:type="dxa" w:w="80"/>
              <w:left w:type="dxa" w:w="120"/>
              <w:bottom w:type="dxa" w:w="80"/>
              <w:right w:type="dxa" w:w="120"/>
            </w:tcMar>
          </w:tcPr>
          <w:p>
            <w:pPr>
              <w:jc w:val="both"/>
            </w:pPr>
            <w:r>
              <w:rPr>
                <w:b w:val="false"/>
                <w:bCs w:val="false"/>
                <w:color w:val="000000"/>
                <w:sz w:val="19"/>
                <w:szCs w:val="19"/>
              </w:rPr>
              <w:t xml:space="preserve">Article 2 CEDH (et article 2-2 pour les exceptions) ; Protocole additionnel n° 6 du 28 avril 1983 (peine de mort limitée au temps de conflit armé) ; Protocole additionnel n° 13 du 3 mai 2002 (abolition totale — seul l’Azerbaïdjan ne l’a pas ratifié). Article 2 de la Charte des droits fondamentaux de l’Union européenne.</w:t>
            </w:r>
          </w:p>
        </w:tc>
      </w:tr>
      <w:tr>
        <w:tc>
          <w:tcPr>
            <w:tcW w:type="dxa" w:w="2300"/>
            <w:shd w:fill="F4F6FB" w:val="clear"/>
            <w:tcMar>
              <w:top w:type="dxa" w:w="80"/>
              <w:left w:type="dxa" w:w="120"/>
              <w:bottom w:type="dxa" w:w="80"/>
              <w:right w:type="dxa" w:w="120"/>
            </w:tcMar>
          </w:tcPr>
          <w:p>
            <w:r>
              <w:rPr>
                <w:b/>
                <w:bCs/>
                <w:color w:val="1F3864"/>
                <w:sz w:val="19"/>
                <w:szCs w:val="19"/>
              </w:rPr>
              <w:t xml:space="preserve">Onusien</w:t>
            </w:r>
          </w:p>
        </w:tc>
        <w:tc>
          <w:tcPr>
            <w:tcW w:type="dxa" w:w="7060"/>
            <w:shd w:fill="FFFFFF" w:val="clear"/>
            <w:tcMar>
              <w:top w:type="dxa" w:w="80"/>
              <w:left w:type="dxa" w:w="120"/>
              <w:bottom w:type="dxa" w:w="80"/>
              <w:right w:type="dxa" w:w="120"/>
            </w:tcMar>
          </w:tcPr>
          <w:p>
            <w:pPr>
              <w:jc w:val="both"/>
            </w:pPr>
            <w:r>
              <w:rPr>
                <w:b w:val="false"/>
                <w:bCs w:val="false"/>
                <w:color w:val="000000"/>
                <w:sz w:val="19"/>
                <w:szCs w:val="19"/>
              </w:rPr>
              <w:t xml:space="preserve">Article 3 de la Déclaration universelle des droits de l’homme. Article 6-1 du PIDCP, et deuxième Protocole facultatif du 15 décembre 1989, ratifié par la France en 2007. Article 6 de la Convention internationale relative aux droits de l’enfant, et son article 6-2 (droit à la survie et au développement de l’enfant).</w:t>
            </w:r>
          </w:p>
        </w:tc>
      </w:tr>
      <w:tr>
        <w:tc>
          <w:tcPr>
            <w:tcW w:type="dxa" w:w="2300"/>
            <w:shd w:fill="F4F6FB" w:val="clear"/>
            <w:tcMar>
              <w:top w:type="dxa" w:w="80"/>
              <w:left w:type="dxa" w:w="120"/>
              <w:bottom w:type="dxa" w:w="80"/>
              <w:right w:type="dxa" w:w="120"/>
            </w:tcMar>
          </w:tcPr>
          <w:p>
            <w:r>
              <w:rPr>
                <w:b/>
                <w:bCs/>
                <w:color w:val="1F3864"/>
                <w:sz w:val="19"/>
                <w:szCs w:val="19"/>
              </w:rPr>
              <w:t xml:space="preserve">Législatif et réglementaire</w:t>
            </w:r>
          </w:p>
        </w:tc>
        <w:tc>
          <w:tcPr>
            <w:tcW w:type="dxa" w:w="7060"/>
            <w:shd w:fill="FFFFFF" w:val="clear"/>
            <w:tcMar>
              <w:top w:type="dxa" w:w="80"/>
              <w:left w:type="dxa" w:w="120"/>
              <w:bottom w:type="dxa" w:w="80"/>
              <w:right w:type="dxa" w:w="120"/>
            </w:tcMar>
          </w:tcPr>
          <w:p>
            <w:pPr>
              <w:jc w:val="both"/>
            </w:pPr>
            <w:r>
              <w:rPr>
                <w:b w:val="false"/>
                <w:bCs w:val="false"/>
                <w:color w:val="000000"/>
                <w:sz w:val="19"/>
                <w:szCs w:val="19"/>
              </w:rPr>
              <w:t xml:space="preserve">Loi du 9 octobre 1981 (abolition de la peine de mort, initiative de Robert Badinter). Article L. 435-1 du Code de la sécurité intérieure (usage des armes). Article 122-5 du Code pénal (légitime défense). Loi « Leonetti » du 22 avril 2005 puis loi « Claeys-Leonetti » n° 2016-87 du 2 février 2016. Articles L. 1110-5 et L. 1110-5-1 du Code de la santé publique ; article R. 4127-38 du même code. Articles 461-1 et suivants du Code pénal (crimes de guerre). Articles D4122-8 et D4122-9 du Code de la défense.</w:t>
            </w:r>
          </w:p>
        </w:tc>
      </w:tr>
      <w:tr>
        <w:tc>
          <w:tcPr>
            <w:tcW w:type="dxa" w:w="2300"/>
            <w:shd w:fill="F4F6FB" w:val="clear"/>
            <w:tcMar>
              <w:top w:type="dxa" w:w="80"/>
              <w:left w:type="dxa" w:w="120"/>
              <w:bottom w:type="dxa" w:w="80"/>
              <w:right w:type="dxa" w:w="120"/>
            </w:tcMar>
          </w:tcPr>
          <w:p>
            <w:r>
              <w:rPr>
                <w:b/>
                <w:bCs/>
                <w:color w:val="1F3864"/>
                <w:sz w:val="19"/>
                <w:szCs w:val="19"/>
              </w:rPr>
              <w:t xml:space="preserve">Procédural</w:t>
            </w:r>
          </w:p>
        </w:tc>
        <w:tc>
          <w:tcPr>
            <w:tcW w:type="dxa" w:w="7060"/>
            <w:shd w:fill="FFFFFF" w:val="clear"/>
            <w:tcMar>
              <w:top w:type="dxa" w:w="80"/>
              <w:left w:type="dxa" w:w="120"/>
              <w:bottom w:type="dxa" w:w="80"/>
              <w:right w:type="dxa" w:w="120"/>
            </w:tcMar>
          </w:tcPr>
          <w:p>
            <w:pPr>
              <w:jc w:val="both"/>
            </w:pPr>
            <w:r>
              <w:rPr>
                <w:b w:val="false"/>
                <w:bCs w:val="false"/>
                <w:color w:val="000000"/>
                <w:sz w:val="19"/>
                <w:szCs w:val="19"/>
              </w:rPr>
              <w:t xml:space="preserve">Article L. 521-2 du Code de justice administrative (référé-liberté).</w:t>
            </w:r>
          </w:p>
        </w:tc>
      </w:tr>
    </w:tbl>
    <w:p>
      <w:pPr>
        <w:shd w:fill="EEF1F8" w:val="clear"/>
        <w:spacing w:after="140" w:before="320"/>
      </w:pPr>
      <w:r>
        <w:rPr>
          <w:b/>
          <w:bCs/>
          <w:color w:val="FFFFFF"/>
          <w:sz w:val="24"/>
          <w:szCs w:val="24"/>
          <w:shd w:fill="1F3864" w:val="clear"/>
        </w:rPr>
        <w:t xml:space="preserve">  3  </w:t>
      </w:r>
      <w:r>
        <w:rPr>
          <w:b/>
          <w:bCs/>
          <w:caps/>
          <w:color w:val="1F3864"/>
          <w:sz w:val="24"/>
          <w:szCs w:val="24"/>
        </w:rPr>
        <w:t xml:space="preserve">  Titulaires et champ d’application</w:t>
      </w:r>
    </w:p>
    <w:p>
      <w:pPr>
        <w:spacing w:after="80" w:before="200"/>
      </w:pPr>
      <w:r>
        <w:rPr>
          <w:b/>
          <w:bCs/>
          <w:color w:val="1F3864"/>
          <w:sz w:val="21"/>
          <w:szCs w:val="21"/>
        </w:rPr>
        <w:t xml:space="preserve">Le point de départ de la protection</w:t>
      </w:r>
    </w:p>
    <w:p>
      <w:pPr>
        <w:spacing w:after="90"/>
        <w:jc w:val="both"/>
      </w:pPr>
      <w:r>
        <w:rPr>
          <w:sz w:val="20"/>
          <w:szCs w:val="20"/>
        </w:rPr>
        <w:t xml:space="preserve">La Convention européenne ne précise pas de début de la protection. Outre-Atlantique, l’article 4 de la Convention américaine la fait courir « in general, from the moment of conception », mais la Cour interaméricaine apprécie souplement cette disposition : l’embryon n’est pas une personne au sens de l’article 4, et la protection n’est que graduelle et progressive à partir de l’implantation dans l’utérus, sans constituer une obligation absolue et inconditionnelle.</w:t>
      </w:r>
    </w:p>
    <w:p>
      <w:pPr>
        <w:spacing w:after="70"/>
        <w:ind w:left="340" w:hanging="200"/>
        <w:jc w:val="both"/>
      </w:pPr>
      <w:r>
        <w:rPr>
          <w:b/>
          <w:bCs/>
          <w:color w:val="1F3864"/>
          <w:sz w:val="20"/>
          <w:szCs w:val="20"/>
        </w:rPr>
        <w:t xml:space="preserve">→ </w:t>
      </w:r>
      <w:r>
        <w:rPr>
          <w:b/>
          <w:bCs/>
          <w:sz w:val="20"/>
          <w:szCs w:val="20"/>
        </w:rPr>
        <w:t xml:space="preserve">CIDH, 28 novembre 2012, Artavia Murillo et autres (Fécondation in vitro) c. Costa Rica, série C n° 257</w:t>
      </w:r>
    </w:p>
    <w:p>
      <w:pPr>
        <w:spacing w:after="90"/>
        <w:jc w:val="both"/>
      </w:pPr>
      <w:r>
        <w:rPr>
          <w:sz w:val="20"/>
          <w:szCs w:val="20"/>
        </w:rPr>
        <w:t xml:space="preserve">En Europe, l’interruption volontaire de grossesse n’est pas réputée porter atteinte au droit à la vie. L’État dispose d’une marge d’appréciation sur la détermination du début de la vie, et l’embryon ne peut se prévaloir du droit à la vie.</w:t>
      </w:r>
    </w:p>
    <w:p>
      <w:pPr>
        <w:spacing w:after="70"/>
        <w:ind w:left="340" w:hanging="200"/>
        <w:jc w:val="both"/>
      </w:pPr>
      <w:r>
        <w:rPr>
          <w:b/>
          <w:bCs/>
          <w:color w:val="1F3864"/>
          <w:sz w:val="20"/>
          <w:szCs w:val="20"/>
        </w:rPr>
        <w:t xml:space="preserve">→ </w:t>
      </w:r>
      <w:r>
        <w:rPr>
          <w:b/>
          <w:bCs/>
          <w:sz w:val="20"/>
          <w:szCs w:val="20"/>
        </w:rPr>
        <w:t xml:space="preserve">CEDH [GC], 8 juillet 2004, Vo c. France, n° 53924/00</w:t>
      </w:r>
    </w:p>
    <w:p>
      <w:pPr>
        <w:spacing w:after="70"/>
        <w:ind w:left="340" w:hanging="200"/>
        <w:jc w:val="both"/>
      </w:pPr>
      <w:r>
        <w:rPr>
          <w:b/>
          <w:bCs/>
          <w:color w:val="1F3864"/>
          <w:sz w:val="20"/>
          <w:szCs w:val="20"/>
        </w:rPr>
        <w:t xml:space="preserve">→ </w:t>
      </w:r>
      <w:r>
        <w:rPr>
          <w:b/>
          <w:bCs/>
          <w:sz w:val="20"/>
          <w:szCs w:val="20"/>
        </w:rPr>
        <w:t xml:space="preserve">CEDH [GC], 10 avril 2007, Evans c. Royaume-Uni, n° 6339/05</w:t>
      </w:r>
    </w:p>
    <w:p>
      <w:pPr>
        <w:spacing w:after="90"/>
        <w:jc w:val="both"/>
      </w:pPr>
      <w:r>
        <w:rPr>
          <w:sz w:val="20"/>
          <w:szCs w:val="20"/>
        </w:rPr>
        <w:t xml:space="preserve">En France, le Conseil constitutionnel a décliné la possibilité de connaître de l’allégation d’une atteinte au droit à la vie protégé par l’article 2 de la Convention dans le cas de l’IVG, en restreignant son contrôle aux seules dispositions constitutionnelles. Il a également refusé de se prononcer sur le droit à la vie des embryons, renvoyant au législateur la détermination de l’étendue de la protection.</w:t>
      </w:r>
    </w:p>
    <w:p>
      <w:pPr>
        <w:spacing w:after="70"/>
        <w:ind w:left="340" w:hanging="200"/>
        <w:jc w:val="both"/>
      </w:pPr>
      <w:r>
        <w:rPr>
          <w:b/>
          <w:bCs/>
          <w:color w:val="1F3864"/>
          <w:sz w:val="20"/>
          <w:szCs w:val="20"/>
        </w:rPr>
        <w:t xml:space="preserve">→ </w:t>
      </w:r>
      <w:r>
        <w:rPr>
          <w:b/>
          <w:bCs/>
          <w:sz w:val="20"/>
          <w:szCs w:val="20"/>
        </w:rPr>
        <w:t xml:space="preserve">Cons. const., déc. n° 74-54 DC, 15 janvier 1975, Loi relative à l’interruption volontaire de la grossesse</w:t>
      </w:r>
    </w:p>
    <w:p>
      <w:pPr>
        <w:spacing w:after="70"/>
        <w:ind w:left="340" w:hanging="200"/>
        <w:jc w:val="both"/>
      </w:pPr>
      <w:r>
        <w:rPr>
          <w:b/>
          <w:bCs/>
          <w:color w:val="1F3864"/>
          <w:sz w:val="20"/>
          <w:szCs w:val="20"/>
        </w:rPr>
        <w:t xml:space="preserve">→ </w:t>
      </w:r>
      <w:r>
        <w:rPr>
          <w:b/>
          <w:bCs/>
          <w:sz w:val="20"/>
          <w:szCs w:val="20"/>
        </w:rPr>
        <w:t xml:space="preserve">Cons. const., déc. n° 94-343/344 DC, 27 juillet 1994, Loi relative au respect du corps humain…</w:t>
      </w:r>
      <w:r>
        <w:rPr>
          <w:sz w:val="20"/>
          <w:szCs w:val="20"/>
        </w:rPr>
        <w:t xml:space="preserve"> — le droit à la vie est une application, un corollaire du principe constitutionnel de sauvegarde de la dignité de la personne humaine.</w:t>
      </w:r>
    </w:p>
    <w:p>
      <w:pPr>
        <w:spacing w:after="80" w:before="200"/>
      </w:pPr>
      <w:r>
        <w:rPr>
          <w:b/>
          <w:bCs/>
          <w:color w:val="1F3864"/>
          <w:sz w:val="21"/>
          <w:szCs w:val="21"/>
        </w:rPr>
        <w:t xml:space="preserve">L’étendue du titulaire</w:t>
      </w:r>
    </w:p>
    <w:p>
      <w:pPr>
        <w:pStyle w:val="ListParagraph"/>
        <w:numPr>
          <w:ilvl w:val="0"/>
          <w:numId w:val="2"/>
        </w:numPr>
        <w:spacing w:after="70"/>
        <w:jc w:val="both"/>
      </w:pPr>
      <w:r>
        <w:rPr>
          <w:sz w:val="20"/>
          <w:szCs w:val="20"/>
        </w:rPr>
        <w:t xml:space="preserve">Toute personne relevant de la juridiction de l’État, y compris dans un cadre extraterritorial et en situation de conflit armé.</w:t>
      </w:r>
    </w:p>
    <w:p>
      <w:pPr>
        <w:pStyle w:val="ListParagraph"/>
        <w:numPr>
          <w:ilvl w:val="0"/>
          <w:numId w:val="2"/>
        </w:numPr>
        <w:spacing w:after="70"/>
        <w:jc w:val="both"/>
      </w:pPr>
      <w:r>
        <w:rPr>
          <w:sz w:val="20"/>
          <w:szCs w:val="20"/>
        </w:rPr>
        <w:t xml:space="preserve">Effet horizontal : la protection s’étend aux atteintes commises par un particulier (voir bloc 5).</w:t>
      </w:r>
    </w:p>
    <w:p>
      <w:pPr>
        <w:pStyle w:val="ListParagraph"/>
        <w:numPr>
          <w:ilvl w:val="0"/>
          <w:numId w:val="2"/>
        </w:numPr>
        <w:spacing w:after="70"/>
        <w:jc w:val="both"/>
      </w:pPr>
      <w:r>
        <w:rPr>
          <w:sz w:val="20"/>
          <w:szCs w:val="20"/>
        </w:rPr>
        <w:t xml:space="preserve">Droit à la survie de l’enfant (art. 6-2 CIDE) : l’un des quatre principes directeurs de la Convention, consubstantiel du droit au développement. Déclaration mondiale du 18 octobre 1990 (A/45/625) ; Observation générale n° 26 du Comité des droits de l’enfant, 28 août 2023 (CRC/C/GC/26), sur le lien entre survie de l’enfant et environnement.</w:t>
      </w:r>
    </w:p>
    <w:p>
      <w:pPr>
        <w:shd w:fill="EEF1F8" w:val="clear"/>
        <w:spacing w:after="140" w:before="320"/>
      </w:pPr>
      <w:r>
        <w:rPr>
          <w:b/>
          <w:bCs/>
          <w:color w:val="FFFFFF"/>
          <w:sz w:val="24"/>
          <w:szCs w:val="24"/>
          <w:shd w:fill="1F3864" w:val="clear"/>
        </w:rPr>
        <w:t xml:space="preserve">  4  </w:t>
      </w:r>
      <w:r>
        <w:rPr>
          <w:b/>
          <w:bCs/>
          <w:caps/>
          <w:color w:val="1F3864"/>
          <w:sz w:val="24"/>
          <w:szCs w:val="24"/>
        </w:rPr>
        <w:t xml:space="preserve">  Le régime : la structure de la protection</w:t>
      </w:r>
    </w:p>
    <w:p>
      <w:pPr>
        <w:spacing w:after="90"/>
        <w:jc w:val="both"/>
      </w:pPr>
      <w:r>
        <w:rPr>
          <w:sz w:val="20"/>
          <w:szCs w:val="20"/>
        </w:rPr>
        <w:t xml:space="preserve">Le droit à la vie ne fonctionne ni par autorisation préalable ni par déclaration : il s’organise en trois étages d’obligations, qu’il faut dérouler dans cet ordre.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shd w:fill="1F3864" w:val="clear"/>
            <w:tcMar>
              <w:top w:type="dxa" w:w="80"/>
              <w:left w:type="dxa" w:w="120"/>
              <w:bottom w:type="dxa" w:w="80"/>
              <w:right w:type="dxa" w:w="120"/>
            </w:tcMar>
          </w:tcPr>
          <w:p>
            <w:r>
              <w:rPr>
                <w:b/>
                <w:bCs/>
                <w:color w:val="FFFFFF"/>
                <w:sz w:val="19"/>
                <w:szCs w:val="19"/>
              </w:rPr>
              <w:t xml:space="preserve">Étage</w:t>
            </w:r>
          </w:p>
        </w:tc>
        <w:tc>
          <w:tcPr>
            <w:tcW w:type="dxa" w:w="7060"/>
            <w:shd w:fill="1F3864" w:val="clear"/>
            <w:tcMar>
              <w:top w:type="dxa" w:w="80"/>
              <w:left w:type="dxa" w:w="120"/>
              <w:bottom w:type="dxa" w:w="80"/>
              <w:right w:type="dxa" w:w="120"/>
            </w:tcMar>
          </w:tcPr>
          <w:p>
            <w:pPr>
              <w:jc w:val="both"/>
            </w:pPr>
            <w:r>
              <w:rPr>
                <w:b/>
                <w:bCs/>
                <w:color w:val="FFFFFF"/>
                <w:sz w:val="19"/>
                <w:szCs w:val="19"/>
              </w:rPr>
              <w:t xml:space="preserve">Contenu</w:t>
            </w:r>
          </w:p>
        </w:tc>
      </w:tr>
      <w:tr>
        <w:tc>
          <w:tcPr>
            <w:tcW w:type="dxa" w:w="2300"/>
            <w:shd w:fill="F4F6FB" w:val="clear"/>
            <w:tcMar>
              <w:top w:type="dxa" w:w="80"/>
              <w:left w:type="dxa" w:w="120"/>
              <w:bottom w:type="dxa" w:w="80"/>
              <w:right w:type="dxa" w:w="120"/>
            </w:tcMar>
          </w:tcPr>
          <w:p>
            <w:r>
              <w:rPr>
                <w:b/>
                <w:bCs/>
                <w:color w:val="1F3864"/>
                <w:sz w:val="19"/>
                <w:szCs w:val="19"/>
              </w:rPr>
              <w:t xml:space="preserve">Obligation négative</w:t>
            </w:r>
          </w:p>
        </w:tc>
        <w:tc>
          <w:tcPr>
            <w:tcW w:type="dxa" w:w="7060"/>
            <w:shd w:fill="FFFFFF" w:val="clear"/>
            <w:tcMar>
              <w:top w:type="dxa" w:w="80"/>
              <w:left w:type="dxa" w:w="120"/>
              <w:bottom w:type="dxa" w:w="80"/>
              <w:right w:type="dxa" w:w="120"/>
            </w:tcMar>
          </w:tcPr>
          <w:p>
            <w:pPr>
              <w:jc w:val="both"/>
            </w:pPr>
            <w:r>
              <w:rPr>
                <w:b w:val="false"/>
                <w:bCs w:val="false"/>
                <w:color w:val="000000"/>
                <w:sz w:val="19"/>
                <w:szCs w:val="19"/>
              </w:rPr>
              <w:t xml:space="preserve">L’État a le monopole de la violence légitime, qui doit être limitée dans la mesure du possible par la protection du droit à la vie : s’abstenir d’y porter atteinte. Trois terrains : la peine de mort, les opérations de la puissance publique, le conflit armé.</w:t>
            </w:r>
          </w:p>
        </w:tc>
      </w:tr>
      <w:tr>
        <w:tc>
          <w:tcPr>
            <w:tcW w:type="dxa" w:w="2300"/>
            <w:shd w:fill="F4F6FB" w:val="clear"/>
            <w:tcMar>
              <w:top w:type="dxa" w:w="80"/>
              <w:left w:type="dxa" w:w="120"/>
              <w:bottom w:type="dxa" w:w="80"/>
              <w:right w:type="dxa" w:w="120"/>
            </w:tcMar>
          </w:tcPr>
          <w:p>
            <w:r>
              <w:rPr>
                <w:b/>
                <w:bCs/>
                <w:color w:val="1F3864"/>
                <w:sz w:val="19"/>
                <w:szCs w:val="19"/>
              </w:rPr>
              <w:t xml:space="preserve">Obligations positives</w:t>
            </w:r>
          </w:p>
        </w:tc>
        <w:tc>
          <w:tcPr>
            <w:tcW w:type="dxa" w:w="7060"/>
            <w:shd w:fill="FFFFFF" w:val="clear"/>
            <w:tcMar>
              <w:top w:type="dxa" w:w="80"/>
              <w:left w:type="dxa" w:w="120"/>
              <w:bottom w:type="dxa" w:w="80"/>
              <w:right w:type="dxa" w:w="120"/>
            </w:tcMar>
          </w:tcPr>
          <w:p>
            <w:pPr>
              <w:jc w:val="both"/>
            </w:pPr>
            <w:r>
              <w:rPr>
                <w:b w:val="false"/>
                <w:bCs w:val="false"/>
                <w:color w:val="000000"/>
                <w:sz w:val="19"/>
                <w:szCs w:val="19"/>
              </w:rPr>
              <w:t xml:space="preserve">Protéger la vie de toutes les personnes relevant de sa juridiction, y compris contre un tiers (effet horizontal) et contre les aléas (risques sanitaires, industriels, naturels).</w:t>
            </w:r>
          </w:p>
        </w:tc>
      </w:tr>
      <w:tr>
        <w:tc>
          <w:tcPr>
            <w:tcW w:type="dxa" w:w="2300"/>
            <w:shd w:fill="F4F6FB" w:val="clear"/>
            <w:tcMar>
              <w:top w:type="dxa" w:w="80"/>
              <w:left w:type="dxa" w:w="120"/>
              <w:bottom w:type="dxa" w:w="80"/>
              <w:right w:type="dxa" w:w="120"/>
            </w:tcMar>
          </w:tcPr>
          <w:p>
            <w:r>
              <w:rPr>
                <w:b/>
                <w:bCs/>
                <w:color w:val="1F3864"/>
                <w:sz w:val="19"/>
                <w:szCs w:val="19"/>
              </w:rPr>
              <w:t xml:space="preserve">Obligations procédurales</w:t>
            </w:r>
          </w:p>
        </w:tc>
        <w:tc>
          <w:tcPr>
            <w:tcW w:type="dxa" w:w="7060"/>
            <w:shd w:fill="FFFFFF" w:val="clear"/>
            <w:tcMar>
              <w:top w:type="dxa" w:w="80"/>
              <w:left w:type="dxa" w:w="120"/>
              <w:bottom w:type="dxa" w:w="80"/>
              <w:right w:type="dxa" w:w="120"/>
            </w:tcMar>
          </w:tcPr>
          <w:p>
            <w:pPr>
              <w:jc w:val="both"/>
            </w:pPr>
            <w:r>
              <w:rPr>
                <w:b w:val="false"/>
                <w:bCs w:val="false"/>
                <w:color w:val="000000"/>
                <w:sz w:val="19"/>
                <w:szCs w:val="19"/>
              </w:rPr>
              <w:t xml:space="preserve">Adopter un cadre juridique et administratif adéquat, et organiser une enquête prompte, effective et indépendante. Volet inhérent à l’article 2 et distinct des obligations procédurales ordinaires de la Convention.</w:t>
            </w:r>
          </w:p>
        </w:tc>
      </w:tr>
    </w:tbl>
    <w:p>
      <w:pPr>
        <w:shd w:fill="EEF1F8" w:val="clear"/>
        <w:spacing w:after="140" w:before="320"/>
      </w:pPr>
      <w:r>
        <w:rPr>
          <w:b/>
          <w:bCs/>
          <w:color w:val="FFFFFF"/>
          <w:sz w:val="24"/>
          <w:szCs w:val="24"/>
          <w:shd w:fill="1F3864" w:val="clear"/>
        </w:rPr>
        <w:t xml:space="preserve">  5  </w:t>
      </w:r>
      <w:r>
        <w:rPr>
          <w:b/>
          <w:bCs/>
          <w:caps/>
          <w:color w:val="1F3864"/>
          <w:sz w:val="24"/>
          <w:szCs w:val="24"/>
        </w:rPr>
        <w:t xml:space="preserve">  Les limites et le test de contrôle</w:t>
      </w:r>
    </w:p>
    <w:p>
      <w:pPr>
        <w:pBdr>
          <w:left w:val="single" w:color="1F3864" w:sz="18" w:space="8"/>
        </w:pBdr>
        <w:shd w:fill="F4F6FB" w:val="clear"/>
        <w:spacing w:after="140" w:before="140"/>
        <w:ind w:left="160" w:right="120"/>
        <w:jc w:val="both"/>
      </w:pPr>
      <w:r>
        <w:rPr>
          <w:b/>
          <w:bCs/>
          <w:color w:val="1F3864"/>
          <w:sz w:val="20"/>
          <w:szCs w:val="20"/>
        </w:rPr>
        <w:t xml:space="preserve">Le test, exactement. </w:t>
      </w:r>
      <w:r>
        <w:rPr>
          <w:sz w:val="20"/>
          <w:szCs w:val="20"/>
        </w:rPr>
        <w:t xml:space="preserve">Sur l’article 2, le standard n’est pas la proportionnalité ordinaire mais la NÉCESSITÉ ABSOLUE. L’article L. 435-1 du Code de la sécurité intérieure le formule en droit interne : absolue nécessité ET usage strictement proportionné. Plaquer un contrôle de proportionnalité générique sur l’article 2 est la faute la plus visible de la matière.</w:t>
      </w:r>
    </w:p>
    <w:p>
      <w:pPr>
        <w:spacing w:after="80" w:before="200"/>
      </w:pPr>
      <w:r>
        <w:rPr>
          <w:b/>
          <w:bCs/>
          <w:color w:val="1F3864"/>
          <w:sz w:val="21"/>
          <w:szCs w:val="21"/>
        </w:rPr>
        <w:t xml:space="preserve">5.1. La peine de mort</w:t>
      </w:r>
    </w:p>
    <w:p>
      <w:pPr>
        <w:pStyle w:val="ListParagraph"/>
        <w:numPr>
          <w:ilvl w:val="0"/>
          <w:numId w:val="2"/>
        </w:numPr>
        <w:spacing w:after="70"/>
        <w:jc w:val="both"/>
      </w:pPr>
      <w:r>
        <w:rPr>
          <w:sz w:val="20"/>
          <w:szCs w:val="20"/>
        </w:rPr>
        <w:t xml:space="preserve">L’article 6 du PIDCP est rédigé d’une manière suggérant la nécessité d’abolir, mais il n’interdit pas la pratique : il impose des limites (enfants, femmes enceintes) et des garanties procédurales. Le deuxième Protocole facultatif du 15 décembre 1989 amende l’article 6 et propose l’abolition au nom de la dignité humaine.</w:t>
      </w:r>
    </w:p>
    <w:p>
      <w:pPr>
        <w:pStyle w:val="ListParagraph"/>
        <w:numPr>
          <w:ilvl w:val="0"/>
          <w:numId w:val="2"/>
        </w:numPr>
        <w:spacing w:after="70"/>
        <w:jc w:val="both"/>
      </w:pPr>
      <w:r>
        <w:rPr>
          <w:sz w:val="20"/>
          <w:szCs w:val="20"/>
        </w:rPr>
        <w:t xml:space="preserve">L’article 2 CEDH ne considérait pas la peine capitale contraire au droit à la vie en 1950. Protocole n° 6 (1983) : limitation aux actes commis en période de conflit armé. Protocole n° 13 (2002) : abolition totale, portée par la force du consensus européen.</w:t>
      </w:r>
    </w:p>
    <w:p>
      <w:pPr>
        <w:spacing w:after="70"/>
        <w:ind w:left="340" w:hanging="200"/>
        <w:jc w:val="both"/>
      </w:pPr>
      <w:r>
        <w:rPr>
          <w:b/>
          <w:bCs/>
          <w:color w:val="1F3864"/>
          <w:sz w:val="20"/>
          <w:szCs w:val="20"/>
        </w:rPr>
        <w:t xml:space="preserve">→ </w:t>
      </w:r>
      <w:r>
        <w:rPr>
          <w:b/>
          <w:bCs/>
          <w:sz w:val="20"/>
          <w:szCs w:val="20"/>
        </w:rPr>
        <w:t xml:space="preserve">CEDH [GC], 12 mai 2005, Ocalan c. Turquie, n° 46221/99</w:t>
      </w:r>
      <w:r>
        <w:rPr>
          <w:sz w:val="20"/>
          <w:szCs w:val="20"/>
        </w:rPr>
        <w:t xml:space="preserve"> — forme de sanction désormais inacceptable.</w:t>
      </w:r>
    </w:p>
    <w:p>
      <w:pPr>
        <w:spacing w:after="70"/>
        <w:ind w:left="340" w:hanging="200"/>
        <w:jc w:val="both"/>
      </w:pPr>
      <w:r>
        <w:rPr>
          <w:b/>
          <w:bCs/>
          <w:color w:val="1F3864"/>
          <w:sz w:val="20"/>
          <w:szCs w:val="20"/>
        </w:rPr>
        <w:t xml:space="preserve">→ </w:t>
      </w:r>
      <w:r>
        <w:rPr>
          <w:b/>
          <w:bCs/>
          <w:sz w:val="20"/>
          <w:szCs w:val="20"/>
        </w:rPr>
        <w:t xml:space="preserve">CEDH, 8 novembre 2005, Bader c. Suède, n° 13284/04</w:t>
      </w:r>
      <w:r>
        <w:rPr>
          <w:sz w:val="20"/>
          <w:szCs w:val="20"/>
        </w:rPr>
        <w:t xml:space="preserve"> — la protection est étendue à l’extradition vers un État où la personne risque la peine de mort.</w:t>
      </w:r>
    </w:p>
    <w:p>
      <w:pPr>
        <w:spacing w:after="70"/>
        <w:ind w:left="340" w:hanging="200"/>
        <w:jc w:val="both"/>
      </w:pPr>
      <w:r>
        <w:rPr>
          <w:b/>
          <w:bCs/>
          <w:color w:val="1F3864"/>
          <w:sz w:val="20"/>
          <w:szCs w:val="20"/>
        </w:rPr>
        <w:t xml:space="preserve">→ </w:t>
      </w:r>
      <w:r>
        <w:rPr>
          <w:b/>
          <w:bCs/>
          <w:sz w:val="20"/>
          <w:szCs w:val="20"/>
        </w:rPr>
        <w:t xml:space="preserve">CEDH, 7 juillet 1989, Soering c. Royaume-Uni, n° 14038/88</w:t>
      </w:r>
      <w:r>
        <w:rPr>
          <w:sz w:val="20"/>
          <w:szCs w:val="20"/>
        </w:rPr>
        <w:t xml:space="preserve"> — l’interdiction de l’extradition se rapporte aussi à l’article 3 : l’attente dans le couloir de la mort est un traitement inhumain et dégradant.</w:t>
      </w:r>
    </w:p>
    <w:p>
      <w:pPr>
        <w:spacing w:after="70"/>
        <w:ind w:left="340" w:hanging="200"/>
        <w:jc w:val="both"/>
      </w:pPr>
      <w:r>
        <w:rPr>
          <w:b/>
          <w:bCs/>
          <w:color w:val="1F3864"/>
          <w:sz w:val="20"/>
          <w:szCs w:val="20"/>
        </w:rPr>
        <w:t xml:space="preserve">→ </w:t>
      </w:r>
      <w:r>
        <w:rPr>
          <w:b/>
          <w:bCs/>
          <w:sz w:val="20"/>
          <w:szCs w:val="20"/>
        </w:rPr>
        <w:t xml:space="preserve">Cons. const., déc. n° 2005-524/525 DC, 13 octobre 2005</w:t>
      </w:r>
      <w:r>
        <w:rPr>
          <w:sz w:val="20"/>
          <w:szCs w:val="20"/>
        </w:rPr>
        <w:t xml:space="preserve"> — réserve du Conseil : l’absence de faculté de dénonciation pouvait porter atteinte à la souveraineté étatique — d’où la révision introduisant l’article 66-1.</w:t>
      </w:r>
    </w:p>
    <w:p>
      <w:pPr>
        <w:spacing w:after="70"/>
        <w:ind w:left="340" w:hanging="200"/>
        <w:jc w:val="both"/>
      </w:pPr>
      <w:r>
        <w:rPr>
          <w:b/>
          <w:bCs/>
          <w:color w:val="1F3864"/>
          <w:sz w:val="20"/>
          <w:szCs w:val="20"/>
        </w:rPr>
        <w:t xml:space="preserve">→ </w:t>
      </w:r>
      <w:r>
        <w:rPr>
          <w:b/>
          <w:bCs/>
          <w:sz w:val="20"/>
          <w:szCs w:val="20"/>
        </w:rPr>
        <w:t xml:space="preserve">Cons. const., déc. n° 2010-79 QPC, 17 décembre 2010, M. Kamel Douadi</w:t>
      </w:r>
      <w:r>
        <w:rPr>
          <w:sz w:val="20"/>
          <w:szCs w:val="20"/>
        </w:rPr>
        <w:t xml:space="preserve"> — incompétence du Conseil pour apprécier la constitutionnalité de dispositions internes appliquant des dispositions inconditionnelles et précises de la directive 2004/83/CE.</w:t>
      </w:r>
    </w:p>
    <w:p>
      <w:pPr>
        <w:pBdr>
          <w:left w:val="single" w:color="1F3864" w:sz="18" w:space="8"/>
        </w:pBdr>
        <w:shd w:fill="F4F6FB" w:val="clear"/>
        <w:spacing w:after="140" w:before="140"/>
        <w:ind w:left="160" w:right="120"/>
        <w:jc w:val="both"/>
      </w:pPr>
      <w:r>
        <w:rPr>
          <w:b/>
          <w:bCs/>
          <w:color w:val="1F3864"/>
          <w:sz w:val="20"/>
          <w:szCs w:val="20"/>
        </w:rPr>
        <w:t xml:space="preserve">Réflexe d’entretien. </w:t>
      </w:r>
      <w:r>
        <w:rPr>
          <w:sz w:val="20"/>
          <w:szCs w:val="20"/>
        </w:rPr>
        <w:t xml:space="preserve">Si l’on vous interroge sur l’extradition, sachez répondre sur les DEUX fondements : article 2 (Bader) et article 3 (Soering). Beaucoup de candidats n’en citent qu’un.</w:t>
      </w:r>
    </w:p>
    <w:p>
      <w:pPr>
        <w:spacing w:after="80" w:before="200"/>
      </w:pPr>
      <w:r>
        <w:rPr>
          <w:b/>
          <w:bCs/>
          <w:color w:val="1F3864"/>
          <w:sz w:val="21"/>
          <w:szCs w:val="21"/>
        </w:rPr>
        <w:t xml:space="preserve">5.2. Les atteintes résultant des opérations de la puissance publique</w:t>
      </w:r>
    </w:p>
    <w:p>
      <w:pPr>
        <w:spacing w:after="90"/>
        <w:jc w:val="both"/>
      </w:pPr>
      <w:r>
        <w:rPr>
          <w:sz w:val="20"/>
          <w:szCs w:val="20"/>
        </w:rPr>
        <w:t xml:space="preserve">Le droit à la vie doit trouver un équilibre avec la protection de l’ordre public : les autorités doivent s’abstenir d’infliger arbitrairement la mort ou toute atteinte qui ne serait pas absolument nécessaire.</w:t>
      </w:r>
    </w:p>
    <w:p>
      <w:pPr>
        <w:pStyle w:val="ListParagraph"/>
        <w:numPr>
          <w:ilvl w:val="0"/>
          <w:numId w:val="2"/>
        </w:numPr>
        <w:spacing w:after="70"/>
        <w:jc w:val="both"/>
      </w:pPr>
      <w:r>
        <w:rPr>
          <w:sz w:val="20"/>
          <w:szCs w:val="20"/>
        </w:rPr>
        <w:t xml:space="preserve">Article L. 435-1 CSI : usage des armes en cas d’absolue nécessité et de manière strictement proportionnée — légitime défense (outre les cas de l’article L. 211-9), péril imminent pour leur vie ou celle d’autrui, arrestation d’une personne représentant une menace grave pour l’intégrité physique d’autrui et ne pouvant être neutralisée autrement, empêchement de l’évasion de personnes dangereuses ou violentes, seul moyen de défendre un lieu ou des personnes confiées.</w:t>
      </w:r>
    </w:p>
    <w:p>
      <w:pPr>
        <w:pStyle w:val="ListParagraph"/>
        <w:numPr>
          <w:ilvl w:val="0"/>
          <w:numId w:val="2"/>
        </w:numPr>
        <w:spacing w:after="70"/>
        <w:jc w:val="both"/>
      </w:pPr>
      <w:r>
        <w:rPr>
          <w:sz w:val="20"/>
          <w:szCs w:val="20"/>
        </w:rPr>
        <w:t xml:space="preserve">Article 122-5 du Code pénal : irresponsabilité pénale en cas de légitime défense de soi-même ou d’autrui, sauf disproportion entre les moyens de défense employés et la gravité de l’atteinte.</w:t>
      </w:r>
    </w:p>
    <w:p>
      <w:pPr>
        <w:spacing w:after="90"/>
        <w:jc w:val="both"/>
      </w:pPr>
      <w:r>
        <w:rPr>
          <w:sz w:val="20"/>
          <w:szCs w:val="20"/>
        </w:rPr>
        <w:t xml:space="preserve">La Cour exerce un contrôle strict : nécessité absolue, stricte proportionnalité à la menace à neutraliser, examen minutieux de la situation, planification sérieuse des opérations, précautions utiles pour protéger la population civile. Elle évalue aussi la formation des forces de l’ordre, la précision des ordres reçus et l’adaptation du type d’arme.</w:t>
      </w:r>
    </w:p>
    <w:p>
      <w:pPr>
        <w:spacing w:after="70"/>
        <w:ind w:left="340" w:hanging="200"/>
        <w:jc w:val="both"/>
      </w:pPr>
      <w:r>
        <w:rPr>
          <w:b/>
          <w:bCs/>
          <w:color w:val="1F3864"/>
          <w:sz w:val="20"/>
          <w:szCs w:val="20"/>
        </w:rPr>
        <w:t xml:space="preserve">→ </w:t>
      </w:r>
      <w:r>
        <w:rPr>
          <w:b/>
          <w:bCs/>
          <w:sz w:val="20"/>
          <w:szCs w:val="20"/>
        </w:rPr>
        <w:t xml:space="preserve">CEDH, 17 septembre 1995, McCann c. Royaume-Uni, n° 18984/91</w:t>
      </w:r>
    </w:p>
    <w:p>
      <w:pPr>
        <w:spacing w:after="70"/>
        <w:ind w:left="340" w:hanging="200"/>
        <w:jc w:val="both"/>
      </w:pPr>
      <w:r>
        <w:rPr>
          <w:b/>
          <w:bCs/>
          <w:color w:val="1F3864"/>
          <w:sz w:val="20"/>
          <w:szCs w:val="20"/>
        </w:rPr>
        <w:t xml:space="preserve">→ </w:t>
      </w:r>
      <w:r>
        <w:rPr>
          <w:b/>
          <w:bCs/>
          <w:sz w:val="20"/>
          <w:szCs w:val="20"/>
        </w:rPr>
        <w:t xml:space="preserve">CEDH [GC], 24 mars 2011, Giuliani et Gaggio c. Italie, n° 23458/02</w:t>
      </w:r>
    </w:p>
    <w:p>
      <w:pPr>
        <w:spacing w:after="70"/>
        <w:ind w:left="340" w:hanging="200"/>
        <w:jc w:val="both"/>
      </w:pPr>
      <w:r>
        <w:rPr>
          <w:b/>
          <w:bCs/>
          <w:color w:val="1F3864"/>
          <w:sz w:val="20"/>
          <w:szCs w:val="20"/>
        </w:rPr>
        <w:t xml:space="preserve">→ </w:t>
      </w:r>
      <w:r>
        <w:rPr>
          <w:b/>
          <w:bCs/>
          <w:sz w:val="20"/>
          <w:szCs w:val="20"/>
        </w:rPr>
        <w:t xml:space="preserve">CEDH [GC], 6 juillet 2005, Nachova et a. c. Bulgarie, n° 43577/98</w:t>
      </w:r>
    </w:p>
    <w:p>
      <w:pPr>
        <w:spacing w:after="70"/>
        <w:ind w:left="340" w:hanging="200"/>
        <w:jc w:val="both"/>
      </w:pPr>
      <w:r>
        <w:rPr>
          <w:b/>
          <w:bCs/>
          <w:color w:val="1F3864"/>
          <w:sz w:val="20"/>
          <w:szCs w:val="20"/>
        </w:rPr>
        <w:t xml:space="preserve">→ </w:t>
      </w:r>
      <w:r>
        <w:rPr>
          <w:b/>
          <w:bCs/>
          <w:sz w:val="20"/>
          <w:szCs w:val="20"/>
        </w:rPr>
        <w:t xml:space="preserve">CEDH, 7 juin 2018, Toubache c. France, n° 19510/15</w:t>
      </w:r>
      <w:r>
        <w:rPr>
          <w:sz w:val="20"/>
          <w:szCs w:val="20"/>
        </w:rPr>
        <w:t xml:space="preserve"> — « Le but légitime d’effectuer une arrestation régulière ne peut justifier de mettre en danger des vies humaines qu’en cas de nécessité absolue […] il ne peut y avoir pareille nécessité lorsque l’on sait que la personne qui doit être arrêtée ne représente aucune menace pour la vie ou l’intégrité physique de quiconque et n’est pas soupçonnée d’avoir commis une infraction à caractère violent, même s’il peut en résulter une impossibilité d’arrêter le fugitif ». Voir aussi CEDH, 17 avril 2014, Guerdner c. France, n° 68780/10.</w:t>
      </w:r>
    </w:p>
    <w:p>
      <w:pPr>
        <w:spacing w:after="70"/>
        <w:ind w:left="340" w:hanging="200"/>
        <w:jc w:val="both"/>
      </w:pPr>
      <w:r>
        <w:rPr>
          <w:b/>
          <w:bCs/>
          <w:color w:val="1F3864"/>
          <w:sz w:val="20"/>
          <w:szCs w:val="20"/>
        </w:rPr>
        <w:t xml:space="preserve">→ </w:t>
      </w:r>
      <w:r>
        <w:rPr>
          <w:b/>
          <w:bCs/>
          <w:sz w:val="20"/>
          <w:szCs w:val="20"/>
        </w:rPr>
        <w:t xml:space="preserve">CEDH, 27 février 2025, Fraisse et a. c. France, n° 47626/21</w:t>
      </w:r>
      <w:r>
        <w:rPr>
          <w:sz w:val="20"/>
          <w:szCs w:val="20"/>
        </w:rPr>
        <w:t xml:space="preserve"> — condamnation pour protection insuffisante lors d’affrontements entre manifestants et forces de l’ordre : lacunes dans le contrôle des opérations, dans le cadre juridique et administratif, et défaillances de l’encadrement dans la préparation et la conduite des opérations.</w:t>
      </w:r>
    </w:p>
    <w:p>
      <w:pPr>
        <w:spacing w:after="70"/>
        <w:ind w:left="340" w:hanging="200"/>
        <w:jc w:val="both"/>
      </w:pPr>
      <w:r>
        <w:rPr>
          <w:b/>
          <w:bCs/>
          <w:color w:val="1F3864"/>
          <w:sz w:val="20"/>
          <w:szCs w:val="20"/>
        </w:rPr>
        <w:t xml:space="preserve">→ </w:t>
      </w:r>
      <w:r>
        <w:rPr>
          <w:b/>
          <w:bCs/>
          <w:sz w:val="20"/>
          <w:szCs w:val="20"/>
        </w:rPr>
        <w:t xml:space="preserve">CEDH, 21 juin 2018, Semache c. France, n° 36083/16</w:t>
      </w:r>
      <w:r>
        <w:rPr>
          <w:sz w:val="20"/>
          <w:szCs w:val="20"/>
        </w:rPr>
        <w:t xml:space="preserve"> — prise en compte de l’état de vulnérabilité de la personne retenue.</w:t>
      </w:r>
    </w:p>
    <w:p>
      <w:pPr>
        <w:pStyle w:val="ListParagraph"/>
        <w:numPr>
          <w:ilvl w:val="0"/>
          <w:numId w:val="2"/>
        </w:numPr>
        <w:spacing w:after="70"/>
        <w:jc w:val="both"/>
      </w:pPr>
      <w:r>
        <w:rPr>
          <w:sz w:val="20"/>
          <w:szCs w:val="20"/>
        </w:rPr>
        <w:t xml:space="preserve">Nuance : l’acte d’un agent de l’État peut être justifié en cas de conviction honnête de l’existence d’un danger imminent.</w:t>
      </w:r>
    </w:p>
    <w:p>
      <w:pPr>
        <w:pStyle w:val="ListParagraph"/>
        <w:numPr>
          <w:ilvl w:val="0"/>
          <w:numId w:val="2"/>
        </w:numPr>
        <w:spacing w:after="70"/>
        <w:jc w:val="both"/>
      </w:pPr>
      <w:r>
        <w:rPr>
          <w:sz w:val="20"/>
          <w:szCs w:val="20"/>
        </w:rPr>
        <w:t xml:space="preserve">Armement et juge interne : CE, SSR, 2 septembre 2009, Association réseau d’alerte et d’intervention pour les droits de l’homme, n° 318584 et 321715 (pistolet à impulsion électrique) ; CE, ord., 1er février 2019, n° 427418 (LBD).</w:t>
      </w:r>
    </w:p>
    <w:p>
      <w:pPr>
        <w:spacing w:after="80" w:before="200"/>
      </w:pPr>
      <w:r>
        <w:rPr>
          <w:b/>
          <w:bCs/>
          <w:color w:val="1F3864"/>
          <w:sz w:val="21"/>
          <w:szCs w:val="21"/>
        </w:rPr>
        <w:t xml:space="preserve">5.3. L’état de guerre : le privilège du combattant</w:t>
      </w:r>
    </w:p>
    <w:p>
      <w:pPr>
        <w:spacing w:after="90"/>
        <w:jc w:val="both"/>
      </w:pPr>
      <w:r>
        <w:rPr>
          <w:sz w:val="20"/>
          <w:szCs w:val="20"/>
        </w:rPr>
        <w:t xml:space="preserve">Le droit à la vie n’est pas dérogeable au sens de l’article 15, mais il n’est pas absolu, comme en témoigne son régime en contexte de guerre. La protection du droit européen ne cesse pas avec le début des hostilités : elle doit s’articuler avec le droit international humanitaire, lex specialis en la matière. Les violations s’analysent « à la lumière » du DIH.</w:t>
      </w:r>
    </w:p>
    <w:p>
      <w:pPr>
        <w:spacing w:after="70"/>
        <w:ind w:left="340" w:hanging="200"/>
        <w:jc w:val="both"/>
      </w:pPr>
      <w:r>
        <w:rPr>
          <w:b/>
          <w:bCs/>
          <w:color w:val="1F3864"/>
          <w:sz w:val="20"/>
          <w:szCs w:val="20"/>
        </w:rPr>
        <w:t xml:space="preserve">→ </w:t>
      </w:r>
      <w:r>
        <w:rPr>
          <w:b/>
          <w:bCs/>
          <w:sz w:val="20"/>
          <w:szCs w:val="20"/>
        </w:rPr>
        <w:t xml:space="preserve">CIJ, avis consultatif, 8 juillet 1996, Licéité de la menace ou de l’emploi d’armes nucléaires, Rec. 1996, p. 126</w:t>
      </w:r>
    </w:p>
    <w:p>
      <w:pPr>
        <w:spacing w:after="70"/>
        <w:ind w:left="340" w:hanging="200"/>
        <w:jc w:val="both"/>
      </w:pPr>
      <w:r>
        <w:rPr>
          <w:b/>
          <w:bCs/>
          <w:color w:val="1F3864"/>
          <w:sz w:val="20"/>
          <w:szCs w:val="20"/>
        </w:rPr>
        <w:t xml:space="preserve">→ </w:t>
      </w:r>
      <w:r>
        <w:rPr>
          <w:b/>
          <w:bCs/>
          <w:sz w:val="20"/>
          <w:szCs w:val="20"/>
        </w:rPr>
        <w:t xml:space="preserve">CEDH, 2 mars 2010, Al-Saadoon et Mufdhi c. Royaume-Uni, n° 61498/08</w:t>
      </w:r>
      <w:r>
        <w:rPr>
          <w:sz w:val="20"/>
          <w:szCs w:val="20"/>
        </w:rPr>
        <w:t xml:space="preserve"> — continuité de l’applicabilité, y compris en conflit extraterritorial.</w:t>
      </w:r>
    </w:p>
    <w:p>
      <w:pPr>
        <w:spacing w:after="70"/>
        <w:ind w:left="340" w:hanging="200"/>
        <w:jc w:val="both"/>
      </w:pPr>
      <w:r>
        <w:rPr>
          <w:b/>
          <w:bCs/>
          <w:color w:val="1F3864"/>
          <w:sz w:val="20"/>
          <w:szCs w:val="20"/>
        </w:rPr>
        <w:t xml:space="preserve">→ </w:t>
      </w:r>
      <w:r>
        <w:rPr>
          <w:b/>
          <w:bCs/>
          <w:sz w:val="20"/>
          <w:szCs w:val="20"/>
        </w:rPr>
        <w:t xml:space="preserve">CEDH, 24 février 2005, Issaieva et a. c. Russie, n° 57950/00</w:t>
      </w:r>
    </w:p>
    <w:p>
      <w:pPr>
        <w:pStyle w:val="ListParagraph"/>
        <w:numPr>
          <w:ilvl w:val="0"/>
          <w:numId w:val="2"/>
        </w:numPr>
        <w:spacing w:after="70"/>
        <w:jc w:val="both"/>
      </w:pPr>
      <w:r>
        <w:rPr>
          <w:sz w:val="20"/>
          <w:szCs w:val="20"/>
        </w:rPr>
        <w:t xml:space="preserve">Le « privilège de belligérance » attribue au combattant le droit d’infliger la mort avec immunité pénale : articles 4 à 6 de la Convention de Genève du 12 août 1949 relative au traitement des prisonniers de guerre, et article 43 du Protocole additionnel I du 8 juin 1977.</w:t>
      </w:r>
    </w:p>
    <w:p>
      <w:pPr>
        <w:pStyle w:val="ListParagraph"/>
        <w:numPr>
          <w:ilvl w:val="0"/>
          <w:numId w:val="2"/>
        </w:numPr>
        <w:spacing w:after="70"/>
        <w:jc w:val="both"/>
      </w:pPr>
      <w:r>
        <w:rPr>
          <w:sz w:val="20"/>
          <w:szCs w:val="20"/>
        </w:rPr>
        <w:t xml:space="preserve">Une attaque respectant le DIH mais causant des victimes civiles ne peut être qualifiée de violation : elle résulte d’un acte licite de guerre. Mais le combattant doit s’abstenir d’infliger la mort à un combattant ennemi blessé, hors de combat ou qui se rend (art. D4122-9 du Code de la défense ; protection du civil, art. D4122-8).</w:t>
      </w:r>
    </w:p>
    <w:p>
      <w:pPr>
        <w:spacing w:after="70"/>
        <w:ind w:left="340" w:hanging="200"/>
        <w:jc w:val="both"/>
      </w:pPr>
      <w:r>
        <w:rPr>
          <w:b/>
          <w:bCs/>
          <w:color w:val="1F3864"/>
          <w:sz w:val="20"/>
          <w:szCs w:val="20"/>
        </w:rPr>
        <w:t xml:space="preserve">→ </w:t>
      </w:r>
      <w:r>
        <w:rPr>
          <w:b/>
          <w:bCs/>
          <w:sz w:val="20"/>
          <w:szCs w:val="20"/>
        </w:rPr>
        <w:t xml:space="preserve">CE, SSR, 5 juillet 2000, Mégret et Mekhantar, n° 206303 et 206965</w:t>
      </w:r>
      <w:r>
        <w:rPr>
          <w:sz w:val="20"/>
          <w:szCs w:val="20"/>
        </w:rPr>
        <w:t xml:space="preserve"> — théorie des actes de gouvernement : décisions militaires non détachables de la conduite des relations internationales de la France.</w:t>
      </w:r>
    </w:p>
    <w:p>
      <w:pPr>
        <w:pStyle w:val="ListParagraph"/>
        <w:numPr>
          <w:ilvl w:val="0"/>
          <w:numId w:val="2"/>
        </w:numPr>
        <w:spacing w:after="70"/>
        <w:jc w:val="both"/>
      </w:pPr>
      <w:r>
        <w:rPr>
          <w:sz w:val="20"/>
          <w:szCs w:val="20"/>
        </w:rPr>
        <w:t xml:space="preserve">Mais responsabilité possible pour crime de guerre (art. 461-1 et s. du Code pénal) ou devant la Cour pénale internationale (art. 53-2 de la Constitution).</w:t>
      </w:r>
    </w:p>
    <w:p>
      <w:pPr>
        <w:spacing w:after="80" w:before="200"/>
      </w:pPr>
      <w:r>
        <w:rPr>
          <w:b/>
          <w:bCs/>
          <w:color w:val="1F3864"/>
          <w:sz w:val="21"/>
          <w:szCs w:val="21"/>
        </w:rPr>
        <w:t xml:space="preserve">5.4. Les obligations positives — effet horizontal</w:t>
      </w:r>
    </w:p>
    <w:p>
      <w:pPr>
        <w:spacing w:after="70"/>
        <w:ind w:left="340" w:hanging="200"/>
        <w:jc w:val="both"/>
      </w:pPr>
      <w:r>
        <w:rPr>
          <w:b/>
          <w:bCs/>
          <w:color w:val="1F3864"/>
          <w:sz w:val="20"/>
          <w:szCs w:val="20"/>
        </w:rPr>
        <w:t xml:space="preserve">→ </w:t>
      </w:r>
      <w:r>
        <w:rPr>
          <w:b/>
          <w:bCs/>
          <w:sz w:val="20"/>
          <w:szCs w:val="20"/>
        </w:rPr>
        <w:t xml:space="preserve">CEDH, 9 juin 1998, L.C.B. c. Royaume-Uni, n° 23413/94</w:t>
      </w:r>
      <w:r>
        <w:rPr>
          <w:sz w:val="20"/>
          <w:szCs w:val="20"/>
        </w:rPr>
        <w:t xml:space="preserve"> — devoir de protéger la vie de toutes les personnes relevant de sa juridiction en prévenant les atteintes.</w:t>
      </w:r>
    </w:p>
    <w:p>
      <w:pPr>
        <w:spacing w:after="70"/>
        <w:ind w:left="340" w:hanging="200"/>
        <w:jc w:val="both"/>
      </w:pPr>
      <w:r>
        <w:rPr>
          <w:b/>
          <w:bCs/>
          <w:color w:val="1F3864"/>
          <w:sz w:val="20"/>
          <w:szCs w:val="20"/>
        </w:rPr>
        <w:t xml:space="preserve">→ </w:t>
      </w:r>
      <w:r>
        <w:rPr>
          <w:b/>
          <w:bCs/>
          <w:sz w:val="20"/>
          <w:szCs w:val="20"/>
        </w:rPr>
        <w:t xml:space="preserve">CEDH, 28 octobre 1998, Osman c. Royaume-Uni, n° 87/1997/871/1083</w:t>
      </w:r>
      <w:r>
        <w:rPr>
          <w:sz w:val="20"/>
          <w:szCs w:val="20"/>
        </w:rPr>
        <w:t xml:space="preserve"> — l’État peut être responsable de n’avoir pas pris les mesures pratiques raisonnables contre une atteinte commise par un particulier, lorsque les autorités ont ou auraient dû avoir connaissance d’un risque réel et sérieux d’atteinte immédiate. Contrepoids : difficultés d’exercice de l’autorité publique, choix opérationnels en termes de priorités et de ressources, imprévisibilité du comportement humain — pas de fardeau déraisonnable ou excessif, et marge nationale d’appréciation sur le choix des mesures.</w:t>
      </w:r>
    </w:p>
    <w:p>
      <w:pPr>
        <w:spacing w:after="70"/>
        <w:ind w:left="340" w:hanging="200"/>
        <w:jc w:val="both"/>
      </w:pPr>
      <w:r>
        <w:rPr>
          <w:b/>
          <w:bCs/>
          <w:color w:val="1F3864"/>
          <w:sz w:val="20"/>
          <w:szCs w:val="20"/>
        </w:rPr>
        <w:t xml:space="preserve">→ </w:t>
      </w:r>
      <w:r>
        <w:rPr>
          <w:b/>
          <w:bCs/>
          <w:sz w:val="20"/>
          <w:szCs w:val="20"/>
        </w:rPr>
        <w:t xml:space="preserve">CEDH, 22 mars 2022, Y et a. c. Bulgarie, n° 9077/18</w:t>
      </w:r>
      <w:r>
        <w:rPr>
          <w:sz w:val="20"/>
          <w:szCs w:val="20"/>
        </w:rPr>
        <w:t xml:space="preserve"> — négligence des autorités à protéger une victime de violences conjugales malgré de nombreuses plaintes déposées avant son décès.</w:t>
      </w:r>
    </w:p>
    <w:p>
      <w:pPr>
        <w:pBdr>
          <w:left w:val="single" w:color="1F3864" w:sz="18" w:space="8"/>
        </w:pBdr>
        <w:shd w:fill="F4F6FB" w:val="clear"/>
        <w:spacing w:after="140" w:before="140"/>
        <w:ind w:left="160" w:right="120"/>
        <w:jc w:val="both"/>
      </w:pPr>
      <w:r>
        <w:rPr>
          <w:b/>
          <w:bCs/>
          <w:color w:val="1F3864"/>
          <w:sz w:val="20"/>
          <w:szCs w:val="20"/>
        </w:rPr>
        <w:t xml:space="preserve">Le test d’Osman, à réciter. </w:t>
      </w:r>
      <w:r>
        <w:rPr>
          <w:sz w:val="20"/>
          <w:szCs w:val="20"/>
        </w:rPr>
        <w:t xml:space="preserve">les autorités savaient-elles, ou auraient-elles dû savoir, qu’il existait un risque réel et immédiat pour la vie ? Et ont-elles pris les mesures pratiques raisonnables qui étaient en leur pouvoir ? C’est la question que le jury attend, et c’est le bloc que presque personne n’anticipe.</w:t>
      </w:r>
    </w:p>
    <w:p>
      <w:pPr>
        <w:spacing w:after="80" w:before="200"/>
      </w:pPr>
      <w:r>
        <w:rPr>
          <w:b/>
          <w:bCs/>
          <w:color w:val="1F3864"/>
          <w:sz w:val="21"/>
          <w:szCs w:val="21"/>
        </w:rPr>
        <w:t xml:space="preserve">5.5. Les obligations positives — la protection contre les aléas</w:t>
      </w:r>
    </w:p>
    <w:p>
      <w:pPr>
        <w:spacing w:after="70"/>
        <w:ind w:left="340" w:hanging="200"/>
        <w:jc w:val="both"/>
      </w:pPr>
      <w:r>
        <w:rPr>
          <w:b/>
          <w:bCs/>
          <w:color w:val="1F3864"/>
          <w:sz w:val="20"/>
          <w:szCs w:val="20"/>
        </w:rPr>
        <w:t xml:space="preserve">→ </w:t>
      </w:r>
      <w:r>
        <w:rPr>
          <w:b/>
          <w:bCs/>
          <w:sz w:val="20"/>
          <w:szCs w:val="20"/>
        </w:rPr>
        <w:t xml:space="preserve">CEDH, 14 juin 2011, Ciechońska c. Pologne, n° 19776/04</w:t>
      </w:r>
      <w:r>
        <w:rPr>
          <w:sz w:val="20"/>
          <w:szCs w:val="20"/>
        </w:rPr>
        <w:t xml:space="preserve"> — obligation positive de prévention des risques pour la vie dans toutes les situations dangereuses.</w:t>
      </w:r>
    </w:p>
    <w:p>
      <w:pPr>
        <w:spacing w:after="70"/>
        <w:ind w:left="340" w:hanging="200"/>
        <w:jc w:val="both"/>
      </w:pPr>
      <w:r>
        <w:rPr>
          <w:b/>
          <w:bCs/>
          <w:color w:val="1F3864"/>
          <w:sz w:val="20"/>
          <w:szCs w:val="20"/>
        </w:rPr>
        <w:t xml:space="preserve">→ </w:t>
      </w:r>
      <w:r>
        <w:rPr>
          <w:b/>
          <w:bCs/>
          <w:sz w:val="20"/>
          <w:szCs w:val="20"/>
        </w:rPr>
        <w:t xml:space="preserve">CEDH [GC], 17 janvier 2002, Calvelli et Ciglio c. Italie, n° 32967/96</w:t>
      </w:r>
      <w:r>
        <w:rPr>
          <w:sz w:val="20"/>
          <w:szCs w:val="20"/>
        </w:rPr>
        <w:t xml:space="preserve"> — risques sanitaires.</w:t>
      </w:r>
    </w:p>
    <w:p>
      <w:pPr>
        <w:spacing w:after="70"/>
        <w:ind w:left="340" w:hanging="200"/>
        <w:jc w:val="both"/>
      </w:pPr>
      <w:r>
        <w:rPr>
          <w:b/>
          <w:bCs/>
          <w:color w:val="1F3864"/>
          <w:sz w:val="20"/>
          <w:szCs w:val="20"/>
        </w:rPr>
        <w:t xml:space="preserve">→ </w:t>
      </w:r>
      <w:r>
        <w:rPr>
          <w:b/>
          <w:bCs/>
          <w:sz w:val="20"/>
          <w:szCs w:val="20"/>
        </w:rPr>
        <w:t xml:space="preserve">CEDH [GC], 17 juillet 2014, Centre de ressources juridiques au nom de Valentin Câmpeanu c. Roumanie, n° 47848/08</w:t>
      </w:r>
      <w:r>
        <w:rPr>
          <w:sz w:val="20"/>
          <w:szCs w:val="20"/>
        </w:rPr>
        <w:t xml:space="preserve"> — diligence particulière à l’égard des personnes vulnérables privées de liberté dans des établissements publics, l’individu étant sous le contrôle de l’État.</w:t>
      </w:r>
    </w:p>
    <w:p>
      <w:pPr>
        <w:spacing w:after="70"/>
        <w:ind w:left="340" w:hanging="200"/>
        <w:jc w:val="both"/>
      </w:pPr>
      <w:r>
        <w:rPr>
          <w:b/>
          <w:bCs/>
          <w:color w:val="1F3864"/>
          <w:sz w:val="20"/>
          <w:szCs w:val="20"/>
        </w:rPr>
        <w:t xml:space="preserve">→ </w:t>
      </w:r>
      <w:r>
        <w:rPr>
          <w:b/>
          <w:bCs/>
          <w:sz w:val="20"/>
          <w:szCs w:val="20"/>
        </w:rPr>
        <w:t xml:space="preserve">CEDH [GC], 30 novembre 2004, Öneryıldız c. Turquie, n° 48939/99</w:t>
      </w:r>
      <w:r>
        <w:rPr>
          <w:sz w:val="20"/>
          <w:szCs w:val="20"/>
        </w:rPr>
        <w:t xml:space="preserve"> — accidents industriels.</w:t>
      </w:r>
    </w:p>
    <w:p>
      <w:pPr>
        <w:spacing w:after="70"/>
        <w:ind w:left="340" w:hanging="200"/>
        <w:jc w:val="both"/>
      </w:pPr>
      <w:r>
        <w:rPr>
          <w:b/>
          <w:bCs/>
          <w:color w:val="1F3864"/>
          <w:sz w:val="20"/>
          <w:szCs w:val="20"/>
        </w:rPr>
        <w:t xml:space="preserve">→ </w:t>
      </w:r>
      <w:r>
        <w:rPr>
          <w:b/>
          <w:bCs/>
          <w:sz w:val="20"/>
          <w:szCs w:val="20"/>
        </w:rPr>
        <w:t xml:space="preserve">CE, ord., 13 août 2013, Commune de St Leu, n° 370902</w:t>
      </w:r>
      <w:r>
        <w:rPr>
          <w:sz w:val="20"/>
          <w:szCs w:val="20"/>
        </w:rPr>
        <w:t xml:space="preserve"> — risques naturels ; et consécration du droit à la vie comme liberté fondamentale au sens de L. 521-2 CJA.</w:t>
      </w:r>
    </w:p>
    <w:p>
      <w:pPr>
        <w:pStyle w:val="ListParagraph"/>
        <w:numPr>
          <w:ilvl w:val="0"/>
          <w:numId w:val="2"/>
        </w:numPr>
        <w:spacing w:after="70"/>
        <w:jc w:val="both"/>
      </w:pPr>
      <w:r>
        <w:rPr>
          <w:sz w:val="20"/>
          <w:szCs w:val="20"/>
        </w:rPr>
        <w:t xml:space="preserve">Limite : le droit à la vie n’implique pas une sécurité absolue, en particulier lorsque la personne a délibérément pris le risque de se mettre en danger.</w:t>
      </w:r>
    </w:p>
    <w:p>
      <w:pPr>
        <w:spacing w:after="80" w:before="200"/>
      </w:pPr>
      <w:r>
        <w:rPr>
          <w:b/>
          <w:bCs/>
          <w:color w:val="1F3864"/>
          <w:sz w:val="21"/>
          <w:szCs w:val="21"/>
        </w:rPr>
        <w:t xml:space="preserve">5.6. Les garanties procédurales</w:t>
      </w:r>
    </w:p>
    <w:p>
      <w:pPr>
        <w:spacing w:after="90"/>
        <w:jc w:val="both"/>
      </w:pPr>
      <w:r>
        <w:rPr>
          <w:sz w:val="20"/>
          <w:szCs w:val="20"/>
        </w:rPr>
        <w:t xml:space="preserve">Le volet procédural est inhérent à l’article 2 et distinct des obligations procédurales ordinaires de la Convention, du fait des spécificités du droit à la vie. Il impose un cadre juridique et administratif adéquat, un cadre pénal précis et dissuasif permettant de prévenir et réprimer les atteintes, et un encadrement strict de l’usage de la force.</w:t>
      </w:r>
    </w:p>
    <w:p>
      <w:pPr>
        <w:spacing w:after="70"/>
        <w:ind w:left="340" w:hanging="200"/>
        <w:jc w:val="both"/>
      </w:pPr>
      <w:r>
        <w:rPr>
          <w:b/>
          <w:bCs/>
          <w:color w:val="1F3864"/>
          <w:sz w:val="20"/>
          <w:szCs w:val="20"/>
        </w:rPr>
        <w:t xml:space="preserve">→ </w:t>
      </w:r>
      <w:r>
        <w:rPr>
          <w:b/>
          <w:bCs/>
          <w:sz w:val="20"/>
          <w:szCs w:val="20"/>
        </w:rPr>
        <w:t xml:space="preserve">CEDH [GC], 30 mars 2016, Armani Da Silva c. Portugal, n° 5878/08</w:t>
      </w:r>
    </w:p>
    <w:p>
      <w:pPr>
        <w:spacing w:after="90"/>
        <w:jc w:val="both"/>
      </w:pPr>
      <w:r>
        <w:rPr>
          <w:sz w:val="20"/>
          <w:szCs w:val="20"/>
        </w:rPr>
        <w:t xml:space="preserve">En cas d’usage de la force meurtrière, par l’État ou par des particuliers, les autorités agissant d’office doivent organiser une enquête prompte, effective et indépendante, permettant de contrôler la légalité du recours à la force et les circonstances des faits. L’obligation a été étendue à toutes les situations d’atteinte, des blessures potentiellement mortelles aux disparitions forcées, et l’enquête doit être particulièrement rigoureuse quand le décès est survenu alors que l’individu était sous le contrôle des autorités.</w:t>
      </w:r>
    </w:p>
    <w:p>
      <w:pPr>
        <w:spacing w:after="70"/>
        <w:ind w:left="340" w:hanging="200"/>
        <w:jc w:val="both"/>
      </w:pPr>
      <w:r>
        <w:rPr>
          <w:b/>
          <w:bCs/>
          <w:color w:val="1F3864"/>
          <w:sz w:val="20"/>
          <w:szCs w:val="20"/>
        </w:rPr>
        <w:t xml:space="preserve">→ </w:t>
      </w:r>
      <w:r>
        <w:rPr>
          <w:b/>
          <w:bCs/>
          <w:sz w:val="20"/>
          <w:szCs w:val="20"/>
        </w:rPr>
        <w:t xml:space="preserve">CEDH, 17 septembre 1995, McCann c. Royaume-Uni, n° 18984/91</w:t>
      </w:r>
    </w:p>
    <w:p>
      <w:pPr>
        <w:spacing w:after="70"/>
        <w:ind w:left="340" w:hanging="200"/>
        <w:jc w:val="both"/>
      </w:pPr>
      <w:r>
        <w:rPr>
          <w:b/>
          <w:bCs/>
          <w:color w:val="1F3864"/>
          <w:sz w:val="20"/>
          <w:szCs w:val="20"/>
        </w:rPr>
        <w:t xml:space="preserve">→ </w:t>
      </w:r>
      <w:r>
        <w:rPr>
          <w:b/>
          <w:bCs/>
          <w:sz w:val="20"/>
          <w:szCs w:val="20"/>
        </w:rPr>
        <w:t xml:space="preserve">CEDH [GC], 7 juillet 2011, Al-Skeini c. Royaume-Uni, n° 55721/07</w:t>
      </w:r>
    </w:p>
    <w:p>
      <w:pPr>
        <w:spacing w:after="70"/>
        <w:ind w:left="340" w:hanging="200"/>
        <w:jc w:val="both"/>
      </w:pPr>
      <w:r>
        <w:rPr>
          <w:b/>
          <w:bCs/>
          <w:color w:val="1F3864"/>
          <w:sz w:val="20"/>
          <w:szCs w:val="20"/>
        </w:rPr>
        <w:t xml:space="preserve">→ </w:t>
      </w:r>
      <w:r>
        <w:rPr>
          <w:b/>
          <w:bCs/>
          <w:sz w:val="20"/>
          <w:szCs w:val="20"/>
        </w:rPr>
        <w:t xml:space="preserve">CEDH [GC], 18 septembre 2009, Varnava et a. c. Turquie, n° 16064/90</w:t>
      </w:r>
      <w:r>
        <w:rPr>
          <w:sz w:val="20"/>
          <w:szCs w:val="20"/>
        </w:rPr>
        <w:t xml:space="preserve"> — en cas de disparition forcée, l’obligation demeure tant que les circonstances et le sort de la personne ne sont pas connus ; l’abstention d’enquêter est une violation continue.</w:t>
      </w:r>
    </w:p>
    <w:p>
      <w:pPr>
        <w:pBdr>
          <w:left w:val="single" w:color="8B1A1A" w:sz="18" w:space="8"/>
        </w:pBdr>
        <w:shd w:fill="FDF2F2" w:val="clear"/>
        <w:spacing w:after="140" w:before="140"/>
        <w:ind w:left="160" w:right="120"/>
        <w:jc w:val="both"/>
      </w:pPr>
      <w:r>
        <w:rPr>
          <w:color w:val="4A1010"/>
          <w:sz w:val="20"/>
          <w:szCs w:val="20"/>
        </w:rPr>
        <w:t xml:space="preserve">À retenir impérativement : il s’agit d’une obligation de MOYEN et non de résultat. C’est la précision qui distingue une réponse exacte d’une réponse approximative.</w:t>
      </w:r>
    </w:p>
    <w:p>
      <w:pPr>
        <w:shd w:fill="EEF1F8" w:val="clear"/>
        <w:spacing w:after="140" w:before="320"/>
      </w:pPr>
      <w:r>
        <w:rPr>
          <w:b/>
          <w:bCs/>
          <w:color w:val="FFFFFF"/>
          <w:sz w:val="24"/>
          <w:szCs w:val="24"/>
          <w:shd w:fill="1F3864" w:val="clear"/>
        </w:rPr>
        <w:t xml:space="preserve">  6  </w:t>
      </w:r>
      <w:r>
        <w:rPr>
          <w:b/>
          <w:bCs/>
          <w:caps/>
          <w:color w:val="1F3864"/>
          <w:sz w:val="24"/>
          <w:szCs w:val="24"/>
        </w:rPr>
        <w:t xml:space="preserve">  Le juge et la voie de droit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shd w:fill="1F3864" w:val="clear"/>
            <w:tcMar>
              <w:top w:type="dxa" w:w="80"/>
              <w:left w:type="dxa" w:w="120"/>
              <w:bottom w:type="dxa" w:w="80"/>
              <w:right w:type="dxa" w:w="120"/>
            </w:tcMar>
          </w:tcPr>
          <w:p>
            <w:r>
              <w:rPr>
                <w:b/>
                <w:bCs/>
                <w:color w:val="FFFFFF"/>
                <w:sz w:val="19"/>
                <w:szCs w:val="19"/>
              </w:rPr>
              <w:t xml:space="preserve">Juge</w:t>
            </w:r>
          </w:p>
        </w:tc>
        <w:tc>
          <w:tcPr>
            <w:tcW w:type="dxa" w:w="7060"/>
            <w:shd w:fill="1F3864" w:val="clear"/>
            <w:tcMar>
              <w:top w:type="dxa" w:w="80"/>
              <w:left w:type="dxa" w:w="120"/>
              <w:bottom w:type="dxa" w:w="80"/>
              <w:right w:type="dxa" w:w="120"/>
            </w:tcMar>
          </w:tcPr>
          <w:p>
            <w:pPr>
              <w:jc w:val="both"/>
            </w:pPr>
            <w:r>
              <w:rPr>
                <w:b/>
                <w:bCs/>
                <w:color w:val="FFFFFF"/>
                <w:sz w:val="19"/>
                <w:szCs w:val="19"/>
              </w:rPr>
              <w:t xml:space="preserve">Office et voie</w:t>
            </w:r>
          </w:p>
        </w:tc>
      </w:tr>
      <w:tr>
        <w:tc>
          <w:tcPr>
            <w:tcW w:type="dxa" w:w="2300"/>
            <w:shd w:fill="F4F6FB" w:val="clear"/>
            <w:tcMar>
              <w:top w:type="dxa" w:w="80"/>
              <w:left w:type="dxa" w:w="120"/>
              <w:bottom w:type="dxa" w:w="80"/>
              <w:right w:type="dxa" w:w="120"/>
            </w:tcMar>
          </w:tcPr>
          <w:p>
            <w:r>
              <w:rPr>
                <w:b/>
                <w:bCs/>
                <w:color w:val="1F3864"/>
                <w:sz w:val="19"/>
                <w:szCs w:val="19"/>
              </w:rPr>
              <w:t xml:space="preserve">CEDH</w:t>
            </w:r>
          </w:p>
        </w:tc>
        <w:tc>
          <w:tcPr>
            <w:tcW w:type="dxa" w:w="7060"/>
            <w:shd w:fill="FFFFFF" w:val="clear"/>
            <w:tcMar>
              <w:top w:type="dxa" w:w="80"/>
              <w:left w:type="dxa" w:w="120"/>
              <w:bottom w:type="dxa" w:w="80"/>
              <w:right w:type="dxa" w:w="120"/>
            </w:tcMar>
          </w:tcPr>
          <w:p>
            <w:pPr>
              <w:jc w:val="both"/>
            </w:pPr>
            <w:r>
              <w:rPr>
                <w:b w:val="false"/>
                <w:bCs w:val="false"/>
                <w:color w:val="000000"/>
                <w:sz w:val="19"/>
                <w:szCs w:val="19"/>
              </w:rPr>
              <w:t xml:space="preserve">Contrôle du volet substantiel (nécessité absolue) et du volet procédural (enquête). Arrêt pilote lorsque l’affaire révèle un problème structurel : directives précises à l’État, délai, et gel des affaires similaires.</w:t>
            </w:r>
          </w:p>
        </w:tc>
      </w:tr>
      <w:tr>
        <w:tc>
          <w:tcPr>
            <w:tcW w:type="dxa" w:w="2300"/>
            <w:shd w:fill="F4F6FB" w:val="clear"/>
            <w:tcMar>
              <w:top w:type="dxa" w:w="80"/>
              <w:left w:type="dxa" w:w="120"/>
              <w:bottom w:type="dxa" w:w="80"/>
              <w:right w:type="dxa" w:w="120"/>
            </w:tcMar>
          </w:tcPr>
          <w:p>
            <w:r>
              <w:rPr>
                <w:b/>
                <w:bCs/>
                <w:color w:val="1F3864"/>
                <w:sz w:val="19"/>
                <w:szCs w:val="19"/>
              </w:rPr>
              <w:t xml:space="preserve">Conseil constitutionnel</w:t>
            </w:r>
          </w:p>
        </w:tc>
        <w:tc>
          <w:tcPr>
            <w:tcW w:type="dxa" w:w="7060"/>
            <w:shd w:fill="FFFFFF" w:val="clear"/>
            <w:tcMar>
              <w:top w:type="dxa" w:w="80"/>
              <w:left w:type="dxa" w:w="120"/>
              <w:bottom w:type="dxa" w:w="80"/>
              <w:right w:type="dxa" w:w="120"/>
            </w:tcMar>
          </w:tcPr>
          <w:p>
            <w:pPr>
              <w:jc w:val="both"/>
            </w:pPr>
            <w:r>
              <w:rPr>
                <w:b w:val="false"/>
                <w:bCs w:val="false"/>
                <w:color w:val="000000"/>
                <w:sz w:val="19"/>
                <w:szCs w:val="19"/>
              </w:rPr>
              <w:t xml:space="preserve">DC et QPC. Mais : incompétence pour contrôler la conformité de la loi à l’article 2 CEDH (1975) ; renvoi au législateur sur l’embryon (1994) ; incompétence sur les dispositions appliquant des dispositions inconditionnelles et précises d’une directive (2010-79 QPC).</w:t>
            </w:r>
          </w:p>
        </w:tc>
      </w:tr>
      <w:tr>
        <w:tc>
          <w:tcPr>
            <w:tcW w:type="dxa" w:w="2300"/>
            <w:shd w:fill="F4F6FB" w:val="clear"/>
            <w:tcMar>
              <w:top w:type="dxa" w:w="80"/>
              <w:left w:type="dxa" w:w="120"/>
              <w:bottom w:type="dxa" w:w="80"/>
              <w:right w:type="dxa" w:w="120"/>
            </w:tcMar>
          </w:tcPr>
          <w:p>
            <w:r>
              <w:rPr>
                <w:b/>
                <w:bCs/>
                <w:color w:val="1F3864"/>
                <w:sz w:val="19"/>
                <w:szCs w:val="19"/>
              </w:rPr>
              <w:t xml:space="preserve">Conseil d’État</w:t>
            </w:r>
          </w:p>
        </w:tc>
        <w:tc>
          <w:tcPr>
            <w:tcW w:type="dxa" w:w="7060"/>
            <w:shd w:fill="FFFFFF" w:val="clear"/>
            <w:tcMar>
              <w:top w:type="dxa" w:w="80"/>
              <w:left w:type="dxa" w:w="120"/>
              <w:bottom w:type="dxa" w:w="80"/>
              <w:right w:type="dxa" w:w="120"/>
            </w:tcMar>
          </w:tcPr>
          <w:p>
            <w:pPr>
              <w:jc w:val="both"/>
            </w:pPr>
            <w:r>
              <w:rPr>
                <w:b w:val="false"/>
                <w:bCs w:val="false"/>
                <w:color w:val="000000"/>
                <w:sz w:val="19"/>
                <w:szCs w:val="19"/>
              </w:rPr>
              <w:t xml:space="preserve">Référé-liberté, article L. 521-2 CJA : le droit à la vie est une liberté fondamentale (St Leu). Contrôle de l’armement des forces de l’ordre. Mais théorie des actes de gouvernement pour les décisions militaires (Mégret et Mekhantar).</w:t>
            </w:r>
          </w:p>
        </w:tc>
      </w:tr>
      <w:tr>
        <w:tc>
          <w:tcPr>
            <w:tcW w:type="dxa" w:w="2300"/>
            <w:shd w:fill="F4F6FB" w:val="clear"/>
            <w:tcMar>
              <w:top w:type="dxa" w:w="80"/>
              <w:left w:type="dxa" w:w="120"/>
              <w:bottom w:type="dxa" w:w="80"/>
              <w:right w:type="dxa" w:w="120"/>
            </w:tcMar>
          </w:tcPr>
          <w:p>
            <w:r>
              <w:rPr>
                <w:b/>
                <w:bCs/>
                <w:color w:val="1F3864"/>
                <w:sz w:val="19"/>
                <w:szCs w:val="19"/>
              </w:rPr>
              <w:t xml:space="preserve">Juridictions pénales</w:t>
            </w:r>
          </w:p>
        </w:tc>
        <w:tc>
          <w:tcPr>
            <w:tcW w:type="dxa" w:w="7060"/>
            <w:shd w:fill="FFFFFF" w:val="clear"/>
            <w:tcMar>
              <w:top w:type="dxa" w:w="80"/>
              <w:left w:type="dxa" w:w="120"/>
              <w:bottom w:type="dxa" w:w="80"/>
              <w:right w:type="dxa" w:w="120"/>
            </w:tcMar>
          </w:tcPr>
          <w:p>
            <w:pPr>
              <w:jc w:val="both"/>
            </w:pPr>
            <w:r>
              <w:rPr>
                <w:b w:val="false"/>
                <w:bCs w:val="false"/>
                <w:color w:val="000000"/>
                <w:sz w:val="19"/>
                <w:szCs w:val="19"/>
              </w:rPr>
              <w:t xml:space="preserve">Crimes de guerre, articles 461-1 et suivants du Code pénal. Cour pénale internationale, article 53-2 de la Constitution.</w:t>
            </w:r>
          </w:p>
        </w:tc>
      </w:tr>
      <w:tr>
        <w:tc>
          <w:tcPr>
            <w:tcW w:type="dxa" w:w="2300"/>
            <w:shd w:fill="F4F6FB" w:val="clear"/>
            <w:tcMar>
              <w:top w:type="dxa" w:w="80"/>
              <w:left w:type="dxa" w:w="120"/>
              <w:bottom w:type="dxa" w:w="80"/>
              <w:right w:type="dxa" w:w="120"/>
            </w:tcMar>
          </w:tcPr>
          <w:p>
            <w:r>
              <w:rPr>
                <w:b/>
                <w:bCs/>
                <w:color w:val="1F3864"/>
                <w:sz w:val="19"/>
                <w:szCs w:val="19"/>
              </w:rPr>
              <w:t xml:space="preserve">Comité des droits de l’homme</w:t>
            </w:r>
          </w:p>
        </w:tc>
        <w:tc>
          <w:tcPr>
            <w:tcW w:type="dxa" w:w="7060"/>
            <w:shd w:fill="FFFFFF" w:val="clear"/>
            <w:tcMar>
              <w:top w:type="dxa" w:w="80"/>
              <w:left w:type="dxa" w:w="120"/>
              <w:bottom w:type="dxa" w:w="80"/>
              <w:right w:type="dxa" w:w="120"/>
            </w:tcMar>
          </w:tcPr>
          <w:p>
            <w:pPr>
              <w:jc w:val="both"/>
            </w:pPr>
            <w:r>
              <w:rPr>
                <w:b w:val="false"/>
                <w:bCs w:val="false"/>
                <w:color w:val="000000"/>
                <w:sz w:val="19"/>
                <w:szCs w:val="19"/>
              </w:rPr>
              <w:t xml:space="preserve">Observations générales (n° 36) et communications individuelles.</w:t>
            </w:r>
          </w:p>
        </w:tc>
      </w:tr>
    </w:tbl>
    <w:p>
      <w:pPr>
        <w:shd w:fill="EEF1F8" w:val="clear"/>
        <w:spacing w:after="140" w:before="320"/>
      </w:pPr>
      <w:r>
        <w:rPr>
          <w:b/>
          <w:bCs/>
          <w:color w:val="FFFFFF"/>
          <w:sz w:val="24"/>
          <w:szCs w:val="24"/>
          <w:shd w:fill="1F3864" w:val="clear"/>
        </w:rPr>
        <w:t xml:space="preserve">  7  </w:t>
      </w:r>
      <w:r>
        <w:rPr>
          <w:b/>
          <w:bCs/>
          <w:caps/>
          <w:color w:val="1F3864"/>
          <w:sz w:val="24"/>
          <w:szCs w:val="24"/>
        </w:rPr>
        <w:t xml:space="preserve">  Tensions et actualité datée</w:t>
      </w:r>
    </w:p>
    <w:p>
      <w:pPr>
        <w:spacing w:after="80" w:before="200"/>
      </w:pPr>
      <w:r>
        <w:rPr>
          <w:b/>
          <w:bCs/>
          <w:color w:val="1F3864"/>
          <w:sz w:val="21"/>
          <w:szCs w:val="21"/>
        </w:rPr>
        <w:t xml:space="preserve">Les trois tensions qui donnent un plan</w:t>
      </w:r>
    </w:p>
    <w:p>
      <w:pPr>
        <w:pStyle w:val="ListParagraph"/>
        <w:numPr>
          <w:ilvl w:val="0"/>
          <w:numId w:val="2"/>
        </w:numPr>
        <w:spacing w:after="70"/>
        <w:jc w:val="both"/>
      </w:pPr>
      <w:r>
        <w:rPr>
          <w:sz w:val="20"/>
          <w:szCs w:val="20"/>
        </w:rPr>
        <w:t xml:space="preserve">Vie ↔ dignité. C’est la tension matricielle. La question de la fin de vie se heurte à une conception objective du droit à la vie et de la dignité. Elle met en perspective l’ambivalence du droit à la vie, entre droit fondamental conditionnant l’exercice de tous les autres et respect de la dignité, valeur matricielle des droits humains.</w:t>
      </w:r>
    </w:p>
    <w:p>
      <w:pPr>
        <w:pStyle w:val="ListParagraph"/>
        <w:numPr>
          <w:ilvl w:val="0"/>
          <w:numId w:val="2"/>
        </w:numPr>
        <w:spacing w:after="70"/>
        <w:jc w:val="both"/>
      </w:pPr>
      <w:r>
        <w:rPr>
          <w:sz w:val="20"/>
          <w:szCs w:val="20"/>
        </w:rPr>
        <w:t xml:space="preserve">Vie ↔ autonomie personnelle. La Cour ne reconnaît pas de dimension négative du droit à la vie, c’est-à-dire un droit à mourir : l’autonomie personnelle ne donne pas à l’individu un droit de « choisir la mort plutôt que la vie », le risque étant d’induire une pression involontaire sur des personnes vulnérables (CEDH, 29 avril 2002, Pretty c. Royaume-Uni, n° 2346/02). Mais large marge nationale d’appréciation sur la réglementation de la fin de vie (CEDH [GC], 5 juin 2015, Lambert et a. c. France, n° 46043/14).</w:t>
      </w:r>
    </w:p>
    <w:p>
      <w:pPr>
        <w:pStyle w:val="ListParagraph"/>
        <w:numPr>
          <w:ilvl w:val="0"/>
          <w:numId w:val="2"/>
        </w:numPr>
        <w:spacing w:after="70"/>
        <w:jc w:val="both"/>
      </w:pPr>
      <w:r>
        <w:rPr>
          <w:sz w:val="20"/>
          <w:szCs w:val="20"/>
        </w:rPr>
        <w:t xml:space="preserve">Vie ↔ ordre public. L’équilibre entre monopole de la violence légitime et nécessité absolue (bloc 5.2).</w:t>
      </w:r>
    </w:p>
    <w:p>
      <w:pPr>
        <w:spacing w:after="80" w:before="200"/>
      </w:pPr>
      <w:r>
        <w:rPr>
          <w:b/>
          <w:bCs/>
          <w:color w:val="1F3864"/>
          <w:sz w:val="21"/>
          <w:szCs w:val="21"/>
        </w:rPr>
        <w:t xml:space="preserve">Le régime interne de la fin de vie</w:t>
      </w:r>
    </w:p>
    <w:p>
      <w:pPr>
        <w:pStyle w:val="ListParagraph"/>
        <w:numPr>
          <w:ilvl w:val="0"/>
          <w:numId w:val="2"/>
        </w:numPr>
        <w:spacing w:after="70"/>
        <w:jc w:val="both"/>
      </w:pPr>
      <w:r>
        <w:rPr>
          <w:sz w:val="20"/>
          <w:szCs w:val="20"/>
        </w:rPr>
        <w:t xml:space="preserve">Article R. 4127-38 CSP : le médecin n’a pas le droit d’infliger délibérément la mort. Article L. 1110-5 : « toute personne a le droit d’avoir une fin de vie digne et accompagnée du meilleur apaisement possible de la souffrance ». Article L. 1110-5-1 : l’obstination déraisonnable — actes « inutiles, disproportionnés ou lorsqu’ils n’ont d’autre effet que le seul maintien artificiel de la vie » — peut être arrêtée selon la volonté du patient ou, à défaut, à l’issue d’une procédure collégiale.</w:t>
      </w:r>
    </w:p>
    <w:p>
      <w:pPr>
        <w:pStyle w:val="ListParagraph"/>
        <w:numPr>
          <w:ilvl w:val="0"/>
          <w:numId w:val="2"/>
        </w:numPr>
        <w:spacing w:after="70"/>
        <w:jc w:val="both"/>
      </w:pPr>
      <w:r>
        <w:rPr>
          <w:sz w:val="20"/>
          <w:szCs w:val="20"/>
        </w:rPr>
        <w:t xml:space="preserve">Loi « Claeys-Leonetti » du 2 février 2016 : sédation profonde, arrêt des traitements dont l’hydratation et la nutrition artificielles, directives anticipées.</w:t>
      </w:r>
    </w:p>
    <w:p>
      <w:pPr>
        <w:spacing w:after="70"/>
        <w:ind w:left="340" w:hanging="200"/>
        <w:jc w:val="both"/>
      </w:pPr>
      <w:r>
        <w:rPr>
          <w:b/>
          <w:bCs/>
          <w:color w:val="1F3864"/>
          <w:sz w:val="20"/>
          <w:szCs w:val="20"/>
        </w:rPr>
        <w:t xml:space="preserve">→ </w:t>
      </w:r>
      <w:r>
        <w:rPr>
          <w:b/>
          <w:bCs/>
          <w:sz w:val="20"/>
          <w:szCs w:val="20"/>
        </w:rPr>
        <w:t xml:space="preserve">Cons. const., déc. n° 2017-632 QPC, 2 juin 2017, Union nationale des associations de familles de traumatisés crâniens et de cérébro-lésés</w:t>
      </w:r>
      <w:r>
        <w:rPr>
          <w:sz w:val="20"/>
          <w:szCs w:val="20"/>
        </w:rPr>
        <w:t xml:space="preserve"> — conformité au principe de dignité humaine et à la liberté personnelle.</w:t>
      </w:r>
    </w:p>
    <w:p>
      <w:pPr>
        <w:spacing w:after="80" w:before="200"/>
      </w:pPr>
      <w:r>
        <w:rPr>
          <w:b/>
          <w:bCs/>
          <w:color w:val="1F3864"/>
          <w:sz w:val="21"/>
          <w:szCs w:val="21"/>
        </w:rPr>
        <w:t xml:space="preserve">Actualité datée</w:t>
      </w:r>
    </w:p>
    <w:p>
      <w:pPr>
        <w:spacing w:after="70"/>
        <w:ind w:left="340" w:hanging="200"/>
        <w:jc w:val="both"/>
      </w:pPr>
      <w:r>
        <w:rPr>
          <w:b/>
          <w:bCs/>
          <w:color w:val="1F3864"/>
          <w:sz w:val="20"/>
          <w:szCs w:val="20"/>
        </w:rPr>
        <w:t xml:space="preserve">→ </w:t>
      </w:r>
      <w:r>
        <w:rPr>
          <w:b/>
          <w:bCs/>
          <w:sz w:val="20"/>
          <w:szCs w:val="20"/>
        </w:rPr>
        <w:t xml:space="preserve">CEDH, 30 janvier 2025, Cannavacciuolo et autres c. Italie, n° 51567/14 et a.</w:t>
      </w:r>
      <w:r>
        <w:rPr>
          <w:sz w:val="20"/>
          <w:szCs w:val="20"/>
        </w:rPr>
        <w:t xml:space="preserve"> — « Terre des feux » en Campanie : enfouissement, abandon et combustion illégale de déchets dangereux pendant des décennies. Les autorités connaissaient l’ampleur du phénomène et les risques sanitaires sans adopter avec suffisamment de diligence les mesures nécessaires. Violation de l’article 2 et recours à la procédure de l’arrêt pilote compte tenu du caractère structurel. À retenir : le droit à la vie n’interdit pas seulement l’atteinte directement infligée par l’État, il impose d’agir lorsqu’un risque environnemental grave et durable est connu.</w:t>
      </w:r>
    </w:p>
    <w:p>
      <w:pPr>
        <w:spacing w:after="70"/>
        <w:ind w:left="340" w:hanging="200"/>
        <w:jc w:val="both"/>
      </w:pPr>
      <w:r>
        <w:rPr>
          <w:b/>
          <w:bCs/>
          <w:color w:val="1F3864"/>
          <w:sz w:val="20"/>
          <w:szCs w:val="20"/>
        </w:rPr>
        <w:t xml:space="preserve">→ </w:t>
      </w:r>
      <w:r>
        <w:rPr>
          <w:b/>
          <w:bCs/>
          <w:sz w:val="20"/>
          <w:szCs w:val="20"/>
        </w:rPr>
        <w:t xml:space="preserve">CEDH, 27 février 2025, Fraisse et a. c. France, n° 47626/21</w:t>
      </w:r>
      <w:r>
        <w:rPr>
          <w:sz w:val="20"/>
          <w:szCs w:val="20"/>
        </w:rPr>
        <w:t xml:space="preserve"> — voir bloc 5.2.</w:t>
      </w:r>
    </w:p>
    <w:p>
      <w:pPr>
        <w:spacing w:after="70"/>
        <w:ind w:left="340" w:hanging="200"/>
        <w:jc w:val="both"/>
      </w:pPr>
      <w:r>
        <w:rPr>
          <w:b/>
          <w:bCs/>
          <w:color w:val="1F3864"/>
          <w:sz w:val="20"/>
          <w:szCs w:val="20"/>
        </w:rPr>
        <w:t xml:space="preserve">→ </w:t>
      </w:r>
      <w:r>
        <w:rPr>
          <w:b/>
          <w:bCs/>
          <w:sz w:val="20"/>
          <w:szCs w:val="20"/>
        </w:rPr>
        <w:t xml:space="preserve">Cass., Ass. plén., 3 juillet 2026, n° 24-50.028 et 24-50.029</w:t>
      </w:r>
      <w:r>
        <w:rPr>
          <w:sz w:val="20"/>
          <w:szCs w:val="20"/>
        </w:rPr>
        <w:t xml:space="preserve"> — GPA réalisée à l’étranger. La prohibition de l’article 16-7 du Code civil est un principe essentiel de l’ordre juridique français, mais elle ne suffit pas à faire obstacle à la reconnaissance d’une décision étrangère établissant la filiation à l’égard des parents d’intention. Le juge vérifie des garanties suffisantes, notamment l’identification des personnes ayant participé au projet parental et le consentement de la mère porteuse à la convention et à ses conséquences sur ses droits parentaux ; l’intérêt supérieur de l’enfant est une considération primordiale. La filiation reconnue produit ses effets en tant que filiation, sans être transformée artificiellement en adoption. À retenir : il faut distinguer la licéité du procédé de procréation et les effets juridiques de la naissance.</w:t>
      </w:r>
    </w:p>
    <w:p>
      <w:pPr>
        <w:pStyle w:val="ListParagraph"/>
        <w:numPr>
          <w:ilvl w:val="0"/>
          <w:numId w:val="2"/>
        </w:numPr>
        <w:spacing w:after="70"/>
        <w:jc w:val="both"/>
      </w:pPr>
      <w:r>
        <w:rPr>
          <w:sz w:val="20"/>
          <w:szCs w:val="20"/>
        </w:rPr>
        <w:t xml:space="preserve">Loi du 27 mai 2025 : adoption d’un droit à l’aide à mourir, accompagnant le patient vers une aide active à mourir, encadrée par des critères et garanties spécifiques. Le débat avait été relancé par la consultation et le rapport parlementaire du 29 mars 2023.</w:t>
      </w:r>
    </w:p>
    <w:p>
      <w:pPr>
        <w:pBdr>
          <w:left w:val="single" w:color="8B1A1A" w:sz="18" w:space="8"/>
        </w:pBdr>
        <w:shd w:fill="FDF2F2" w:val="clear"/>
        <w:spacing w:after="140" w:before="140"/>
        <w:ind w:left="160" w:right="120"/>
        <w:jc w:val="both"/>
      </w:pPr>
      <w:r>
        <w:rPr>
          <w:color w:val="4A1010"/>
          <w:sz w:val="20"/>
          <w:szCs w:val="20"/>
        </w:rPr>
        <w:t xml:space="preserve">Divergence interne au fascicule, à connaître. La fiche 26 présente l’aide à mourir comme adoptée le 27 mai 2025 ; la fiche 27, plus récente, précise que le 27 mai 2025 l’Assemblée nationale a seulement adopté deux propositions de loi (n° 121 soins palliatifs, n° 122 aide à mourir), que le volet soins palliatifs a abouti à la loi du 26 mai 2026, et que le texte sur l’aide à mourir n’a été définitivement adopté que le 15 juillet 2026, puis validé sous trois réserves d’interprétation par Cons. const., déc. n° 2026-910 DC du 14 août 2026. Retenez la chronologie de la fiche 27 : c’est la plus précise, et c’est exactement le genre de date sur laquelle un jury vérifie si vous suivez l’actualité.</w:t>
      </w:r>
    </w:p>
    <w:p>
      <w:pPr>
        <w:spacing w:after="80" w:before="200"/>
      </w:pPr>
      <w:r>
        <w:rPr>
          <w:b/>
          <w:bCs/>
          <w:color w:val="1F3864"/>
          <w:sz w:val="21"/>
          <w:szCs w:val="21"/>
        </w:rPr>
        <w:t xml:space="preserve">Ouverture : vers un droit à une vie digne ?</w:t>
      </w:r>
    </w:p>
    <w:p>
      <w:pPr>
        <w:spacing w:after="90"/>
        <w:jc w:val="both"/>
      </w:pPr>
      <w:r>
        <w:rPr>
          <w:sz w:val="20"/>
          <w:szCs w:val="20"/>
        </w:rPr>
        <w:t xml:space="preserve">Le droit à la vie est un droit civil et politique, mais de nouvelles acceptions se développent sur le volet économique et social. La Cour européenne reste réticente, considérant qu’il n’existe pas de « droit à une certaine qualité de vie » (CEDH, 7 juin 2001, Ivanov c. Lettonie (déc.), n° 55933/00). Le Comité des droits de l’homme a en revanche reconnu un droit à la vie digne, faisant le lien entre droits de première et de deuxième génération, dans son Observation générale n° 36 puis dans Cáceres c. Paraguay (20 septembre 2019, n° 2751/2016) — approche décloisonnée davantage mobilisée par les organes onusiens que par les instruments européens.</w:t>
      </w:r>
    </w:p>
    <w:p>
      <w:pPr>
        <w:shd w:fill="EEF1F8" w:val="clear"/>
        <w:spacing w:after="140" w:before="320"/>
      </w:pPr>
      <w:r>
        <w:rPr>
          <w:b/>
          <w:bCs/>
          <w:color w:val="FFFFFF"/>
          <w:sz w:val="24"/>
          <w:szCs w:val="24"/>
          <w:shd w:fill="1F3864" w:val="clear"/>
        </w:rPr>
        <w:t xml:space="preserve">  8  </w:t>
      </w:r>
      <w:r>
        <w:rPr>
          <w:b/>
          <w:bCs/>
          <w:caps/>
          <w:color w:val="1F3864"/>
          <w:sz w:val="24"/>
          <w:szCs w:val="24"/>
        </w:rPr>
        <w:t xml:space="preserve">  Plan d’exposé prêt à l’emploi — « La fin de vie »</w:t>
      </w:r>
    </w:p>
    <w:p>
      <w:pPr>
        <w:spacing w:after="90"/>
        <w:jc w:val="both"/>
      </w:pPr>
      <w:r>
        <w:rPr>
          <w:sz w:val="20"/>
          <w:szCs w:val="20"/>
        </w:rPr>
        <w:t xml:space="preserve">Dissertation corrigée du fascicule. Le plan est transposable à presque n’importe quelle liberté : encadrement strict de l’atteinte, puis recherche d’un équilibre.</w:t>
      </w:r>
    </w:p>
    <w:p>
      <w:pPr>
        <w:pBdr>
          <w:left w:val="single" w:color="1F3864" w:sz="18" w:space="8"/>
        </w:pBdr>
        <w:shd w:fill="F4F6FB" w:val="clear"/>
        <w:spacing w:after="140" w:before="140"/>
        <w:ind w:left="160" w:right="120"/>
        <w:jc w:val="both"/>
      </w:pPr>
      <w:r>
        <w:rPr>
          <w:b/>
          <w:bCs/>
          <w:color w:val="1F3864"/>
          <w:sz w:val="20"/>
          <w:szCs w:val="20"/>
        </w:rPr>
        <w:t xml:space="preserve">Problématique. </w:t>
      </w:r>
      <w:r>
        <w:rPr>
          <w:sz w:val="20"/>
          <w:szCs w:val="20"/>
        </w:rPr>
        <w:t xml:space="preserve">Bien que le droit à la vie soit une valeur suprême des droits fondamentaux dont toute atteinte nécessite un encadrement strict (I), les dispositions relatives à la fin de vie permettent de ménager un équilibre délicat pour le respect de la dignité humaine (II).</w:t>
      </w:r>
    </w:p>
    <w:p>
      <w:pPr>
        <w:spacing w:after="80" w:before="200"/>
      </w:pPr>
      <w:r>
        <w:rPr>
          <w:b/>
          <w:bCs/>
          <w:color w:val="1F3864"/>
          <w:sz w:val="21"/>
          <w:szCs w:val="21"/>
        </w:rPr>
        <w:t xml:space="preserve">I. Un encadrement strict pour la protection de la vie en toutes circonstances</w:t>
      </w:r>
    </w:p>
    <w:p>
      <w:pPr>
        <w:pStyle w:val="ListParagraph"/>
        <w:numPr>
          <w:ilvl w:val="0"/>
          <w:numId w:val="2"/>
        </w:numPr>
        <w:spacing w:after="70"/>
        <w:jc w:val="both"/>
      </w:pPr>
      <w:r>
        <w:rPr>
          <w:sz w:val="20"/>
          <w:szCs w:val="20"/>
        </w:rPr>
        <w:t xml:space="preserve">A. La protection de la vie comme valeur essentielle — Streletz (valeur suprême), Baboeram (droit suprême), St Leu (droit fondamental) ; pas de double négatif permettant un « droit à mourir » (Pretty ; Obs. gén. n° 36 sur les pressions et abus pouvant être exercés sur les patients) ; ni la Constitution ni le Conseil constitutionnel ne reconnaissent de valeur suprême au droit à la vie, consacrant à la place la dignité (94-343/344 DC) — c’est au législateur de réaliser l’équilibre.</w:t>
      </w:r>
    </w:p>
    <w:p>
      <w:pPr>
        <w:pStyle w:val="ListParagraph"/>
        <w:numPr>
          <w:ilvl w:val="0"/>
          <w:numId w:val="2"/>
        </w:numPr>
        <w:spacing w:after="70"/>
        <w:jc w:val="both"/>
      </w:pPr>
      <w:r>
        <w:rPr>
          <w:sz w:val="20"/>
          <w:szCs w:val="20"/>
        </w:rPr>
        <w:t xml:space="preserve">B. La nécessité d’un encadrement strict de la fin de vie — obligation positive d’établir un cadre législatif adéquat ; interdiction pour le médecin de porter volontairement atteinte à la vie (art. R. 4127-38 CSP) et devoir de respecter la vie humaine et sa dignité (art. R. 4127-2), deux éléments pouvant entrer en conflit ; loi du 22 avril 2005 « Leonetti » (interdiction de l’obstination déraisonnable) ; loi du 2 février 2016 ; référé ouvert en cas de litige sur l’avis médical, garantie fondamentale supplémentaire.</w:t>
      </w:r>
    </w:p>
    <w:p>
      <w:pPr>
        <w:spacing w:after="80" w:before="200"/>
      </w:pPr>
      <w:r>
        <w:rPr>
          <w:b/>
          <w:bCs/>
          <w:color w:val="1F3864"/>
          <w:sz w:val="21"/>
          <w:szCs w:val="21"/>
        </w:rPr>
        <w:t xml:space="preserve">II. La protection de la dignité dans la fin de vie</w:t>
      </w:r>
    </w:p>
    <w:p>
      <w:pPr>
        <w:pStyle w:val="ListParagraph"/>
        <w:numPr>
          <w:ilvl w:val="0"/>
          <w:numId w:val="2"/>
        </w:numPr>
        <w:spacing w:after="70"/>
        <w:jc w:val="both"/>
      </w:pPr>
      <w:r>
        <w:rPr>
          <w:sz w:val="20"/>
          <w:szCs w:val="20"/>
        </w:rPr>
        <w:t xml:space="preserve">A. Une reconnaissance jurisprudentielle de la dignité dans la fin de vie — pas d’interdiction de l’euthanasie, faute de consensus européen, et large marge d’appréciation (CEDH, 4 octobre 2022, Mortier c. Belgique, n° 78017/17) ; autodétermination reconnue (Pretty) mais pas de présomption de volonté d’arrêt des traitements (2017-632 QPC) ; l’arrêt de l’hydratation et de la nutrition ne viole pas le droit à la vie (Lambert) ; l’Observation générale n° 36 (points 9 et 10) limite son interprétation aux patients adultes, alors que la législation française s’applique aussi aux enfants (CE, ord., 24 avril 2023, n° 469669).</w:t>
      </w:r>
    </w:p>
    <w:p>
      <w:pPr>
        <w:pStyle w:val="ListParagraph"/>
        <w:numPr>
          <w:ilvl w:val="0"/>
          <w:numId w:val="2"/>
        </w:numPr>
        <w:spacing w:after="70"/>
        <w:jc w:val="both"/>
      </w:pPr>
      <w:r>
        <w:rPr>
          <w:sz w:val="20"/>
          <w:szCs w:val="20"/>
        </w:rPr>
        <w:t xml:space="preserve">B. Un droit à une fin de vie digne ? — Convention citoyenne du CESE (184 citoyens, rapport avril 2023) constatant l’insuffisance du cadre et préconisant l’aide active à mourir sous critères médicaux, de discernement et d’âge ; rapport d’information de la commission des affaires sociales du 29 mars 2023 ; avis défavorable de l’Ordre national des médecins du 1er avril 2023, marquant une dichotomie entre experts et opinion majoritaire ; puis la loi créant le droit à l’aide à mourir, encadrée par cinq conditions et une clause de conscience, avec un délit d’entrave.</w:t>
      </w:r>
    </w:p>
    <w:sectPr>
      <w:pgSz w:w="11906" w:h="16838" w:orient="portrait"/>
      <w:pgMar w:top="1000" w:right="1040" w:bottom="1000" w:left="10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2026-10-03T13:52:12.402Z</dcterms:created>
  <dcterms:modified xsi:type="dcterms:W3CDTF">2026-10-03T13:52:12.412Z</dcterms:modified>
</cp:coreProperties>
</file>

<file path=docProps/custom.xml><?xml version="1.0" encoding="utf-8"?>
<Properties xmlns="http://schemas.openxmlformats.org/officeDocument/2006/custom-properties" xmlns:vt="http://schemas.openxmlformats.org/officeDocument/2006/docPropsVTypes"/>
</file>