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4"/>
          <w:szCs w:val="34"/>
        </w:rPr>
        <w:t xml:space="preserve">FICHE 27 — LE DROIT À L’INTÉGRITÉ DE LA PERSONNE</w:t>
      </w:r>
    </w:p>
    <w:p>
      <w:pPr>
        <w:pBdr>
          <w:bottom w:val="single" w:color="1F3864" w:sz="12" w:space="6"/>
        </w:pBdr>
        <w:spacing w:after="300"/>
      </w:pPr>
      <w:r>
        <w:rPr>
          <w:i/>
          <w:iCs/>
          <w:color w:val="595959"/>
          <w:sz w:val="18"/>
          <w:szCs w:val="18"/>
        </w:rPr>
        <w:t xml:space="preserve">Source unique : Objectif Barreau, Libertés publiques et droits fondamentaux 2026, fiche n° 27, p. 267 à 278.</w:t>
      </w:r>
    </w:p>
    <w:p>
      <w:pPr>
        <w:pBdr>
          <w:left w:val="single" w:color="1F3864" w:sz="18" w:space="8"/>
        </w:pBdr>
        <w:shd w:fill="F4F6FB" w:val="clear"/>
        <w:spacing w:after="140" w:before="140"/>
        <w:ind w:left="160" w:right="120"/>
        <w:jc w:val="both"/>
      </w:pPr>
      <w:r>
        <w:rPr>
          <w:b/>
          <w:bCs/>
          <w:color w:val="1F3864"/>
          <w:sz w:val="20"/>
          <w:szCs w:val="20"/>
        </w:rPr>
        <w:t xml:space="preserve">Points clés du fascicule. </w:t>
      </w:r>
      <w:r>
        <w:rPr>
          <w:sz w:val="20"/>
          <w:szCs w:val="20"/>
        </w:rPr>
        <w:t xml:space="preserve">La sacralisation du consentement · la consécration de la notion d’autonomie personnelle · la protection de l’intégrité physique et de l’intégrité morale · l’absence de consécration du droit à mourir.</w:t>
      </w:r>
    </w:p>
    <w:p>
      <w:pPr>
        <w:shd w:fill="EEF1F8" w:val="clear"/>
        <w:spacing w:after="140" w:before="320"/>
      </w:pPr>
      <w:r>
        <w:rPr>
          <w:b/>
          <w:bCs/>
          <w:color w:val="FFFFFF"/>
          <w:sz w:val="24"/>
          <w:szCs w:val="24"/>
          <w:shd w:fill="1F3864" w:val="clear"/>
        </w:rPr>
        <w:t xml:space="preserve">  1  </w:t>
      </w:r>
      <w:r>
        <w:rPr>
          <w:b/>
          <w:bCs/>
          <w:caps/>
          <w:color w:val="1F3864"/>
          <w:sz w:val="24"/>
          <w:szCs w:val="24"/>
        </w:rPr>
        <w:t xml:space="preserve">  Identité juridique</w:t>
      </w:r>
    </w:p>
    <w:p>
      <w:pPr>
        <w:spacing w:after="90"/>
        <w:jc w:val="both"/>
      </w:pPr>
      <w:r>
        <w:rPr>
          <w:sz w:val="20"/>
          <w:szCs w:val="20"/>
        </w:rPr>
        <w:t xml:space="preserve">Le droit à l’intégrité de la personne est protégé tant par le système de la Convention européenne qu’en droit français. La notion est absente du texte de la Convention : elle est protégée par l’application de plusieurs articles, essentiellement les articles 8 et 3, appliqués isolément ou de manière combinée.</w:t>
      </w:r>
    </w:p>
    <w:p>
      <w:pPr>
        <w:spacing w:after="70"/>
        <w:ind w:left="340" w:hanging="200"/>
        <w:jc w:val="both"/>
      </w:pPr>
      <w:r>
        <w:rPr>
          <w:b/>
          <w:bCs/>
          <w:color w:val="1F3864"/>
          <w:sz w:val="20"/>
          <w:szCs w:val="20"/>
        </w:rPr>
        <w:t xml:space="preserve">→ </w:t>
      </w:r>
      <w:r>
        <w:rPr>
          <w:b/>
          <w:bCs/>
          <w:sz w:val="20"/>
          <w:szCs w:val="20"/>
        </w:rPr>
        <w:t xml:space="preserve">CEDH, 26 septembre 2006, Wainwright c. Royaume-Uni, n° 12350/04</w:t>
      </w:r>
    </w:p>
    <w:p>
      <w:pPr>
        <w:pBdr>
          <w:left w:val="single" w:color="1F3864" w:sz="18" w:space="8"/>
        </w:pBdr>
        <w:shd w:fill="F4F6FB" w:val="clear"/>
        <w:spacing w:after="140" w:before="140"/>
        <w:ind w:left="160" w:right="120"/>
        <w:jc w:val="both"/>
      </w:pPr>
      <w:r>
        <w:rPr>
          <w:b/>
          <w:bCs/>
          <w:color w:val="1F3864"/>
          <w:sz w:val="20"/>
          <w:szCs w:val="20"/>
        </w:rPr>
        <w:t xml:space="preserve">Le mécanisme d’aiguillage, à savoir par cœur. </w:t>
      </w:r>
      <w:r>
        <w:rPr>
          <w:sz w:val="20"/>
          <w:szCs w:val="20"/>
        </w:rPr>
        <w:t xml:space="preserve">une atteinte à l’intégrité physique est traitée sur le fondement de l’article 3 si elle dépasse le SEUIL DE GRAVITÉ requis, apprécié au regard des circonstances de la cause et notamment de la gravité de l’atteinte. Si le seuil n’est pas rempli, la Cour traite l’atteinte sur le fondement des articles 8 et 3 combinés, ou de l’article 8 seul en cas d’atteinte de moindre gravité. C’est la première question d’un commentaire d’arrêt en la matière : quel fondement, et pourquoi celui-là ?</w:t>
      </w:r>
    </w:p>
    <w:p>
      <w:pPr>
        <w:spacing w:after="90"/>
        <w:jc w:val="both"/>
      </w:pPr>
      <w:r>
        <w:rPr>
          <w:sz w:val="20"/>
          <w:szCs w:val="20"/>
        </w:rPr>
        <w:t xml:space="preserve">Le droit se dédouble : il protège l’aspect physique de la personne et son intégrité morale. L’intégrité découle du droit au respect de la vie privée protégé par l’article 8.</w:t>
      </w:r>
    </w:p>
    <w:p>
      <w:pPr>
        <w:spacing w:after="70"/>
        <w:ind w:left="340" w:hanging="200"/>
        <w:jc w:val="both"/>
      </w:pPr>
      <w:r>
        <w:rPr>
          <w:b/>
          <w:bCs/>
          <w:color w:val="1F3864"/>
          <w:sz w:val="20"/>
          <w:szCs w:val="20"/>
        </w:rPr>
        <w:t xml:space="preserve">→ </w:t>
      </w:r>
      <w:r>
        <w:rPr>
          <w:b/>
          <w:bCs/>
          <w:sz w:val="20"/>
          <w:szCs w:val="20"/>
        </w:rPr>
        <w:t xml:space="preserve">CEDH [GC], 25 septembre 2018, Denisov c. Ukraine, n° 76639/11</w:t>
      </w:r>
    </w:p>
    <w:p>
      <w:pPr>
        <w:spacing w:after="90"/>
        <w:jc w:val="both"/>
      </w:pPr>
      <w:r>
        <w:rPr>
          <w:sz w:val="20"/>
          <w:szCs w:val="20"/>
        </w:rPr>
        <w:t xml:space="preserve">En droit interne, le Conseil constitutionnel protège également cette notion : selon les juges de la rue de Montpensier, elle découle du principe à valeur constitutionnelle de dignité de la personne humaine, tiré du préambule de la Constitution de 1946.</w:t>
      </w:r>
    </w:p>
    <w:p>
      <w:pPr>
        <w:spacing w:after="70"/>
        <w:ind w:left="340" w:hanging="200"/>
        <w:jc w:val="both"/>
      </w:pPr>
      <w:r>
        <w:rPr>
          <w:b/>
          <w:bCs/>
          <w:color w:val="1F3864"/>
          <w:sz w:val="20"/>
          <w:szCs w:val="20"/>
        </w:rPr>
        <w:t xml:space="preserve">→ </w:t>
      </w:r>
      <w:r>
        <w:rPr>
          <w:b/>
          <w:bCs/>
          <w:sz w:val="20"/>
          <w:szCs w:val="20"/>
        </w:rPr>
        <w:t xml:space="preserve">Cons. const., déc. n° 94-343/344 DC, 27 juillet 1994, Loi relative au respect du corps humain…</w:t>
      </w:r>
    </w:p>
    <w:p>
      <w:pPr>
        <w:shd w:fill="EEF1F8" w:val="clear"/>
        <w:spacing w:after="140" w:before="320"/>
      </w:pPr>
      <w:r>
        <w:rPr>
          <w:b/>
          <w:bCs/>
          <w:color w:val="FFFFFF"/>
          <w:sz w:val="24"/>
          <w:szCs w:val="24"/>
          <w:shd w:fill="1F3864" w:val="clear"/>
        </w:rPr>
        <w:t xml:space="preserve">  2  </w:t>
      </w:r>
      <w:r>
        <w:rPr>
          <w:b/>
          <w:bCs/>
          <w:caps/>
          <w:color w:val="1F3864"/>
          <w:sz w:val="24"/>
          <w:szCs w:val="24"/>
        </w:rPr>
        <w:t xml:space="preserve">  Les sources, en escalier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1F3864" w:val="clear"/>
            <w:tcMar>
              <w:top w:type="dxa" w:w="80"/>
              <w:left w:type="dxa" w:w="120"/>
              <w:bottom w:type="dxa" w:w="80"/>
              <w:right w:type="dxa" w:w="120"/>
            </w:tcMar>
          </w:tcPr>
          <w:p>
            <w:r>
              <w:rPr>
                <w:b/>
                <w:bCs/>
                <w:color w:val="FFFFFF"/>
                <w:sz w:val="19"/>
                <w:szCs w:val="19"/>
              </w:rPr>
              <w:t xml:space="preserve">Niveau</w:t>
            </w:r>
          </w:p>
        </w:tc>
        <w:tc>
          <w:tcPr>
            <w:tcW w:type="dxa" w:w="7060"/>
            <w:shd w:fill="1F3864" w:val="clear"/>
            <w:tcMar>
              <w:top w:type="dxa" w:w="80"/>
              <w:left w:type="dxa" w:w="120"/>
              <w:bottom w:type="dxa" w:w="80"/>
              <w:right w:type="dxa" w:w="120"/>
            </w:tcMar>
          </w:tcPr>
          <w:p>
            <w:pPr>
              <w:jc w:val="both"/>
            </w:pPr>
            <w:r>
              <w:rPr>
                <w:b/>
                <w:bCs/>
                <w:color w:val="FFFFFF"/>
                <w:sz w:val="19"/>
                <w:szCs w:val="19"/>
              </w:rPr>
              <w:t xml:space="preserve">Textes</w:t>
            </w:r>
          </w:p>
        </w:tc>
      </w:tr>
      <w:tr>
        <w:tc>
          <w:tcPr>
            <w:tcW w:type="dxa" w:w="2300"/>
            <w:shd w:fill="F4F6FB" w:val="clear"/>
            <w:tcMar>
              <w:top w:type="dxa" w:w="80"/>
              <w:left w:type="dxa" w:w="120"/>
              <w:bottom w:type="dxa" w:w="80"/>
              <w:right w:type="dxa" w:w="120"/>
            </w:tcMar>
          </w:tcPr>
          <w:p>
            <w:r>
              <w:rPr>
                <w:b/>
                <w:bCs/>
                <w:color w:val="1F3864"/>
                <w:sz w:val="19"/>
                <w:szCs w:val="19"/>
              </w:rPr>
              <w:t xml:space="preserve">Constitutionnel</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Dignité de la personne humaine, tirée du préambule de 1946 (support de l’intégrité). Alinéa 11 du préambule de 1946 pour la protection de la santé — d’abord principe à valeur constitutionnelle (Cons. const., n° 80-117 DC, 22 juillet 1980), puis objectif à valeur constitutionnelle (Cons. const., n° 2022-835 DC, 21 janvier 2022).</w:t>
            </w:r>
          </w:p>
        </w:tc>
      </w:tr>
      <w:tr>
        <w:tc>
          <w:tcPr>
            <w:tcW w:type="dxa" w:w="2300"/>
            <w:shd w:fill="F4F6FB" w:val="clear"/>
            <w:tcMar>
              <w:top w:type="dxa" w:w="80"/>
              <w:left w:type="dxa" w:w="120"/>
              <w:bottom w:type="dxa" w:w="80"/>
              <w:right w:type="dxa" w:w="120"/>
            </w:tcMar>
          </w:tcPr>
          <w:p>
            <w:r>
              <w:rPr>
                <w:b/>
                <w:bCs/>
                <w:color w:val="1F3864"/>
                <w:sz w:val="19"/>
                <w:szCs w:val="19"/>
              </w:rPr>
              <w:t xml:space="preserve">Conventionnel</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Articles 8 et 3 CEDH, isolément ou combinés (la notion elle-même est absente du texte). Article 35 de la Charte des droits fondamentaux de l’Union européenne.</w:t>
            </w:r>
          </w:p>
        </w:tc>
      </w:tr>
      <w:tr>
        <w:tc>
          <w:tcPr>
            <w:tcW w:type="dxa" w:w="2300"/>
            <w:shd w:fill="F4F6FB" w:val="clear"/>
            <w:tcMar>
              <w:top w:type="dxa" w:w="80"/>
              <w:left w:type="dxa" w:w="120"/>
              <w:bottom w:type="dxa" w:w="80"/>
              <w:right w:type="dxa" w:w="120"/>
            </w:tcMar>
          </w:tcPr>
          <w:p>
            <w:r>
              <w:rPr>
                <w:b/>
                <w:bCs/>
                <w:color w:val="1F3864"/>
                <w:sz w:val="19"/>
                <w:szCs w:val="19"/>
              </w:rPr>
              <w:t xml:space="preserve">Onusien et social</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Article 25-1 DUDH · article 12-1 PIDESC · article 11 de la Charte sociale européenne.</w:t>
            </w:r>
          </w:p>
        </w:tc>
      </w:tr>
      <w:tr>
        <w:tc>
          <w:tcPr>
            <w:tcW w:type="dxa" w:w="2300"/>
            <w:shd w:fill="F4F6FB" w:val="clear"/>
            <w:tcMar>
              <w:top w:type="dxa" w:w="80"/>
              <w:left w:type="dxa" w:w="120"/>
              <w:bottom w:type="dxa" w:w="80"/>
              <w:right w:type="dxa" w:w="120"/>
            </w:tcMar>
          </w:tcPr>
          <w:p>
            <w:r>
              <w:rPr>
                <w:b/>
                <w:bCs/>
                <w:color w:val="1F3864"/>
                <w:sz w:val="19"/>
                <w:szCs w:val="19"/>
              </w:rPr>
              <w:t xml:space="preserve">Code civil</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Article 16-1 et 16-3 : inviolabilité du corps humain (lois bioéthique du 29 juillet 1994). Article 16-5 : non-patrimonialité. Article 16-7 : prohibition de la GPA. Article 61-6 : changement de sexe à l’état civil. Articles 9 et suivants : intégrité morale, et article 9 alinéa 2 pour le référé. Articles 1240 et suivants : réparation.</w:t>
            </w:r>
          </w:p>
        </w:tc>
      </w:tr>
      <w:tr>
        <w:tc>
          <w:tcPr>
            <w:tcW w:type="dxa" w:w="2300"/>
            <w:shd w:fill="F4F6FB" w:val="clear"/>
            <w:tcMar>
              <w:top w:type="dxa" w:w="80"/>
              <w:left w:type="dxa" w:w="120"/>
              <w:bottom w:type="dxa" w:w="80"/>
              <w:right w:type="dxa" w:w="120"/>
            </w:tcMar>
          </w:tcPr>
          <w:p>
            <w:r>
              <w:rPr>
                <w:b/>
                <w:bCs/>
                <w:color w:val="1F3864"/>
                <w:sz w:val="19"/>
                <w:szCs w:val="19"/>
              </w:rPr>
              <w:t xml:space="preserve">Code de la santé publique</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L. 1110-5 et L. 1110-5-1 (fin de vie digne, obstination déraisonnable) · L. 1111-4 (droit de refuser un traitement) · L. 1111-6 (personne de confiance) · L. 1111-11 (directives anticipées) · L. 1121-2 (recherche médicale) · L. 1211-8 (don d’organe ou de gamète).</w:t>
            </w:r>
          </w:p>
        </w:tc>
      </w:tr>
      <w:tr>
        <w:tc>
          <w:tcPr>
            <w:tcW w:type="dxa" w:w="2300"/>
            <w:shd w:fill="F4F6FB" w:val="clear"/>
            <w:tcMar>
              <w:top w:type="dxa" w:w="80"/>
              <w:left w:type="dxa" w:w="120"/>
              <w:bottom w:type="dxa" w:w="80"/>
              <w:right w:type="dxa" w:w="120"/>
            </w:tcMar>
          </w:tcPr>
          <w:p>
            <w:r>
              <w:rPr>
                <w:b/>
                <w:bCs/>
                <w:color w:val="1F3864"/>
                <w:sz w:val="19"/>
                <w:szCs w:val="19"/>
              </w:rPr>
              <w:t xml:space="preserve">Code pénal</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Article 222-22, réécrit par la loi n° 2025-1057 du 6 novembre 2025. Livre Ier, Titre II, pour les atteintes à l’intégrité physique.</w:t>
            </w:r>
          </w:p>
        </w:tc>
      </w:tr>
      <w:tr>
        <w:tc>
          <w:tcPr>
            <w:tcW w:type="dxa" w:w="2300"/>
            <w:shd w:fill="F4F6FB" w:val="clear"/>
            <w:tcMar>
              <w:top w:type="dxa" w:w="80"/>
              <w:left w:type="dxa" w:w="120"/>
              <w:bottom w:type="dxa" w:w="80"/>
              <w:right w:type="dxa" w:w="120"/>
            </w:tcMar>
          </w:tcPr>
          <w:p>
            <w:r>
              <w:rPr>
                <w:b/>
                <w:bCs/>
                <w:color w:val="1F3864"/>
                <w:sz w:val="19"/>
                <w:szCs w:val="19"/>
              </w:rPr>
              <w:t xml:space="preserve">Presse</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Loi du 29 juillet 1881 : son champ exclut le droit commun de la responsabilité civile.</w:t>
            </w:r>
          </w:p>
        </w:tc>
      </w:tr>
    </w:tbl>
    <w:p>
      <w:pPr>
        <w:shd w:fill="EEF1F8" w:val="clear"/>
        <w:spacing w:after="140" w:before="320"/>
      </w:pPr>
      <w:r>
        <w:rPr>
          <w:b/>
          <w:bCs/>
          <w:color w:val="FFFFFF"/>
          <w:sz w:val="24"/>
          <w:szCs w:val="24"/>
          <w:shd w:fill="1F3864" w:val="clear"/>
        </w:rPr>
        <w:t xml:space="preserve">  3  </w:t>
      </w:r>
      <w:r>
        <w:rPr>
          <w:b/>
          <w:bCs/>
          <w:caps/>
          <w:color w:val="1F3864"/>
          <w:sz w:val="24"/>
          <w:szCs w:val="24"/>
        </w:rPr>
        <w:t xml:space="preserve">  Titulaires et champ d’application</w:t>
      </w:r>
    </w:p>
    <w:p>
      <w:pPr>
        <w:pStyle w:val="ListParagraph"/>
        <w:numPr>
          <w:ilvl w:val="0"/>
          <w:numId w:val="2"/>
        </w:numPr>
        <w:spacing w:after="70"/>
        <w:jc w:val="both"/>
      </w:pPr>
      <w:r>
        <w:rPr>
          <w:sz w:val="20"/>
          <w:szCs w:val="20"/>
        </w:rPr>
        <w:t xml:space="preserve">Personnes physiques, dans leur sphère personnelle comme dans leur sphère professionnelle (Denisov).</w:t>
      </w:r>
    </w:p>
    <w:p>
      <w:pPr>
        <w:pStyle w:val="ListParagraph"/>
        <w:numPr>
          <w:ilvl w:val="0"/>
          <w:numId w:val="2"/>
        </w:numPr>
        <w:spacing w:after="70"/>
        <w:jc w:val="both"/>
      </w:pPr>
      <w:r>
        <w:rPr>
          <w:sz w:val="20"/>
          <w:szCs w:val="20"/>
        </w:rPr>
        <w:t xml:space="preserve">Personnes morales : elles ne disposent pas du même niveau de protection de leur réputation que les personnes physiques (CEDH, 8 octobre 2019, Margulev c. Russie, n° 15449/09).</w:t>
      </w:r>
    </w:p>
    <w:p>
      <w:pPr>
        <w:pStyle w:val="ListParagraph"/>
        <w:numPr>
          <w:ilvl w:val="0"/>
          <w:numId w:val="2"/>
        </w:numPr>
        <w:spacing w:after="70"/>
        <w:jc w:val="both"/>
      </w:pPr>
      <w:r>
        <w:rPr>
          <w:sz w:val="20"/>
          <w:szCs w:val="20"/>
        </w:rPr>
        <w:t xml:space="preserve">Effet horizontal marqué : l’État a une obligation positive de protéger l’intégrité jusque dans les relations interindividuelles (voir bloc 5.4).</w:t>
      </w:r>
    </w:p>
    <w:p>
      <w:pPr>
        <w:spacing w:after="80" w:before="200"/>
      </w:pPr>
      <w:r>
        <w:rPr>
          <w:b/>
          <w:bCs/>
          <w:color w:val="1F3864"/>
          <w:sz w:val="21"/>
          <w:szCs w:val="21"/>
        </w:rPr>
        <w:t xml:space="preserve">Les trois critères de l’atteinte à l’intégrité morale</w:t>
      </w:r>
    </w:p>
    <w:p>
      <w:pPr>
        <w:pStyle w:val="ListParagraph"/>
        <w:numPr>
          <w:ilvl w:val="0"/>
          <w:numId w:val="2"/>
        </w:numPr>
        <w:spacing w:after="70"/>
        <w:jc w:val="both"/>
      </w:pPr>
      <w:r>
        <w:rPr>
          <w:sz w:val="20"/>
          <w:szCs w:val="20"/>
        </w:rPr>
        <w:t xml:space="preserve">L’atteinte doit avoir un certain niveau de gravité et affecter la jouissance personnelle du droit au respect de la vie privée (Denisov).</w:t>
      </w:r>
    </w:p>
    <w:p>
      <w:pPr>
        <w:pStyle w:val="ListParagraph"/>
        <w:numPr>
          <w:ilvl w:val="0"/>
          <w:numId w:val="2"/>
        </w:numPr>
        <w:spacing w:after="70"/>
        <w:jc w:val="both"/>
      </w:pPr>
      <w:r>
        <w:rPr>
          <w:sz w:val="20"/>
          <w:szCs w:val="20"/>
        </w:rPr>
        <w:t xml:space="preserve">La personne doit être facilement identifiable.</w:t>
      </w:r>
    </w:p>
    <w:p>
      <w:pPr>
        <w:pStyle w:val="ListParagraph"/>
        <w:numPr>
          <w:ilvl w:val="0"/>
          <w:numId w:val="2"/>
        </w:numPr>
        <w:spacing w:after="70"/>
        <w:jc w:val="both"/>
      </w:pPr>
      <w:r>
        <w:rPr>
          <w:sz w:val="20"/>
          <w:szCs w:val="20"/>
        </w:rPr>
        <w:t xml:space="preserve">L’individu doit avoir une espérance légitime à la protection de son intégrité morale, qui se déduit notamment de son comportement et de sa qualité de personnalité publique (CEDH [GC], 7 février 2012, Von Hannover c. Allemagne (n° 2), n° 40660/08 et 60641/08).</w:t>
      </w:r>
    </w:p>
    <w:p>
      <w:pPr>
        <w:shd w:fill="EEF1F8" w:val="clear"/>
        <w:spacing w:after="140" w:before="320"/>
      </w:pPr>
      <w:r>
        <w:rPr>
          <w:b/>
          <w:bCs/>
          <w:color w:val="FFFFFF"/>
          <w:sz w:val="24"/>
          <w:szCs w:val="24"/>
          <w:shd w:fill="1F3864" w:val="clear"/>
        </w:rPr>
        <w:t xml:space="preserve">  4  </w:t>
      </w:r>
      <w:r>
        <w:rPr>
          <w:b/>
          <w:bCs/>
          <w:caps/>
          <w:color w:val="1F3864"/>
          <w:sz w:val="24"/>
          <w:szCs w:val="24"/>
        </w:rPr>
        <w:t xml:space="preserve">  Le régime : le consentement et ses limites</w:t>
      </w:r>
    </w:p>
    <w:p>
      <w:pPr>
        <w:spacing w:after="80" w:before="200"/>
      </w:pPr>
      <w:r>
        <w:rPr>
          <w:b/>
          <w:bCs/>
          <w:color w:val="1F3864"/>
          <w:sz w:val="21"/>
          <w:szCs w:val="21"/>
        </w:rPr>
        <w:t xml:space="preserve">4.1. Le principe : l’autonomie personnelle</w:t>
      </w:r>
    </w:p>
    <w:p>
      <w:pPr>
        <w:spacing w:after="90"/>
        <w:jc w:val="both"/>
      </w:pPr>
      <w:r>
        <w:rPr>
          <w:sz w:val="20"/>
          <w:szCs w:val="20"/>
        </w:rPr>
        <w:t xml:space="preserve">Les individus jouissent du droit de disposer librement de leur corps. La Cour protège ce droit sous l’égide de la notion d’autonomie personnelle, tirée de l’article 8. Selon cette notion, les individus peuvent opérer des choix de nature à potentiellement porter atteinte à leur intégrité physique ou morale dès lors qu’ils y consentent de manière totalement libre et éclairée.</w:t>
      </w:r>
    </w:p>
    <w:p>
      <w:pPr>
        <w:spacing w:after="70"/>
        <w:ind w:left="340" w:hanging="200"/>
        <w:jc w:val="both"/>
      </w:pPr>
      <w:r>
        <w:rPr>
          <w:b/>
          <w:bCs/>
          <w:color w:val="1F3864"/>
          <w:sz w:val="20"/>
          <w:szCs w:val="20"/>
        </w:rPr>
        <w:t xml:space="preserve">→ </w:t>
      </w:r>
      <w:r>
        <w:rPr>
          <w:b/>
          <w:bCs/>
          <w:sz w:val="20"/>
          <w:szCs w:val="20"/>
        </w:rPr>
        <w:t xml:space="preserve">CEDH, 29 avril 2002, Pretty c. Royaume-Uni, n° 2346/02</w:t>
      </w:r>
      <w:r>
        <w:rPr>
          <w:sz w:val="20"/>
          <w:szCs w:val="20"/>
        </w:rPr>
        <w:t xml:space="preserve"> — fondement de l’autonomie personnelle.</w:t>
      </w:r>
    </w:p>
    <w:p>
      <w:pPr>
        <w:spacing w:after="70"/>
        <w:ind w:left="340" w:hanging="200"/>
        <w:jc w:val="both"/>
      </w:pPr>
      <w:r>
        <w:rPr>
          <w:b/>
          <w:bCs/>
          <w:color w:val="1F3864"/>
          <w:sz w:val="20"/>
          <w:szCs w:val="20"/>
        </w:rPr>
        <w:t xml:space="preserve">→ </w:t>
      </w:r>
      <w:r>
        <w:rPr>
          <w:b/>
          <w:bCs/>
          <w:sz w:val="20"/>
          <w:szCs w:val="20"/>
        </w:rPr>
        <w:t xml:space="preserve">CEDH, 17 février 2005, K.A. et A.D. c. Belgique, n° 42758/98 et 45558/99</w:t>
      </w:r>
      <w:r>
        <w:rPr>
          <w:sz w:val="20"/>
          <w:szCs w:val="20"/>
        </w:rPr>
        <w:t xml:space="preserve"> — relations sexuelles, y compris des pratiques violentes de type sadomasochiste, dès lors qu’elles sont librement consenties.</w:t>
      </w:r>
    </w:p>
    <w:p>
      <w:pPr>
        <w:spacing w:after="70"/>
        <w:ind w:left="340" w:hanging="200"/>
        <w:jc w:val="both"/>
      </w:pPr>
      <w:r>
        <w:rPr>
          <w:b/>
          <w:bCs/>
          <w:color w:val="1F3864"/>
          <w:sz w:val="20"/>
          <w:szCs w:val="20"/>
        </w:rPr>
        <w:t xml:space="preserve">→ </w:t>
      </w:r>
      <w:r>
        <w:rPr>
          <w:b/>
          <w:bCs/>
          <w:sz w:val="20"/>
          <w:szCs w:val="20"/>
        </w:rPr>
        <w:t xml:space="preserve">CEDH [GC], 17 septembre 2024, Pindo Mulla c. Espagne, n° 15541/20</w:t>
      </w:r>
      <w:r>
        <w:rPr>
          <w:sz w:val="20"/>
          <w:szCs w:val="20"/>
        </w:rPr>
        <w:t xml:space="preserve"> — refus de traitements médicaux en dépit de conséquences très graves pour la santé voire la vie.</w:t>
      </w:r>
    </w:p>
    <w:p>
      <w:pPr>
        <w:spacing w:after="80" w:before="200"/>
      </w:pPr>
      <w:r>
        <w:rPr>
          <w:b/>
          <w:bCs/>
          <w:color w:val="1F3864"/>
          <w:sz w:val="21"/>
          <w:szCs w:val="21"/>
        </w:rPr>
        <w:t xml:space="preserve">4.2. L’application : la rectification de l’état civil</w:t>
      </w:r>
    </w:p>
    <w:p>
      <w:pPr>
        <w:spacing w:after="90"/>
        <w:jc w:val="both"/>
      </w:pPr>
      <w:r>
        <w:rPr>
          <w:sz w:val="20"/>
          <w:szCs w:val="20"/>
        </w:rPr>
        <w:t xml:space="preserve">L’autonomie personnelle offre la possibilité de demander des rectifications de l’état civil afin de le faire correspondre à son identité. L’évolution est un cas d’école du dialogue des juges.</w:t>
      </w:r>
    </w:p>
    <w:p>
      <w:pPr>
        <w:spacing w:after="70"/>
        <w:ind w:left="340" w:hanging="200"/>
        <w:jc w:val="both"/>
      </w:pPr>
      <w:r>
        <w:rPr>
          <w:b/>
          <w:bCs/>
          <w:color w:val="1F3864"/>
          <w:sz w:val="20"/>
          <w:szCs w:val="20"/>
        </w:rPr>
        <w:t xml:space="preserve">→ </w:t>
      </w:r>
      <w:r>
        <w:rPr>
          <w:b/>
          <w:bCs/>
          <w:sz w:val="20"/>
          <w:szCs w:val="20"/>
        </w:rPr>
        <w:t xml:space="preserve">Cass. civ. 1re, 21 mai 1990, n° 88-12.829</w:t>
      </w:r>
      <w:r>
        <w:rPr>
          <w:sz w:val="20"/>
          <w:szCs w:val="20"/>
        </w:rPr>
        <w:t xml:space="preserve"> — opposition ferme de la Cour de cassation à la rectification du sexe à l’état civil.</w:t>
      </w:r>
    </w:p>
    <w:p>
      <w:pPr>
        <w:spacing w:after="70"/>
        <w:ind w:left="340" w:hanging="200"/>
        <w:jc w:val="both"/>
      </w:pPr>
      <w:r>
        <w:rPr>
          <w:b/>
          <w:bCs/>
          <w:color w:val="1F3864"/>
          <w:sz w:val="20"/>
          <w:szCs w:val="20"/>
        </w:rPr>
        <w:t xml:space="preserve">→ </w:t>
      </w:r>
      <w:r>
        <w:rPr>
          <w:b/>
          <w:bCs/>
          <w:sz w:val="20"/>
          <w:szCs w:val="20"/>
        </w:rPr>
        <w:t xml:space="preserve">CEDH, AP., 25 mars 1992, B. c. France, n° 13343/87</w:t>
      </w:r>
      <w:r>
        <w:rPr>
          <w:sz w:val="20"/>
          <w:szCs w:val="20"/>
        </w:rPr>
        <w:t xml:space="preserve"> — condamnation de la France pour avoir refusé toute possibilité de rectification.</w:t>
      </w:r>
    </w:p>
    <w:p>
      <w:pPr>
        <w:spacing w:after="70"/>
        <w:ind w:left="340" w:hanging="200"/>
        <w:jc w:val="both"/>
      </w:pPr>
      <w:r>
        <w:rPr>
          <w:b/>
          <w:bCs/>
          <w:color w:val="1F3864"/>
          <w:sz w:val="20"/>
          <w:szCs w:val="20"/>
        </w:rPr>
        <w:t xml:space="preserve">→ </w:t>
      </w:r>
      <w:r>
        <w:rPr>
          <w:b/>
          <w:bCs/>
          <w:sz w:val="20"/>
          <w:szCs w:val="20"/>
        </w:rPr>
        <w:t xml:space="preserve">Cass. ass. plén., 11 décembre 1992, n° 91-11.900</w:t>
      </w:r>
      <w:r>
        <w:rPr>
          <w:sz w:val="20"/>
          <w:szCs w:val="20"/>
        </w:rPr>
        <w:t xml:space="preserve"> — revirement : la rectification est admise, mais subordonnée à cinq critères dont le caractère irréversible de la transformation.</w:t>
      </w:r>
    </w:p>
    <w:p>
      <w:pPr>
        <w:spacing w:after="70"/>
        <w:ind w:left="340" w:hanging="200"/>
        <w:jc w:val="both"/>
      </w:pPr>
      <w:r>
        <w:rPr>
          <w:b/>
          <w:bCs/>
          <w:color w:val="1F3864"/>
          <w:sz w:val="20"/>
          <w:szCs w:val="20"/>
        </w:rPr>
        <w:t xml:space="preserve">→ </w:t>
      </w:r>
      <w:r>
        <w:rPr>
          <w:b/>
          <w:bCs/>
          <w:sz w:val="20"/>
          <w:szCs w:val="20"/>
        </w:rPr>
        <w:t xml:space="preserve">CEDH, 6 avril 2017, Garçon et Nicot c. France, n° 79885/12, 52471/13 et 52596/13</w:t>
      </w:r>
      <w:r>
        <w:rPr>
          <w:sz w:val="20"/>
          <w:szCs w:val="20"/>
        </w:rPr>
        <w:t xml:space="preserve"> — l’exigence d’irréversibilité méconnaît le droit à l’autonomie personnelle et à l’intégrité physique : violation de l’article 8.</w:t>
      </w:r>
    </w:p>
    <w:p>
      <w:pPr>
        <w:pStyle w:val="ListParagraph"/>
        <w:numPr>
          <w:ilvl w:val="0"/>
          <w:numId w:val="2"/>
        </w:numPr>
        <w:spacing w:after="70"/>
        <w:jc w:val="both"/>
      </w:pPr>
      <w:r>
        <w:rPr>
          <w:sz w:val="20"/>
          <w:szCs w:val="20"/>
        </w:rPr>
        <w:t xml:space="preserve">Cette obligation a disparu du droit français avec la loi n° 2016-1547 du 18 novembre 2016, créant l’article 61-6 du Code civil : le changement de sexe à l’état civil n’est pas subordonné à des traitements médicaux, chirurgicaux ou à une stérilisation. Conformité de l’article 56 de cette loi : Cons. const., déc. n° 2016-739 DC, 17 novembre 2016.</w:t>
      </w:r>
    </w:p>
    <w:p>
      <w:pPr>
        <w:spacing w:after="80" w:before="200"/>
      </w:pPr>
      <w:r>
        <w:rPr>
          <w:b/>
          <w:bCs/>
          <w:color w:val="1F3864"/>
          <w:sz w:val="21"/>
          <w:szCs w:val="21"/>
        </w:rPr>
        <w:t xml:space="preserve">4.3. La non-patrimonialité et l’indisponibilité du corps humain</w:t>
      </w:r>
    </w:p>
    <w:p>
      <w:pPr>
        <w:pBdr>
          <w:left w:val="single" w:color="8B1A1A" w:sz="18" w:space="8"/>
        </w:pBdr>
        <w:shd w:fill="FDF2F2" w:val="clear"/>
        <w:spacing w:after="140" w:before="140"/>
        <w:ind w:left="160" w:right="120"/>
        <w:jc w:val="both"/>
      </w:pPr>
      <w:r>
        <w:rPr>
          <w:color w:val="4A1010"/>
          <w:sz w:val="20"/>
          <w:szCs w:val="20"/>
        </w:rPr>
        <w:t xml:space="preserve">Distinction à ne pas confondre. Le législateur de 1994 n’a pas expressément consacré l’indisponibilité du corps humain, à la différence de l’inviolabilité (art. 16-3) et de la non-patrimonialité (art. 16-5). L’indisponibilité est un principe PRÉTORIEN : toute convention portant sur le corps humain ou ses produits est interdite, et elle s’étend à tous les actes de disposition, onéreux ou gratuits. La non-patrimonialité n’interdit, elle, que les conventions ayant pour effet de conférer une valeur patrimoniale au corps humain : la cession à titre gratuit de certains éléments, produits ou déchets demeure donc possible par exception légale. Les deux principes sont liés mais non synonymes.</w:t>
      </w:r>
    </w:p>
    <w:p>
      <w:pPr>
        <w:pStyle w:val="ListParagraph"/>
        <w:numPr>
          <w:ilvl w:val="0"/>
          <w:numId w:val="2"/>
        </w:numPr>
        <w:spacing w:after="70"/>
        <w:jc w:val="both"/>
      </w:pPr>
      <w:r>
        <w:rPr>
          <w:sz w:val="20"/>
          <w:szCs w:val="20"/>
        </w:rPr>
        <w:t xml:space="preserve">L’indisponibilité du corps humain et de l’état des personnes avait fondé l’interdiction des conventions de mères porteuses (Cass. ass. plén., 31 mai 1991, n° 90-20.105), interdiction ensuite consacrée à l’article 16-7 du Code civil par la loi n° 94-653 du 29 juillet 1994.</w:t>
      </w:r>
    </w:p>
    <w:p>
      <w:pPr>
        <w:pStyle w:val="ListParagraph"/>
        <w:numPr>
          <w:ilvl w:val="0"/>
          <w:numId w:val="2"/>
        </w:numPr>
        <w:spacing w:after="70"/>
        <w:jc w:val="both"/>
      </w:pPr>
      <w:r>
        <w:rPr>
          <w:sz w:val="20"/>
          <w:szCs w:val="20"/>
        </w:rPr>
        <w:t xml:space="preserve">En présence d’une GPA réalisée légalement à l’étranger, la Cour de cassation admet la transcription du registre d’état civil étranger à l’égard du parent génétique et permet l’établissement d’un lien de filiation à l’égard du parent d’intention par la voie de l’adoption.</w:t>
      </w:r>
    </w:p>
    <w:p>
      <w:pPr>
        <w:pStyle w:val="ListParagraph"/>
        <w:numPr>
          <w:ilvl w:val="0"/>
          <w:numId w:val="2"/>
        </w:numPr>
        <w:spacing w:after="70"/>
        <w:jc w:val="both"/>
      </w:pPr>
      <w:r>
        <w:rPr>
          <w:sz w:val="20"/>
          <w:szCs w:val="20"/>
        </w:rPr>
        <w:t xml:space="preserve">Exceptions : les éléments, produits ou déchets détachables du corps humain peuvent faire l’objet d’une convention à titre onéreux (cheveux, ongles, poils…).</w:t>
      </w:r>
    </w:p>
    <w:p>
      <w:pPr>
        <w:pStyle w:val="ListParagraph"/>
        <w:numPr>
          <w:ilvl w:val="0"/>
          <w:numId w:val="2"/>
        </w:numPr>
        <w:spacing w:after="70"/>
        <w:jc w:val="both"/>
      </w:pPr>
      <w:r>
        <w:rPr>
          <w:sz w:val="20"/>
          <w:szCs w:val="20"/>
        </w:rPr>
        <w:t xml:space="preserve">Don d’organe ou de gamète (art. L. 1211-8 CSP) : entre majeurs en cas de lien de parenté direct, ou au conjoint en cas d’urgence. Conditions : consentement du donneur, gratuité, intérêt thérapeutique pour le bénéficiaire, anonymat. Pour le prélèvement post-mortem, la loi prévoit une présomption de consentement de la personne décédée.</w:t>
      </w:r>
    </w:p>
    <w:p>
      <w:pPr>
        <w:spacing w:after="80" w:before="200"/>
      </w:pPr>
      <w:r>
        <w:rPr>
          <w:b/>
          <w:bCs/>
          <w:color w:val="1F3864"/>
          <w:sz w:val="21"/>
          <w:szCs w:val="21"/>
        </w:rPr>
        <w:t xml:space="preserve">4.4. Le droit à la protection de la santé — et non un droit à la santé</w:t>
      </w:r>
    </w:p>
    <w:p>
      <w:pPr>
        <w:pBdr>
          <w:left w:val="single" w:color="8B1A1A" w:sz="18" w:space="8"/>
        </w:pBdr>
        <w:shd w:fill="FDF2F2" w:val="clear"/>
        <w:spacing w:after="140" w:before="140"/>
        <w:ind w:left="160" w:right="120"/>
        <w:jc w:val="both"/>
      </w:pPr>
      <w:r>
        <w:rPr>
          <w:color w:val="4A1010"/>
          <w:sz w:val="20"/>
          <w:szCs w:val="20"/>
        </w:rPr>
        <w:t xml:space="preserve">Ni le droit international ni le droit national ne consacrent de droit à la santé. Les textes dotés d’une portée juridique n’assurent que le droit à la PROTECTION de la santé : protéger l’intégrité physique contre les actes de l’État ou de tiers, non assurer un droit à la bonne santé. La distinction est un piège classique.</w:t>
      </w:r>
    </w:p>
    <w:p>
      <w:pPr>
        <w:spacing w:after="70"/>
        <w:ind w:left="340" w:hanging="200"/>
        <w:jc w:val="both"/>
      </w:pPr>
      <w:r>
        <w:rPr>
          <w:b/>
          <w:bCs/>
          <w:color w:val="1F3864"/>
          <w:sz w:val="20"/>
          <w:szCs w:val="20"/>
        </w:rPr>
        <w:t xml:space="preserve">→ </w:t>
      </w:r>
      <w:r>
        <w:rPr>
          <w:b/>
          <w:bCs/>
          <w:sz w:val="20"/>
          <w:szCs w:val="20"/>
        </w:rPr>
        <w:t xml:space="preserve">CEDH [GC], 19 décembre 2017, Lopes de Sousa Fernandes c. Portugal, n° 56080/13</w:t>
      </w:r>
      <w:r>
        <w:rPr>
          <w:sz w:val="20"/>
          <w:szCs w:val="20"/>
        </w:rPr>
        <w:t xml:space="preserve"> — absent du texte de la Convention, le droit à la protection de la santé est protégé par l’interprétation dynamique : c’est un « droit diffus », protégé par plusieurs stipulations.</w:t>
      </w:r>
    </w:p>
    <w:p>
      <w:pPr>
        <w:pStyle w:val="ListParagraph"/>
        <w:numPr>
          <w:ilvl w:val="0"/>
          <w:numId w:val="2"/>
        </w:numPr>
        <w:spacing w:after="70"/>
        <w:jc w:val="both"/>
      </w:pPr>
      <w:r>
        <w:rPr>
          <w:sz w:val="20"/>
          <w:szCs w:val="20"/>
        </w:rPr>
        <w:t xml:space="preserve">En France, il découle de l’alinéa 11 du préambule de 1946 : d’abord principe à valeur constitutionnelle (80-117 DC), puis objectif à valeur constitutionnelle (2022-835 DC).</w:t>
      </w:r>
    </w:p>
    <w:p>
      <w:pPr>
        <w:spacing w:after="70"/>
        <w:ind w:left="340" w:hanging="200"/>
        <w:jc w:val="both"/>
      </w:pPr>
      <w:r>
        <w:rPr>
          <w:b/>
          <w:bCs/>
          <w:color w:val="1F3864"/>
          <w:sz w:val="20"/>
          <w:szCs w:val="20"/>
        </w:rPr>
        <w:t xml:space="preserve">→ </w:t>
      </w:r>
      <w:r>
        <w:rPr>
          <w:b/>
          <w:bCs/>
          <w:sz w:val="20"/>
          <w:szCs w:val="20"/>
        </w:rPr>
        <w:t xml:space="preserve">CE, SJS, 28 juillet 2004, Préfet de Police c. M. X., n° 253927</w:t>
      </w:r>
      <w:r>
        <w:rPr>
          <w:sz w:val="20"/>
          <w:szCs w:val="20"/>
        </w:rPr>
        <w:t xml:space="preserve"> — pas d’effet direct dans le cadre d’un recours pour excès de pouvoir : seulement un but que doit poursuivre le législateur.</w:t>
      </w:r>
    </w:p>
    <w:p>
      <w:pPr>
        <w:spacing w:after="70"/>
        <w:ind w:left="340" w:hanging="200"/>
        <w:jc w:val="both"/>
      </w:pPr>
      <w:r>
        <w:rPr>
          <w:b/>
          <w:bCs/>
          <w:color w:val="1F3864"/>
          <w:sz w:val="20"/>
          <w:szCs w:val="20"/>
        </w:rPr>
        <w:t xml:space="preserve">→ </w:t>
      </w:r>
      <w:r>
        <w:rPr>
          <w:b/>
          <w:bCs/>
          <w:sz w:val="20"/>
          <w:szCs w:val="20"/>
        </w:rPr>
        <w:t xml:space="preserve">CE, ord., 8 septembre 2005, n° 284803</w:t>
      </w:r>
      <w:r>
        <w:rPr>
          <w:sz w:val="20"/>
          <w:szCs w:val="20"/>
        </w:rPr>
        <w:t xml:space="preserve"> — le droit à la protection de la santé n’est PAS une liberté fondamentale pouvant faire l’objet d’un référé-liberté.</w:t>
      </w:r>
    </w:p>
    <w:p>
      <w:pPr>
        <w:spacing w:after="70"/>
        <w:ind w:left="340" w:hanging="200"/>
        <w:jc w:val="both"/>
      </w:pPr>
      <w:r>
        <w:rPr>
          <w:b/>
          <w:bCs/>
          <w:color w:val="1F3864"/>
          <w:sz w:val="20"/>
          <w:szCs w:val="20"/>
        </w:rPr>
        <w:t xml:space="preserve">→ </w:t>
      </w:r>
      <w:r>
        <w:rPr>
          <w:b/>
          <w:bCs/>
          <w:sz w:val="20"/>
          <w:szCs w:val="20"/>
        </w:rPr>
        <w:t xml:space="preserve">Cass. soc., 11 juillet 2012, n° 10-15.905</w:t>
      </w:r>
      <w:r>
        <w:rPr>
          <w:sz w:val="20"/>
          <w:szCs w:val="20"/>
        </w:rPr>
        <w:t xml:space="preserve"> — le juge judiciaire admet en revanche l’invocabilité directe de l’alinéa 11.</w:t>
      </w:r>
    </w:p>
    <w:p>
      <w:pPr>
        <w:shd w:fill="EEF1F8" w:val="clear"/>
        <w:spacing w:after="140" w:before="320"/>
      </w:pPr>
      <w:r>
        <w:rPr>
          <w:b/>
          <w:bCs/>
          <w:color w:val="FFFFFF"/>
          <w:sz w:val="24"/>
          <w:szCs w:val="24"/>
          <w:shd w:fill="1F3864" w:val="clear"/>
        </w:rPr>
        <w:t xml:space="preserve">  5  </w:t>
      </w:r>
      <w:r>
        <w:rPr>
          <w:b/>
          <w:bCs/>
          <w:caps/>
          <w:color w:val="1F3864"/>
          <w:sz w:val="24"/>
          <w:szCs w:val="24"/>
        </w:rPr>
        <w:t xml:space="preserve">  Les limites et le test de contrôle</w:t>
      </w:r>
    </w:p>
    <w:p>
      <w:pPr>
        <w:pBdr>
          <w:left w:val="single" w:color="1F3864" w:sz="18" w:space="8"/>
        </w:pBdr>
        <w:shd w:fill="F4F6FB" w:val="clear"/>
        <w:spacing w:after="140" w:before="140"/>
        <w:ind w:left="160" w:right="120"/>
        <w:jc w:val="both"/>
      </w:pPr>
      <w:r>
        <w:rPr>
          <w:b/>
          <w:bCs/>
          <w:color w:val="1F3864"/>
          <w:sz w:val="20"/>
          <w:szCs w:val="20"/>
        </w:rPr>
        <w:t xml:space="preserve">La ligne de fracture de la fiche. </w:t>
      </w:r>
      <w:r>
        <w:rPr>
          <w:sz w:val="20"/>
          <w:szCs w:val="20"/>
        </w:rPr>
        <w:t xml:space="preserve">le droit français retient une conception OBJECTIVE de la dignité : le consentement de la personne ne fait pas nécessairement disparaître une atteinte résultant de sa réification. La Cour européenne retient une logique d’AUTONOMIE PERSONNELLE : chacun dispose en principe d’une large liberté pour déterminer les usages de son propre corps. Toute la fiche se joue sur cette divergence — c’est votre problématique prête à l’emploi.</w:t>
      </w:r>
    </w:p>
    <w:p>
      <w:pPr>
        <w:spacing w:after="80" w:before="200"/>
      </w:pPr>
      <w:r>
        <w:rPr>
          <w:b/>
          <w:bCs/>
          <w:color w:val="1F3864"/>
          <w:sz w:val="21"/>
          <w:szCs w:val="21"/>
        </w:rPr>
        <w:t xml:space="preserve">5.1. L’autonomie personnelle n’est pas absolue</w:t>
      </w:r>
    </w:p>
    <w:p>
      <w:pPr>
        <w:spacing w:after="70"/>
        <w:ind w:left="340" w:hanging="200"/>
        <w:jc w:val="both"/>
      </w:pPr>
      <w:r>
        <w:rPr>
          <w:b/>
          <w:bCs/>
          <w:color w:val="1F3864"/>
          <w:sz w:val="20"/>
          <w:szCs w:val="20"/>
        </w:rPr>
        <w:t xml:space="preserve">→ </w:t>
      </w:r>
      <w:r>
        <w:rPr>
          <w:b/>
          <w:bCs/>
          <w:sz w:val="20"/>
          <w:szCs w:val="20"/>
        </w:rPr>
        <w:t xml:space="preserve">CEDH [GC], 5 juin 2015, Lambert c. France, n° 46043/14</w:t>
      </w:r>
      <w:r>
        <w:rPr>
          <w:sz w:val="20"/>
          <w:szCs w:val="20"/>
        </w:rPr>
        <w:t xml:space="preserve"> — conflit de droits fondamentaux entre l’article 2 et l’autonomie personnelle issue de l’article 8 : l’État peut poser des limites sans commettre de violation.</w:t>
      </w:r>
    </w:p>
    <w:p>
      <w:pPr>
        <w:spacing w:after="70"/>
        <w:ind w:left="340" w:hanging="200"/>
        <w:jc w:val="both"/>
      </w:pPr>
      <w:r>
        <w:rPr>
          <w:b/>
          <w:bCs/>
          <w:color w:val="1F3864"/>
          <w:sz w:val="20"/>
          <w:szCs w:val="20"/>
        </w:rPr>
        <w:t xml:space="preserve">→ </w:t>
      </w:r>
      <w:r>
        <w:rPr>
          <w:b/>
          <w:bCs/>
          <w:sz w:val="20"/>
          <w:szCs w:val="20"/>
        </w:rPr>
        <w:t xml:space="preserve">CE, ass., 27 octobre 1995, Morsang-sur-Orge, n° 136727</w:t>
      </w:r>
      <w:r>
        <w:rPr>
          <w:sz w:val="20"/>
          <w:szCs w:val="20"/>
        </w:rPr>
        <w:t xml:space="preserve"> — en France, le principe de dignité humaine, conçu de manière objective, peut justifier des restrictions au droit de disposer de son corps.</w:t>
      </w:r>
    </w:p>
    <w:p>
      <w:pPr>
        <w:pStyle w:val="ListParagraph"/>
        <w:numPr>
          <w:ilvl w:val="0"/>
          <w:numId w:val="2"/>
        </w:numPr>
        <w:spacing w:after="70"/>
        <w:jc w:val="both"/>
      </w:pPr>
      <w:r>
        <w:rPr>
          <w:sz w:val="20"/>
          <w:szCs w:val="20"/>
        </w:rPr>
        <w:t xml:space="preserve">En droit pénal, le consentement de la victime ne rend pas légales les atteintes à son intégrité physique : le seul consentement n’est pas un fait justificatif, l’atteinte devant également poursuivre un motif légitime.</w:t>
      </w:r>
    </w:p>
    <w:p>
      <w:pPr>
        <w:pStyle w:val="ListParagraph"/>
        <w:numPr>
          <w:ilvl w:val="0"/>
          <w:numId w:val="2"/>
        </w:numPr>
        <w:spacing w:after="70"/>
        <w:jc w:val="both"/>
      </w:pPr>
      <w:r>
        <w:rPr>
          <w:sz w:val="20"/>
          <w:szCs w:val="20"/>
        </w:rPr>
        <w:t xml:space="preserve">En droit civil, le consentement de la victime ne constitue plus une cause d’exonération totale ou partielle pour l’auteur du dommage (suppression de l’acceptation des risques en matière de responsabilité du fait des choses s’agissant d’activités sportives : Cass. civ. 2e, 4 novembre 2010, n° 09-65.947).</w:t>
      </w:r>
    </w:p>
    <w:p>
      <w:pPr>
        <w:spacing w:after="80" w:before="200"/>
      </w:pPr>
      <w:r>
        <w:rPr>
          <w:b/>
          <w:bCs/>
          <w:color w:val="1F3864"/>
          <w:sz w:val="21"/>
          <w:szCs w:val="21"/>
        </w:rPr>
        <w:t xml:space="preserve">5.2. Les atteintes par les tiers : le régime d’encadrement</w:t>
      </w:r>
    </w:p>
    <w:p>
      <w:pPr>
        <w:spacing w:after="90"/>
        <w:jc w:val="both"/>
      </w:pPr>
      <w:r>
        <w:rPr>
          <w:sz w:val="20"/>
          <w:szCs w:val="20"/>
        </w:rPr>
        <w:t xml:space="preserve">Le principe d’inviolabilité du corps humain est consacré depuis les lois bioéthique du 29 juillet 1994 aux articles 16-1 et 16-3 du Code civil. Les atteintes commises par les tiers ne sont pas totalement proscrites mais encadrées : il faut qu’elles soient consenties librement et de manière éclairée, et qu’elles poursuivent une finalité thérapeutique pour la personne visée ou pour autrui — ou une finalité de recherche médicale (art. L. 1121-2 CSP).</w:t>
      </w:r>
    </w:p>
    <w:p>
      <w:pPr>
        <w:pStyle w:val="ListParagraph"/>
        <w:numPr>
          <w:ilvl w:val="0"/>
          <w:numId w:val="2"/>
        </w:numPr>
        <w:spacing w:after="70"/>
        <w:jc w:val="both"/>
      </w:pPr>
      <w:r>
        <w:rPr>
          <w:sz w:val="20"/>
          <w:szCs w:val="20"/>
        </w:rPr>
        <w:t xml:space="preserve">L’expression du consentement libre et éclairé du patient à l’acte médical est par principe obligatoire, et le patient dispose d’un droit de refuser des traitements (art. L. 1111-4 CSP).</w:t>
      </w:r>
    </w:p>
    <w:p>
      <w:pPr>
        <w:spacing w:after="70"/>
        <w:ind w:left="340" w:hanging="200"/>
        <w:jc w:val="both"/>
      </w:pPr>
      <w:r>
        <w:rPr>
          <w:b/>
          <w:bCs/>
          <w:color w:val="1F3864"/>
          <w:sz w:val="20"/>
          <w:szCs w:val="20"/>
        </w:rPr>
        <w:t xml:space="preserve">→ </w:t>
      </w:r>
      <w:r>
        <w:rPr>
          <w:b/>
          <w:bCs/>
          <w:sz w:val="20"/>
          <w:szCs w:val="20"/>
        </w:rPr>
        <w:t xml:space="preserve">Cass. civ. 1re, 3 juin 2010, n° 09-13.591</w:t>
      </w:r>
      <w:r>
        <w:rPr>
          <w:sz w:val="20"/>
          <w:szCs w:val="20"/>
        </w:rPr>
        <w:t xml:space="preserve"> — l’absence d’information relative aux risques fait naître, en cas de concrétisation du risque, un préjudice autonome du préjudice corporel, réparable sur le fondement de l’article 1240 : le préjudice d’impréparation.</w:t>
      </w:r>
    </w:p>
    <w:p>
      <w:pPr>
        <w:spacing w:after="70"/>
        <w:ind w:left="340" w:hanging="200"/>
        <w:jc w:val="both"/>
      </w:pPr>
      <w:r>
        <w:rPr>
          <w:b/>
          <w:bCs/>
          <w:color w:val="1F3864"/>
          <w:sz w:val="20"/>
          <w:szCs w:val="20"/>
        </w:rPr>
        <w:t xml:space="preserve">→ </w:t>
      </w:r>
      <w:r>
        <w:rPr>
          <w:b/>
          <w:bCs/>
          <w:sz w:val="20"/>
          <w:szCs w:val="20"/>
        </w:rPr>
        <w:t xml:space="preserve">CEDH, 9 mars 2004, Glass c. Royaume-Uni, n° 61827/00</w:t>
      </w:r>
      <w:r>
        <w:rPr>
          <w:sz w:val="20"/>
          <w:szCs w:val="20"/>
        </w:rPr>
        <w:t xml:space="preserve"> — violation de l’article 8 lorsque l’État ne prend pas en considération le refus de certains traitements formulé par la mère d’un patient.</w:t>
      </w:r>
    </w:p>
    <w:p>
      <w:pPr>
        <w:pStyle w:val="ListParagraph"/>
        <w:numPr>
          <w:ilvl w:val="0"/>
          <w:numId w:val="2"/>
        </w:numPr>
        <w:spacing w:after="70"/>
        <w:jc w:val="both"/>
      </w:pPr>
      <w:r>
        <w:rPr>
          <w:sz w:val="20"/>
          <w:szCs w:val="20"/>
        </w:rPr>
        <w:t xml:space="preserve">Sanctions pénales : Livre Ier, Titre II du Code pénal. Et voies de recours civiles pour la réparation du préjudice.</w:t>
      </w:r>
    </w:p>
    <w:p>
      <w:pPr>
        <w:spacing w:after="80" w:before="200"/>
      </w:pPr>
      <w:r>
        <w:rPr>
          <w:b/>
          <w:bCs/>
          <w:color w:val="1F3864"/>
          <w:sz w:val="21"/>
          <w:szCs w:val="21"/>
        </w:rPr>
        <w:t xml:space="preserve">5.3. Les exceptions à l’exigence de consentement</w:t>
      </w:r>
    </w:p>
    <w:p>
      <w:pPr>
        <w:spacing w:after="70"/>
        <w:ind w:left="340" w:hanging="200"/>
        <w:jc w:val="both"/>
      </w:pPr>
      <w:r>
        <w:rPr>
          <w:b/>
          <w:bCs/>
          <w:color w:val="1F3864"/>
          <w:sz w:val="20"/>
          <w:szCs w:val="20"/>
        </w:rPr>
        <w:t xml:space="preserve">→ </w:t>
      </w:r>
      <w:r>
        <w:rPr>
          <w:b/>
          <w:bCs/>
          <w:sz w:val="20"/>
          <w:szCs w:val="20"/>
        </w:rPr>
        <w:t xml:space="preserve">CEDH [GC], 17 septembre 2024, Pindo Mulla c. Espagne, n° 15541/20</w:t>
      </w:r>
      <w:r>
        <w:rPr>
          <w:sz w:val="20"/>
          <w:szCs w:val="20"/>
        </w:rPr>
        <w:t xml:space="preserve"> — en cas d’urgence vitale et en l’absence de certitude quant au refus du patient, l’obligation de protection de la vie au titre de l’article 2 doit primer.</w:t>
      </w:r>
    </w:p>
    <w:p>
      <w:pPr>
        <w:pStyle w:val="ListParagraph"/>
        <w:numPr>
          <w:ilvl w:val="0"/>
          <w:numId w:val="2"/>
        </w:numPr>
        <w:spacing w:after="70"/>
        <w:jc w:val="both"/>
      </w:pPr>
      <w:r>
        <w:rPr>
          <w:sz w:val="20"/>
          <w:szCs w:val="20"/>
        </w:rPr>
        <w:t xml:space="preserve">L’obligation de recueillir le consentement s’efface lorsque l’état du patient rend nécessaire une intervention ou des soins pour lesquels il n’est pas en mesure de consentir.</w:t>
      </w:r>
    </w:p>
    <w:p>
      <w:pPr>
        <w:pStyle w:val="ListParagraph"/>
        <w:numPr>
          <w:ilvl w:val="0"/>
          <w:numId w:val="2"/>
        </w:numPr>
        <w:spacing w:after="70"/>
        <w:jc w:val="both"/>
      </w:pPr>
      <w:r>
        <w:rPr>
          <w:sz w:val="20"/>
          <w:szCs w:val="20"/>
        </w:rPr>
        <w:t xml:space="preserve">Vaccinations et soins obligatoires : non nécessairement contraires à la Convention lorsqu’ils répondent à des objectifs de santé publique. Depuis la loi du 30 décembre 2017, 11 vaccins sont obligatoires en France.</w:t>
      </w:r>
    </w:p>
    <w:p>
      <w:pPr>
        <w:spacing w:after="70"/>
        <w:ind w:left="340" w:hanging="200"/>
        <w:jc w:val="both"/>
      </w:pPr>
      <w:r>
        <w:rPr>
          <w:b/>
          <w:bCs/>
          <w:color w:val="1F3864"/>
          <w:sz w:val="20"/>
          <w:szCs w:val="20"/>
        </w:rPr>
        <w:t xml:space="preserve">→ </w:t>
      </w:r>
      <w:r>
        <w:rPr>
          <w:b/>
          <w:bCs/>
          <w:sz w:val="20"/>
          <w:szCs w:val="20"/>
        </w:rPr>
        <w:t xml:space="preserve">CE, 6 mai 2019, n° 419242 et 415694</w:t>
      </w:r>
      <w:r>
        <w:rPr>
          <w:sz w:val="20"/>
          <w:szCs w:val="20"/>
        </w:rPr>
        <w:t xml:space="preserve"> — validation de l’extension de la liste des obligations vaccinales, qui visent à lutter contre des maladies infectieuses contagieuses et graves.</w:t>
      </w:r>
    </w:p>
    <w:p>
      <w:pPr>
        <w:spacing w:after="70"/>
        <w:ind w:left="340" w:hanging="200"/>
        <w:jc w:val="both"/>
      </w:pPr>
      <w:r>
        <w:rPr>
          <w:b/>
          <w:bCs/>
          <w:color w:val="1F3864"/>
          <w:sz w:val="20"/>
          <w:szCs w:val="20"/>
        </w:rPr>
        <w:t xml:space="preserve">→ </w:t>
      </w:r>
      <w:r>
        <w:rPr>
          <w:b/>
          <w:bCs/>
          <w:sz w:val="20"/>
          <w:szCs w:val="20"/>
        </w:rPr>
        <w:t xml:space="preserve">CEDH [GC], 8 avril 2021, Vavřička et a. c. République tchèque, n° 47621/13 et a.</w:t>
      </w:r>
      <w:r>
        <w:rPr>
          <w:sz w:val="20"/>
          <w:szCs w:val="20"/>
        </w:rPr>
        <w:t xml:space="preserve"> — ample marge d’appréciation en matière de santé publique : l’obligation vaccinale est une ingérence au droit au respect de la vie privée, mais justifiée.</w:t>
      </w:r>
    </w:p>
    <w:p>
      <w:pPr>
        <w:spacing w:after="70"/>
        <w:ind w:left="340" w:hanging="200"/>
        <w:jc w:val="both"/>
      </w:pPr>
      <w:r>
        <w:rPr>
          <w:b/>
          <w:bCs/>
          <w:color w:val="1F3864"/>
          <w:sz w:val="20"/>
          <w:szCs w:val="20"/>
        </w:rPr>
        <w:t xml:space="preserve">→ </w:t>
      </w:r>
      <w:r>
        <w:rPr>
          <w:b/>
          <w:bCs/>
          <w:sz w:val="20"/>
          <w:szCs w:val="20"/>
        </w:rPr>
        <w:t xml:space="preserve">CEDH, 29 août 2024, Pasquinelli et a. c. Saint-Marin, n° 24622/22</w:t>
      </w:r>
      <w:r>
        <w:rPr>
          <w:sz w:val="20"/>
          <w:szCs w:val="20"/>
        </w:rPr>
        <w:t xml:space="preserve"> — pas de violation de l’article 8 lorsqu’une obligation vaccinale imposée à certains métiers de la santé fait, à défaut, obstacle à l’emploi.</w:t>
      </w:r>
    </w:p>
    <w:p>
      <w:pPr>
        <w:spacing w:after="80" w:before="200"/>
      </w:pPr>
      <w:r>
        <w:rPr>
          <w:b/>
          <w:bCs/>
          <w:color w:val="1F3864"/>
          <w:sz w:val="21"/>
          <w:szCs w:val="21"/>
        </w:rPr>
        <w:t xml:space="preserve">5.4. Les obligations positives de l’État</w:t>
      </w:r>
    </w:p>
    <w:p>
      <w:pPr>
        <w:spacing w:after="90"/>
        <w:jc w:val="both"/>
      </w:pPr>
      <w:r>
        <w:rPr>
          <w:sz w:val="20"/>
          <w:szCs w:val="20"/>
        </w:rPr>
        <w:t xml:space="preserve">L’État doit s’abstenir d’ingérences injustifiées, mais il doit aussi protéger activement, y compris dans les relations interindividuelles, et enquêter.</w:t>
      </w:r>
    </w:p>
    <w:p>
      <w:pPr>
        <w:spacing w:after="70"/>
        <w:ind w:left="340" w:hanging="200"/>
        <w:jc w:val="both"/>
      </w:pPr>
      <w:r>
        <w:rPr>
          <w:b/>
          <w:bCs/>
          <w:color w:val="1F3864"/>
          <w:sz w:val="20"/>
          <w:szCs w:val="20"/>
        </w:rPr>
        <w:t xml:space="preserve">→ </w:t>
      </w:r>
      <w:r>
        <w:rPr>
          <w:b/>
          <w:bCs/>
          <w:sz w:val="20"/>
          <w:szCs w:val="20"/>
        </w:rPr>
        <w:t xml:space="preserve">CEDH, 26 septembre 2006, Wainwright c. Royaume-Uni, n° 12350/04</w:t>
      </w:r>
      <w:r>
        <w:rPr>
          <w:sz w:val="20"/>
          <w:szCs w:val="20"/>
        </w:rPr>
        <w:t xml:space="preserve"> — ingérence : fouille à corps.</w:t>
      </w:r>
    </w:p>
    <w:p>
      <w:pPr>
        <w:spacing w:after="70"/>
        <w:ind w:left="340" w:hanging="200"/>
        <w:jc w:val="both"/>
      </w:pPr>
      <w:r>
        <w:rPr>
          <w:b/>
          <w:bCs/>
          <w:color w:val="1F3864"/>
          <w:sz w:val="20"/>
          <w:szCs w:val="20"/>
        </w:rPr>
        <w:t xml:space="preserve">→ </w:t>
      </w:r>
      <w:r>
        <w:rPr>
          <w:b/>
          <w:bCs/>
          <w:sz w:val="20"/>
          <w:szCs w:val="20"/>
        </w:rPr>
        <w:t xml:space="preserve">CEDH, 28 octobre 1998, Osman c. Royaume-Uni, n° 23452/94</w:t>
      </w:r>
      <w:r>
        <w:rPr>
          <w:sz w:val="20"/>
          <w:szCs w:val="20"/>
        </w:rPr>
        <w:t xml:space="preserve"> — obligation de protection dans les relations interindividuelles.</w:t>
      </w:r>
    </w:p>
    <w:p>
      <w:pPr>
        <w:spacing w:after="70"/>
        <w:ind w:left="340" w:hanging="200"/>
        <w:jc w:val="both"/>
      </w:pPr>
      <w:r>
        <w:rPr>
          <w:b/>
          <w:bCs/>
          <w:color w:val="1F3864"/>
          <w:sz w:val="20"/>
          <w:szCs w:val="20"/>
        </w:rPr>
        <w:t xml:space="preserve">→ </w:t>
      </w:r>
      <w:r>
        <w:rPr>
          <w:b/>
          <w:bCs/>
          <w:sz w:val="20"/>
          <w:szCs w:val="20"/>
        </w:rPr>
        <w:t xml:space="preserve">CEDH, 3 décembre 2024, M.Ș.D. c. Roumanie, n° 28935/21</w:t>
      </w:r>
    </w:p>
    <w:p>
      <w:pPr>
        <w:spacing w:after="70"/>
        <w:ind w:left="340" w:hanging="200"/>
        <w:jc w:val="both"/>
      </w:pPr>
      <w:r>
        <w:rPr>
          <w:b/>
          <w:bCs/>
          <w:color w:val="1F3864"/>
          <w:sz w:val="20"/>
          <w:szCs w:val="20"/>
        </w:rPr>
        <w:t xml:space="preserve">→ </w:t>
      </w:r>
      <w:r>
        <w:rPr>
          <w:b/>
          <w:bCs/>
          <w:sz w:val="20"/>
          <w:szCs w:val="20"/>
        </w:rPr>
        <w:t xml:space="preserve">CEDH [GC], 12 novembre 2013, Söderman c. Suède, n° 5786/08</w:t>
      </w:r>
      <w:r>
        <w:rPr>
          <w:sz w:val="20"/>
          <w:szCs w:val="20"/>
        </w:rPr>
        <w:t xml:space="preserve"> — cadre législatif adéquat et effectif, incluant une obligation procédurale d’enquêter.</w:t>
      </w:r>
    </w:p>
    <w:p>
      <w:pPr>
        <w:spacing w:after="70"/>
        <w:ind w:left="340" w:hanging="200"/>
        <w:jc w:val="both"/>
      </w:pPr>
      <w:r>
        <w:rPr>
          <w:b/>
          <w:bCs/>
          <w:color w:val="1F3864"/>
          <w:sz w:val="20"/>
          <w:szCs w:val="20"/>
        </w:rPr>
        <w:t xml:space="preserve">→ </w:t>
      </w:r>
      <w:r>
        <w:rPr>
          <w:b/>
          <w:bCs/>
          <w:sz w:val="20"/>
          <w:szCs w:val="20"/>
        </w:rPr>
        <w:t xml:space="preserve">CEDH, 4 décembre 2003, M.C. c. Bulgarie, n° 39272/98</w:t>
      </w:r>
      <w:r>
        <w:rPr>
          <w:sz w:val="20"/>
          <w:szCs w:val="20"/>
        </w:rPr>
        <w:t xml:space="preserve"> — obligation de criminalisation du viol, sur le fondement des articles 8 et 3 combinés.</w:t>
      </w:r>
    </w:p>
    <w:p>
      <w:pPr>
        <w:spacing w:after="70"/>
        <w:ind w:left="340" w:hanging="200"/>
        <w:jc w:val="both"/>
      </w:pPr>
      <w:r>
        <w:rPr>
          <w:b/>
          <w:bCs/>
          <w:color w:val="1F3864"/>
          <w:sz w:val="20"/>
          <w:szCs w:val="20"/>
        </w:rPr>
        <w:t xml:space="preserve">→ </w:t>
      </w:r>
      <w:r>
        <w:rPr>
          <w:b/>
          <w:bCs/>
          <w:sz w:val="20"/>
          <w:szCs w:val="20"/>
        </w:rPr>
        <w:t xml:space="preserve">CEDH, 24 avril 2025, L. et a. c. France, n° 46949/21 et a.</w:t>
      </w:r>
      <w:r>
        <w:rPr>
          <w:sz w:val="20"/>
          <w:szCs w:val="20"/>
        </w:rPr>
        <w:t xml:space="preserve"> — violation des articles 3 et 8 lorsque l’État n’adopte ni n’applique un régime apte à réprimer les actes sexuels non consentis commis sur des personnes particulièrement vulnérables.</w:t>
      </w:r>
    </w:p>
    <w:p>
      <w:pPr>
        <w:spacing w:after="70"/>
        <w:ind w:left="340" w:hanging="200"/>
        <w:jc w:val="both"/>
      </w:pPr>
      <w:r>
        <w:rPr>
          <w:b/>
          <w:bCs/>
          <w:color w:val="1F3864"/>
          <w:sz w:val="20"/>
          <w:szCs w:val="20"/>
        </w:rPr>
        <w:t xml:space="preserve">→ </w:t>
      </w:r>
      <w:r>
        <w:rPr>
          <w:b/>
          <w:bCs/>
          <w:sz w:val="20"/>
          <w:szCs w:val="20"/>
        </w:rPr>
        <w:t xml:space="preserve">CEDH, 30 août 2022, C. c. Roumanie, n° 47358/20</w:t>
      </w:r>
    </w:p>
    <w:p>
      <w:pPr>
        <w:pStyle w:val="ListParagraph"/>
        <w:numPr>
          <w:ilvl w:val="0"/>
          <w:numId w:val="2"/>
        </w:numPr>
        <w:spacing w:after="70"/>
        <w:jc w:val="both"/>
      </w:pPr>
      <w:r>
        <w:rPr>
          <w:sz w:val="20"/>
          <w:szCs w:val="20"/>
        </w:rPr>
        <w:t xml:space="preserve">Obligation d’information en présence d’activités dangereuses : CEDH [GC], 19 octobre 2005, Roche c. Royaume-Uni, n° 32555/96 (activité menée par l’État) ; CEDH, 5 décembre 2013, Vilnès et a. c. Norvège, n° 52806/09 et 22703/10 (activités privées : manquement de l’État à ne pas contraindre les employeurs à fournir des informations précontractuelles permettant d’apprécier les risques pour la santé des salariés).</w:t>
      </w:r>
    </w:p>
    <w:p>
      <w:pPr>
        <w:spacing w:after="80" w:before="200"/>
      </w:pPr>
      <w:r>
        <w:rPr>
          <w:b/>
          <w:bCs/>
          <w:color w:val="1F3864"/>
          <w:sz w:val="21"/>
          <w:szCs w:val="21"/>
        </w:rPr>
        <w:t xml:space="preserve">5.5. La fin de vie</w:t>
      </w:r>
    </w:p>
    <w:p>
      <w:pPr>
        <w:spacing w:after="90"/>
        <w:jc w:val="both"/>
      </w:pPr>
      <w:r>
        <w:rPr>
          <w:sz w:val="20"/>
          <w:szCs w:val="20"/>
        </w:rPr>
        <w:t xml:space="preserve">Le patient ne peut pas exiger de l’État une assistance médicale visant à faciliter son décès. La Convention ne consacre ni droit à mourir, ni droit à être aidé à mourir, et les États disposent d’une très large marge nationale d’appréciation.</w:t>
      </w:r>
    </w:p>
    <w:p>
      <w:pPr>
        <w:spacing w:after="70"/>
        <w:ind w:left="340" w:hanging="200"/>
        <w:jc w:val="both"/>
      </w:pPr>
      <w:r>
        <w:rPr>
          <w:b/>
          <w:bCs/>
          <w:color w:val="1F3864"/>
          <w:sz w:val="20"/>
          <w:szCs w:val="20"/>
        </w:rPr>
        <w:t xml:space="preserve">→ </w:t>
      </w:r>
      <w:r>
        <w:rPr>
          <w:b/>
          <w:bCs/>
          <w:sz w:val="20"/>
          <w:szCs w:val="20"/>
        </w:rPr>
        <w:t xml:space="preserve">CEDH, 13 juin 2024, Dániel Karsai c. Hongrie, n° 32312/23</w:t>
      </w:r>
      <w:r>
        <w:rPr>
          <w:sz w:val="20"/>
          <w:szCs w:val="20"/>
        </w:rPr>
        <w:t xml:space="preserve"> — conventionnalité de l’interdiction de l’aide médicale à mourir.</w:t>
      </w:r>
    </w:p>
    <w:p>
      <w:pPr>
        <w:pBdr>
          <w:left w:val="single" w:color="1F3864" w:sz="18" w:space="8"/>
        </w:pBdr>
        <w:shd w:fill="F4F6FB" w:val="clear"/>
        <w:spacing w:after="140" w:before="140"/>
        <w:ind w:left="160" w:right="120"/>
        <w:jc w:val="both"/>
      </w:pPr>
      <w:r>
        <w:rPr>
          <w:b/>
          <w:bCs/>
          <w:color w:val="1F3864"/>
          <w:sz w:val="20"/>
          <w:szCs w:val="20"/>
        </w:rPr>
        <w:t xml:space="preserve">Les trois notions à distinguer. </w:t>
      </w:r>
      <w:r>
        <w:rPr>
          <w:sz w:val="20"/>
          <w:szCs w:val="20"/>
        </w:rPr>
        <w:t xml:space="preserve">l’euthanasie ACTIVE — acte ayant pour finalité de donner la mort — est interdite en France ; l’euthanasie PASSIVE — limiter ou suspendre les soins — est autorisée depuis la loi Leonetti du 22 avril 2005 ; le SUICIDE ASSISTÉ est une troisième hypothèse. Confondre les trois est éliminatoire à l’oral.</w:t>
      </w:r>
    </w:p>
    <w:p>
      <w:pPr>
        <w:pStyle w:val="ListParagraph"/>
        <w:numPr>
          <w:ilvl w:val="0"/>
          <w:numId w:val="2"/>
        </w:numPr>
        <w:spacing w:after="70"/>
        <w:jc w:val="both"/>
      </w:pPr>
      <w:r>
        <w:rPr>
          <w:sz w:val="20"/>
          <w:szCs w:val="20"/>
        </w:rPr>
        <w:t xml:space="preserve">La loi du 2 février 2016 consacre le droit à la fin de vie digne et la notion d’obstination déraisonnable (art. L. 1110-5), permettant au patient souffrant d’une affection grave et durable de bénéficier d’une sédation profonde et continue jusqu’au décès. Elle introduit une question de proportionnalité des soins : inutiles, disproportionnés, ou n’ayant pour effet que de maintenir artificiellement en vie.</w:t>
      </w:r>
    </w:p>
    <w:p>
      <w:pPr>
        <w:pStyle w:val="ListParagraph"/>
        <w:numPr>
          <w:ilvl w:val="0"/>
          <w:numId w:val="2"/>
        </w:numPr>
        <w:spacing w:after="70"/>
        <w:jc w:val="both"/>
      </w:pPr>
      <w:r>
        <w:rPr>
          <w:sz w:val="20"/>
          <w:szCs w:val="20"/>
        </w:rPr>
        <w:t xml:space="preserve">L’article L. 1110-5-1 liste les soins pouvant être stoppés : l’alimentation et l’hydratation artificielles, ainsi que la ventilation mécanique (CE, réf., 10 janvier 2024, n° 490403).</w:t>
      </w:r>
    </w:p>
    <w:p>
      <w:pPr>
        <w:pStyle w:val="ListParagraph"/>
        <w:numPr>
          <w:ilvl w:val="0"/>
          <w:numId w:val="2"/>
        </w:numPr>
        <w:spacing w:after="70"/>
        <w:jc w:val="both"/>
      </w:pPr>
      <w:r>
        <w:rPr>
          <w:sz w:val="20"/>
          <w:szCs w:val="20"/>
        </w:rPr>
        <w:t xml:space="preserve">Expression de la volonté : directives anticipées, qui s’imposent désormais au corps médical (art. L. 1111-11), et personne de confiance consultée en cas d’impossibilité de déterminer le choix du patient (art. L. 1111-6). Le médecin peut toutefois passer outre les directives lorsqu’elles apparaissent manifestement inappropriées ou non conformes à la situation médicale — disposition jugée conforme à la Constitution par Cons. const., déc. n° 2022-1022 QPC, 10 novembre 2022, Mme Zohra M. et a.</w:t>
      </w:r>
    </w:p>
    <w:p>
      <w:pPr>
        <w:pStyle w:val="ListParagraph"/>
        <w:numPr>
          <w:ilvl w:val="0"/>
          <w:numId w:val="2"/>
        </w:numPr>
        <w:spacing w:after="70"/>
        <w:jc w:val="both"/>
      </w:pPr>
      <w:r>
        <w:rPr>
          <w:sz w:val="20"/>
          <w:szCs w:val="20"/>
        </w:rPr>
        <w:t xml:space="preserve">Procédure collégiale depuis la loi du 22 avril 2005, lorsque le patient est incapable d’exprimer sa volonté, en l’absence de directives anticipées ou lorsqu’elles sont manifestement inappropriées. Source de conflits entre corps médical et famille : affaire Lambert, CE, réf., 24 avril 2019, n° 428117. Le juge des référés peut se prononcer sur la légalité de la décision collégiale d’arrêt des soins (CE, ord., 19 juin 2024, n° 494976).</w:t>
      </w:r>
    </w:p>
    <w:p>
      <w:pPr>
        <w:shd w:fill="EEF1F8" w:val="clear"/>
        <w:spacing w:after="140" w:before="320"/>
      </w:pPr>
      <w:r>
        <w:rPr>
          <w:b/>
          <w:bCs/>
          <w:color w:val="FFFFFF"/>
          <w:sz w:val="24"/>
          <w:szCs w:val="24"/>
          <w:shd w:fill="1F3864" w:val="clear"/>
        </w:rPr>
        <w:t xml:space="preserve">  6  </w:t>
      </w:r>
      <w:r>
        <w:rPr>
          <w:b/>
          <w:bCs/>
          <w:caps/>
          <w:color w:val="1F3864"/>
          <w:sz w:val="24"/>
          <w:szCs w:val="24"/>
        </w:rPr>
        <w:t xml:space="preserve">  Le juge et la voie de droit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1F3864" w:val="clear"/>
            <w:tcMar>
              <w:top w:type="dxa" w:w="80"/>
              <w:left w:type="dxa" w:w="120"/>
              <w:bottom w:type="dxa" w:w="80"/>
              <w:right w:type="dxa" w:w="120"/>
            </w:tcMar>
          </w:tcPr>
          <w:p>
            <w:r>
              <w:rPr>
                <w:b/>
                <w:bCs/>
                <w:color w:val="FFFFFF"/>
                <w:sz w:val="19"/>
                <w:szCs w:val="19"/>
              </w:rPr>
              <w:t xml:space="preserve">Juge</w:t>
            </w:r>
          </w:p>
        </w:tc>
        <w:tc>
          <w:tcPr>
            <w:tcW w:type="dxa" w:w="7060"/>
            <w:shd w:fill="1F3864" w:val="clear"/>
            <w:tcMar>
              <w:top w:type="dxa" w:w="80"/>
              <w:left w:type="dxa" w:w="120"/>
              <w:bottom w:type="dxa" w:w="80"/>
              <w:right w:type="dxa" w:w="120"/>
            </w:tcMar>
          </w:tcPr>
          <w:p>
            <w:pPr>
              <w:jc w:val="both"/>
            </w:pPr>
            <w:r>
              <w:rPr>
                <w:b/>
                <w:bCs/>
                <w:color w:val="FFFFFF"/>
                <w:sz w:val="19"/>
                <w:szCs w:val="19"/>
              </w:rPr>
              <w:t xml:space="preserve">Office et voie</w:t>
            </w:r>
          </w:p>
        </w:tc>
      </w:tr>
      <w:tr>
        <w:tc>
          <w:tcPr>
            <w:tcW w:type="dxa" w:w="2300"/>
            <w:shd w:fill="F4F6FB" w:val="clear"/>
            <w:tcMar>
              <w:top w:type="dxa" w:w="80"/>
              <w:left w:type="dxa" w:w="120"/>
              <w:bottom w:type="dxa" w:w="80"/>
              <w:right w:type="dxa" w:w="120"/>
            </w:tcMar>
          </w:tcPr>
          <w:p>
            <w:r>
              <w:rPr>
                <w:b/>
                <w:bCs/>
                <w:color w:val="1F3864"/>
                <w:sz w:val="19"/>
                <w:szCs w:val="19"/>
              </w:rPr>
              <w:t xml:space="preserve">CEDH</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Articles 8 et 3, isolément ou combinés, selon le seuil de gravité ; article 2 pour l’obligation de protection de la vie. Ample marge nationale d’appréciation en santé publique et en fin de vie.</w:t>
            </w:r>
          </w:p>
        </w:tc>
      </w:tr>
      <w:tr>
        <w:tc>
          <w:tcPr>
            <w:tcW w:type="dxa" w:w="2300"/>
            <w:shd w:fill="F4F6FB" w:val="clear"/>
            <w:tcMar>
              <w:top w:type="dxa" w:w="80"/>
              <w:left w:type="dxa" w:w="120"/>
              <w:bottom w:type="dxa" w:w="80"/>
              <w:right w:type="dxa" w:w="120"/>
            </w:tcMar>
          </w:tcPr>
          <w:p>
            <w:r>
              <w:rPr>
                <w:b/>
                <w:bCs/>
                <w:color w:val="1F3864"/>
                <w:sz w:val="19"/>
                <w:szCs w:val="19"/>
              </w:rPr>
              <w:t xml:space="preserve">Conseil constitutionnel</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DC et QPC : 94-343/344 DC (dignité, support de l’intégrité) · 2016-739 DC (changement de sexe) · 2022-1022 QPC (directives anticipées) · 2026-7 RIP, 17 juin 2026 · 2026-910 DC, 14 août 2026 (aide à mourir, trois réserves d’interprétation).</w:t>
            </w:r>
          </w:p>
        </w:tc>
      </w:tr>
      <w:tr>
        <w:tc>
          <w:tcPr>
            <w:tcW w:type="dxa" w:w="2300"/>
            <w:shd w:fill="F4F6FB" w:val="clear"/>
            <w:tcMar>
              <w:top w:type="dxa" w:w="80"/>
              <w:left w:type="dxa" w:w="120"/>
              <w:bottom w:type="dxa" w:w="80"/>
              <w:right w:type="dxa" w:w="120"/>
            </w:tcMar>
          </w:tcPr>
          <w:p>
            <w:r>
              <w:rPr>
                <w:b/>
                <w:bCs/>
                <w:color w:val="1F3864"/>
                <w:sz w:val="19"/>
                <w:szCs w:val="19"/>
              </w:rPr>
              <w:t xml:space="preserve">Conseil d’État</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Police administrative et dignité comme composante de l’ordre public (Morsang-sur-Orge ; Société Z Machine). Référé en matière de fin de vie (n° 490403 ; n° 494976 ; Lambert, n° 428117). En revanche, le droit à la protection de la santé n’est ni d’effet direct en REP (n° 253927) ni une liberté fondamentale au sens du référé-liberté (n° 284803).</w:t>
            </w:r>
          </w:p>
        </w:tc>
      </w:tr>
      <w:tr>
        <w:tc>
          <w:tcPr>
            <w:tcW w:type="dxa" w:w="2300"/>
            <w:shd w:fill="F4F6FB" w:val="clear"/>
            <w:tcMar>
              <w:top w:type="dxa" w:w="80"/>
              <w:left w:type="dxa" w:w="120"/>
              <w:bottom w:type="dxa" w:w="80"/>
              <w:right w:type="dxa" w:w="120"/>
            </w:tcMar>
          </w:tcPr>
          <w:p>
            <w:r>
              <w:rPr>
                <w:b/>
                <w:bCs/>
                <w:color w:val="1F3864"/>
                <w:sz w:val="19"/>
                <w:szCs w:val="19"/>
              </w:rPr>
              <w:t xml:space="preserve">Juge judiciaire</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Article 9 alinéa 2 du Code civil : référé pour faire cesser une atteinte imminente, empêcher une atteinte à la vie privée ou faire cesser un trouble manifestement illicite — l’atteinte devant présenter une certaine gravité et aucune autre mesure n’étant possible. Réparation sur le fondement des articles 1240 et suivants, sauf si l’atteinte relève des délits de presse de la loi du 29 juillet 1881, qui exclut alors le droit commun (Cass., ass. plén., 12 juillet 2000, n° 98-10.160). Invocabilité directe de l’alinéa 11 du préambule de 1946 (Cass. soc., 11 juillet 2012).</w:t>
            </w:r>
          </w:p>
        </w:tc>
      </w:tr>
      <w:tr>
        <w:tc>
          <w:tcPr>
            <w:tcW w:type="dxa" w:w="2300"/>
            <w:shd w:fill="F4F6FB" w:val="clear"/>
            <w:tcMar>
              <w:top w:type="dxa" w:w="80"/>
              <w:left w:type="dxa" w:w="120"/>
              <w:bottom w:type="dxa" w:w="80"/>
              <w:right w:type="dxa" w:w="120"/>
            </w:tcMar>
          </w:tcPr>
          <w:p>
            <w:r>
              <w:rPr>
                <w:b/>
                <w:bCs/>
                <w:color w:val="1F3864"/>
                <w:sz w:val="19"/>
                <w:szCs w:val="19"/>
              </w:rPr>
              <w:t xml:space="preserve">Juge pénal</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Article 222-22 du Code pénal, réécrit par la loi du 6 novembre 2025 ; Cass. crim., 1er juillet 2026, n° 26-82.275 (non-rétroactivité).</w:t>
            </w:r>
          </w:p>
        </w:tc>
      </w:tr>
    </w:tbl>
    <w:p>
      <w:pPr>
        <w:shd w:fill="EEF1F8" w:val="clear"/>
        <w:spacing w:after="140" w:before="320"/>
      </w:pPr>
      <w:r>
        <w:rPr>
          <w:b/>
          <w:bCs/>
          <w:color w:val="FFFFFF"/>
          <w:sz w:val="24"/>
          <w:szCs w:val="24"/>
          <w:shd w:fill="1F3864" w:val="clear"/>
        </w:rPr>
        <w:t xml:space="preserve">  7  </w:t>
      </w:r>
      <w:r>
        <w:rPr>
          <w:b/>
          <w:bCs/>
          <w:caps/>
          <w:color w:val="1F3864"/>
          <w:sz w:val="24"/>
          <w:szCs w:val="24"/>
        </w:rPr>
        <w:t xml:space="preserve">  Tensions et actualité datée</w:t>
      </w:r>
    </w:p>
    <w:p>
      <w:pPr>
        <w:spacing w:after="80" w:before="200"/>
      </w:pPr>
      <w:r>
        <w:rPr>
          <w:b/>
          <w:bCs/>
          <w:color w:val="1F3864"/>
          <w:sz w:val="21"/>
          <w:szCs w:val="21"/>
        </w:rPr>
        <w:t xml:space="preserve">Les tensions qui donnent un plan</w:t>
      </w:r>
    </w:p>
    <w:p>
      <w:pPr>
        <w:pStyle w:val="ListParagraph"/>
        <w:numPr>
          <w:ilvl w:val="0"/>
          <w:numId w:val="2"/>
        </w:numPr>
        <w:spacing w:after="70"/>
        <w:jc w:val="both"/>
      </w:pPr>
      <w:r>
        <w:rPr>
          <w:sz w:val="20"/>
          <w:szCs w:val="20"/>
        </w:rPr>
        <w:t xml:space="preserve">Autonomie personnelle ↔ dignité objective. La tension matricielle : un consentement libre et éclairé suffit-il à écarter une atteinte à la dignité ? Strasbourg dit en principe oui, le Conseil d’État dit non.</w:t>
      </w:r>
    </w:p>
    <w:p>
      <w:pPr>
        <w:pStyle w:val="ListParagraph"/>
        <w:numPr>
          <w:ilvl w:val="0"/>
          <w:numId w:val="2"/>
        </w:numPr>
        <w:spacing w:after="70"/>
        <w:jc w:val="both"/>
      </w:pPr>
      <w:r>
        <w:rPr>
          <w:sz w:val="20"/>
          <w:szCs w:val="20"/>
        </w:rPr>
        <w:t xml:space="preserve">Intégrité morale ↔ liberté d’expression. CEDH [GC], 7 février 2012, Axel Springer AG c. Allemagne, n° 39954/08 ; CEDH, 29 juin 2004, Chauvy et a. c. France, n° 64915/01. L’État n’est d’ailleurs pas tenu de prévoir une incrimination pénale des atteintes à la réputation : un recours civil peut suffire.</w:t>
      </w:r>
    </w:p>
    <w:p>
      <w:pPr>
        <w:pStyle w:val="ListParagraph"/>
        <w:numPr>
          <w:ilvl w:val="0"/>
          <w:numId w:val="2"/>
        </w:numPr>
        <w:spacing w:after="70"/>
        <w:jc w:val="both"/>
      </w:pPr>
      <w:r>
        <w:rPr>
          <w:sz w:val="20"/>
          <w:szCs w:val="20"/>
        </w:rPr>
        <w:t xml:space="preserve">Consentement ↔ ordre public, par le relais de la police administrative.</w:t>
      </w:r>
    </w:p>
    <w:p>
      <w:pPr>
        <w:spacing w:after="80" w:before="200"/>
      </w:pPr>
      <w:r>
        <w:rPr>
          <w:b/>
          <w:bCs/>
          <w:color w:val="1F3864"/>
          <w:sz w:val="21"/>
          <w:szCs w:val="21"/>
        </w:rPr>
        <w:t xml:space="preserve">L’intégrité morale : la protection, en bref</w:t>
      </w:r>
    </w:p>
    <w:p>
      <w:pPr>
        <w:spacing w:after="90"/>
        <w:jc w:val="both"/>
      </w:pPr>
      <w:r>
        <w:rPr>
          <w:sz w:val="20"/>
          <w:szCs w:val="20"/>
        </w:rPr>
        <w:t xml:space="preserve">La Convention protège l’intégrité morale sur le fondement de l’article 8. Les atteintes peuvent consister en la révélation d’éléments rattachés à l’image ou à l’identité sans consentement, mais également en des atteintes à la réputation.</w:t>
      </w:r>
    </w:p>
    <w:p>
      <w:pPr>
        <w:spacing w:after="70"/>
        <w:ind w:left="340" w:hanging="200"/>
        <w:jc w:val="both"/>
      </w:pPr>
      <w:r>
        <w:rPr>
          <w:b/>
          <w:bCs/>
          <w:color w:val="1F3864"/>
          <w:sz w:val="20"/>
          <w:szCs w:val="20"/>
        </w:rPr>
        <w:t xml:space="preserve">→ </w:t>
      </w:r>
      <w:r>
        <w:rPr>
          <w:b/>
          <w:bCs/>
          <w:sz w:val="20"/>
          <w:szCs w:val="20"/>
        </w:rPr>
        <w:t xml:space="preserve">CEDH, 25 février 2025, Toth et Crișan c. Roumanie, n° 45430/19</w:t>
      </w:r>
    </w:p>
    <w:p>
      <w:pPr>
        <w:pStyle w:val="ListParagraph"/>
        <w:numPr>
          <w:ilvl w:val="0"/>
          <w:numId w:val="2"/>
        </w:numPr>
        <w:spacing w:after="70"/>
        <w:jc w:val="both"/>
      </w:pPr>
      <w:r>
        <w:rPr>
          <w:sz w:val="20"/>
          <w:szCs w:val="20"/>
        </w:rPr>
        <w:t xml:space="preserve">Victimisation secondaire : les États ont l’obligation positive de protéger les victimes contre les atteintes à l’image, à la dignité et à la vie privée au cours de l’enquête comme lors du procès (CEDH, 27 mai 2021, J.L. c. Italie, n° 5671/16 ; et, sur la condamnation de la défense en raison du comportement et des propos de l’avocat du prévenu, Trib. corr. Paris, 10e ch., 13 mai 2025, n° 24057000509).</w:t>
      </w:r>
    </w:p>
    <w:p>
      <w:pPr>
        <w:spacing w:after="80" w:before="200"/>
      </w:pPr>
      <w:r>
        <w:rPr>
          <w:b/>
          <w:bCs/>
          <w:color w:val="1F3864"/>
          <w:sz w:val="21"/>
          <w:szCs w:val="21"/>
        </w:rPr>
        <w:t xml:space="preserve">Actualité 1 — Le consentement suffit-il à écarter une atteinte à la dignité ?</w:t>
      </w:r>
    </w:p>
    <w:p>
      <w:pPr>
        <w:spacing w:after="90"/>
        <w:jc w:val="both"/>
      </w:pPr>
      <w:r>
        <w:rPr>
          <w:sz w:val="20"/>
          <w:szCs w:val="20"/>
        </w:rPr>
        <w:t xml:space="preserve">En février 2026, le juge des référés du tribunal administratif de Paris avait suspendu la fermeture de l’établissement « Z Machine », où étaient organisées des pratiques sexuelles collectives. Il relevait que les participantes pouvaient déterminer les conditions de déroulement des événements et en demander l’arrêt à tout moment : le consentement et l’autonomie conduisaient à un doute sérieux sur la réalité de l’atteinte à leur dignité.</w:t>
      </w:r>
    </w:p>
    <w:p>
      <w:pPr>
        <w:spacing w:after="70"/>
        <w:ind w:left="340" w:hanging="200"/>
        <w:jc w:val="both"/>
      </w:pPr>
      <w:r>
        <w:rPr>
          <w:b/>
          <w:bCs/>
          <w:color w:val="1F3864"/>
          <w:sz w:val="20"/>
          <w:szCs w:val="20"/>
        </w:rPr>
        <w:t xml:space="preserve">→ </w:t>
      </w:r>
      <w:r>
        <w:rPr>
          <w:b/>
          <w:bCs/>
          <w:sz w:val="20"/>
          <w:szCs w:val="20"/>
        </w:rPr>
        <w:t xml:space="preserve">TA Paris, ord., 9 février 2026, Société Z Machine, n° 2602318</w:t>
      </w:r>
    </w:p>
    <w:p>
      <w:pPr>
        <w:spacing w:after="90"/>
        <w:jc w:val="both"/>
      </w:pPr>
      <w:r>
        <w:rPr>
          <w:sz w:val="20"/>
          <w:szCs w:val="20"/>
        </w:rPr>
        <w:t xml:space="preserve">Le Conseil d’État a censuré ce raisonnement. La dignité de la personne humaine est une composante de l’ordre public, et une activité peut y porter atteinte indépendamment de circonstances locales particulières. Surtout, le seul consentement des personnes concernées ne suffit pas à exclure une telle atteinte : le juge doit rechercher si, par leur nature et leurs conditions concrètes d’organisation, les pratiques conduisent à un traitement incompatible avec la dignité humaine. En l’espèce, les événements étaient organisés contre paiement autour de scénarios pouvant comporter violences, séquestrations, enlèvements ou agressions sexuelles, les participantes étant présentées comme pouvant être « utilisées » et réduites à un rôle d’objet sexuel.</w:t>
      </w:r>
    </w:p>
    <w:p>
      <w:pPr>
        <w:spacing w:after="70"/>
        <w:ind w:left="340" w:hanging="200"/>
        <w:jc w:val="both"/>
      </w:pPr>
      <w:r>
        <w:rPr>
          <w:b/>
          <w:bCs/>
          <w:color w:val="1F3864"/>
          <w:sz w:val="20"/>
          <w:szCs w:val="20"/>
        </w:rPr>
        <w:t xml:space="preserve">→ </w:t>
      </w:r>
      <w:r>
        <w:rPr>
          <w:b/>
          <w:bCs/>
          <w:sz w:val="20"/>
          <w:szCs w:val="20"/>
        </w:rPr>
        <w:t xml:space="preserve">CE, 15 juillet 2026, Société Z Machine, n° 513080</w:t>
      </w:r>
      <w:r>
        <w:rPr>
          <w:sz w:val="20"/>
          <w:szCs w:val="20"/>
        </w:rPr>
        <w:t xml:space="preserve"> — prolongement direct de la conception objective de Morsang-sur-Orge : le consentement de la personne ne fait pas nécessairement disparaître sa réification. Second apport : le Conseil d’État se fonde sur la nouvelle rédaction de l’article 222-22 du Code pénal issue de la loi du 6 novembre 2025, le consentement sexuel devant être libre et éclairé, spécifique, préalable et révocable ; les conditions d’organisation — contraintes physiques ou sexuelles, incitation à la consommation d’alcool — faisaient apparaître un risque suffisamment sérieux de commission d’infractions pénales pour justifier l’intervention de l’autorité de police.</w:t>
      </w:r>
    </w:p>
    <w:p>
      <w:pPr>
        <w:spacing w:after="80" w:before="200"/>
      </w:pPr>
      <w:r>
        <w:rPr>
          <w:b/>
          <w:bCs/>
          <w:color w:val="1F3864"/>
          <w:sz w:val="21"/>
          <w:szCs w:val="21"/>
        </w:rPr>
        <w:t xml:space="preserve">Actualité 2 — Le consentement dans la définition des agressions sexuelles</w:t>
      </w:r>
    </w:p>
    <w:p>
      <w:pPr>
        <w:pStyle w:val="ListParagraph"/>
        <w:numPr>
          <w:ilvl w:val="0"/>
          <w:numId w:val="2"/>
        </w:numPr>
        <w:spacing w:after="70"/>
        <w:jc w:val="both"/>
      </w:pPr>
      <w:r>
        <w:rPr>
          <w:sz w:val="20"/>
          <w:szCs w:val="20"/>
        </w:rPr>
        <w:t xml:space="preserve">La loi n° 2025-1057 du 6 novembre 2025 définit désormais l’agression sexuelle comme « tout acte sexuel non consenti ». Le consentement doit être libre et éclairé, spécifique, préalable et révocable. Il est apprécié au regard des circonstances et ne peut être déduit du seul silence ou de la seule absence de réaction de la victime. La violence, la contrainte, la menace ou la surprise caractérisent nécessairement une absence de consentement, sans constituer désormais les seuls cas dans lesquels celle-ci peut être établie.</w:t>
      </w:r>
    </w:p>
    <w:p>
      <w:pPr>
        <w:spacing w:after="70"/>
        <w:ind w:left="340" w:hanging="200"/>
        <w:jc w:val="both"/>
      </w:pPr>
      <w:r>
        <w:rPr>
          <w:b/>
          <w:bCs/>
          <w:color w:val="1F3864"/>
          <w:sz w:val="20"/>
          <w:szCs w:val="20"/>
        </w:rPr>
        <w:t xml:space="preserve">→ </w:t>
      </w:r>
      <w:r>
        <w:rPr>
          <w:b/>
          <w:bCs/>
          <w:sz w:val="20"/>
          <w:szCs w:val="20"/>
        </w:rPr>
        <w:t xml:space="preserve">Cass. crim., 1er juillet 2026, n° 26-82.275</w:t>
      </w:r>
      <w:r>
        <w:rPr>
          <w:sz w:val="20"/>
          <w:szCs w:val="20"/>
        </w:rPr>
        <w:t xml:space="preserve"> — la nouvelle rédaction élargit les éléments constitutifs, l’absence de consentement pouvant être caractérisée indépendamment de la violence, de la contrainte, de la menace ou de la surprise. Les exigences tenant au caractère libre, éclairé, spécifique, préalable et révocable sont pour partie nouvelles : la loi est donc plus sévère et ne peut s’appliquer à des faits commis avant son entrée en vigueur.</w:t>
      </w:r>
    </w:p>
    <w:p>
      <w:pPr>
        <w:spacing w:after="80" w:before="200"/>
      </w:pPr>
      <w:r>
        <w:rPr>
          <w:b/>
          <w:bCs/>
          <w:color w:val="1F3864"/>
          <w:sz w:val="21"/>
          <w:szCs w:val="21"/>
        </w:rPr>
        <w:t xml:space="preserve">Actualité 3 — La consécration d’un droit à l’aide à mourir</w:t>
      </w:r>
    </w:p>
    <w:p>
      <w:pPr>
        <w:pStyle w:val="ListParagraph"/>
        <w:numPr>
          <w:ilvl w:val="0"/>
          <w:numId w:val="2"/>
        </w:numPr>
        <w:spacing w:after="70"/>
        <w:jc w:val="both"/>
      </w:pPr>
      <w:r>
        <w:rPr>
          <w:sz w:val="20"/>
          <w:szCs w:val="20"/>
        </w:rPr>
        <w:t xml:space="preserve">Le 27 mai 2025, l’Assemblée nationale a adopté deux textes : la proposition de loi n° 122 relative au droit et à l’aide à mourir, et la n° 121 relative aux soins palliatifs.</w:t>
      </w:r>
    </w:p>
    <w:p>
      <w:pPr>
        <w:pStyle w:val="ListParagraph"/>
        <w:numPr>
          <w:ilvl w:val="0"/>
          <w:numId w:val="2"/>
        </w:numPr>
        <w:spacing w:after="70"/>
        <w:jc w:val="both"/>
      </w:pPr>
      <w:r>
        <w:rPr>
          <w:sz w:val="20"/>
          <w:szCs w:val="20"/>
        </w:rPr>
        <w:t xml:space="preserve">Le volet soins palliatifs a abouti à la loi du 26 mai 2026 visant à garantir l’égal accès de tous à l’accompagnement et aux soins palliatifs.</w:t>
      </w:r>
    </w:p>
    <w:p>
      <w:pPr>
        <w:pStyle w:val="ListParagraph"/>
        <w:numPr>
          <w:ilvl w:val="0"/>
          <w:numId w:val="2"/>
        </w:numPr>
        <w:spacing w:after="70"/>
        <w:jc w:val="both"/>
      </w:pPr>
      <w:r>
        <w:rPr>
          <w:sz w:val="20"/>
          <w:szCs w:val="20"/>
        </w:rPr>
        <w:t xml:space="preserve">Le texte relatif à l’aide à mourir, après de profondes divergences entre l’Assemblée et le Sénat, a été définitivement adopté par l’Assemblée nationale le 15 juillet 2026. Il consacre la possibilité, pour une personne qui en a exprimé la demande, de recourir à une substance létale afin de se l’administrer elle-même ou, lorsqu’elle n’est pas physiquement en mesure d’y procéder, de se la faire administrer par un médecin ou un infirmier.</w:t>
      </w:r>
    </w:p>
    <w:p>
      <w:pPr>
        <w:pBdr>
          <w:left w:val="single" w:color="1F3864" w:sz="18" w:space="8"/>
        </w:pBdr>
        <w:shd w:fill="F4F6FB" w:val="clear"/>
        <w:spacing w:after="140" w:before="140"/>
        <w:ind w:left="160" w:right="120"/>
        <w:jc w:val="both"/>
      </w:pPr>
      <w:r>
        <w:rPr>
          <w:b/>
          <w:bCs/>
          <w:color w:val="1F3864"/>
          <w:sz w:val="20"/>
          <w:szCs w:val="20"/>
        </w:rPr>
        <w:t xml:space="preserve">Les cinq conditions cumulatives. </w:t>
      </w:r>
      <w:r>
        <w:rPr>
          <w:sz w:val="20"/>
          <w:szCs w:val="20"/>
        </w:rPr>
        <w:t xml:space="preserve">être majeur · être de nationalité française ou résider de façon stable et régulière en France · être atteint d’une affection grave et incurable engageant le pronostic vital en phase avancée ou terminale · présenter une souffrance liée à cette affection · être apte à manifester une volonté libre et éclairée.</w:t>
      </w:r>
    </w:p>
    <w:p>
      <w:pPr>
        <w:spacing w:after="70"/>
        <w:ind w:left="340" w:hanging="200"/>
        <w:jc w:val="both"/>
      </w:pPr>
      <w:r>
        <w:rPr>
          <w:b/>
          <w:bCs/>
          <w:color w:val="1F3864"/>
          <w:sz w:val="20"/>
          <w:szCs w:val="20"/>
        </w:rPr>
        <w:t xml:space="preserve">→ </w:t>
      </w:r>
      <w:r>
        <w:rPr>
          <w:b/>
          <w:bCs/>
          <w:sz w:val="20"/>
          <w:szCs w:val="20"/>
        </w:rPr>
        <w:t xml:space="preserve">Cons. const., déc. n° 2026-7 RIP, 17 juin 2026</w:t>
      </w:r>
      <w:r>
        <w:rPr>
          <w:sz w:val="20"/>
          <w:szCs w:val="20"/>
        </w:rPr>
        <w:t xml:space="preserve"> — saisi d’une proposition de référendum d’initiative partagée visant à exclure de la notion de soin la « provocation active de la mort », le Conseil juge que les questions éthiques relatives à la fin de vie sont des questions de société ne relevant pas des objets pouvant être soumis à un RIP sur le fondement de l’article 11 de la Constitution.</w:t>
      </w:r>
    </w:p>
    <w:p>
      <w:pPr>
        <w:spacing w:after="70"/>
        <w:ind w:left="340" w:hanging="200"/>
        <w:jc w:val="both"/>
      </w:pPr>
      <w:r>
        <w:rPr>
          <w:b/>
          <w:bCs/>
          <w:color w:val="1F3864"/>
          <w:sz w:val="20"/>
          <w:szCs w:val="20"/>
        </w:rPr>
        <w:t xml:space="preserve">→ </w:t>
      </w:r>
      <w:r>
        <w:rPr>
          <w:b/>
          <w:bCs/>
          <w:sz w:val="20"/>
          <w:szCs w:val="20"/>
        </w:rPr>
        <w:t xml:space="preserve">Cons. const., déc. n° 2026-910 DC, 14 août 2026, Loi relative au droit à l’aide à mourir</w:t>
      </w:r>
      <w:r>
        <w:rPr>
          <w:sz w:val="20"/>
          <w:szCs w:val="20"/>
        </w:rPr>
        <w:t xml:space="preserve"> — conformité, sous TROIS réserves d’interprétation : (1) majeurs protégés — les observations de la personne chargée de leur protection doivent être effectivement prises en compte par le médecin ; (2) liberté de conscience — extension aux pharmaciens participant à la préparation ou à la délivrance de la substance létale de la possibilité de refuser de participer ; (3) établissements privés — leur responsable peut, sous conditions, refuser que l’aide à mourir y soit pratiquée lorsque cette pratique est incompatible avec ses missions ou son projet, sous réserve que d’autres établissements puissent répondre aux besoins locaux.</w:t>
      </w:r>
    </w:p>
    <w:p>
      <w:pPr>
        <w:pBdr>
          <w:left w:val="single" w:color="8B1A1A" w:sz="18" w:space="8"/>
        </w:pBdr>
        <w:shd w:fill="FDF2F2" w:val="clear"/>
        <w:spacing w:after="140" w:before="140"/>
        <w:ind w:left="160" w:right="120"/>
        <w:jc w:val="both"/>
      </w:pPr>
      <w:r>
        <w:rPr>
          <w:color w:val="4A1010"/>
          <w:sz w:val="20"/>
          <w:szCs w:val="20"/>
        </w:rPr>
        <w:t xml:space="preserve">Portée exacte, à ne pas surinterpréter. Le Conseil constitutionnel ne consacre PAS un droit constitutionnel à mourir : il valide le choix du législateur d’organiser un droit légal à l’aide à mourir et vérifie que les conditions et garanties satisfont aux exigences constitutionnelles. De même, la Convention ne consacre aucun droit à mourir ni à bénéficier d’une assistance de l’État pour mourir : l’évolution française illustre la marge nationale d’appréciation. L’articulation était déjà dans Pretty — l’article 2 ne permet pas de déduire un droit à mourir, tandis que l’article 8 protège l’autonomie personnelle et peut couvrir les choix relatifs aux conditions de sa propre fin de vie — et confirmée par Dániel Karsai (2024).</w:t>
      </w:r>
    </w:p>
    <w:p>
      <w:pPr>
        <w:shd w:fill="EEF1F8" w:val="clear"/>
        <w:spacing w:after="140" w:before="320"/>
      </w:pPr>
      <w:r>
        <w:rPr>
          <w:b/>
          <w:bCs/>
          <w:color w:val="FFFFFF"/>
          <w:sz w:val="24"/>
          <w:szCs w:val="24"/>
          <w:shd w:fill="1F3864" w:val="clear"/>
        </w:rPr>
        <w:t xml:space="preserve">  8  </w:t>
      </w:r>
      <w:r>
        <w:rPr>
          <w:b/>
          <w:bCs/>
          <w:caps/>
          <w:color w:val="1F3864"/>
          <w:sz w:val="24"/>
          <w:szCs w:val="24"/>
        </w:rPr>
        <w:t xml:space="preserve">  Plan prêt à l’emploi — « Le devoir conjugal constitue une atteinte grave à l’intégrité des personnes »</w:t>
      </w:r>
    </w:p>
    <w:p>
      <w:pPr>
        <w:spacing w:after="90"/>
        <w:jc w:val="both"/>
      </w:pPr>
      <w:r>
        <w:rPr>
          <w:sz w:val="20"/>
          <w:szCs w:val="20"/>
        </w:rPr>
        <w:t xml:space="preserve">Argumentation juridique corrigée du fascicule. Utile telle quelle, et comme modèle de plan sur un sujet de contradiction interne à l’ordre juridique.</w:t>
      </w:r>
    </w:p>
    <w:p>
      <w:pPr>
        <w:pBdr>
          <w:left w:val="single" w:color="1F3864" w:sz="18" w:space="8"/>
        </w:pBdr>
        <w:shd w:fill="F4F6FB" w:val="clear"/>
        <w:spacing w:after="140" w:before="140"/>
        <w:ind w:left="160" w:right="120"/>
        <w:jc w:val="both"/>
      </w:pPr>
      <w:r>
        <w:rPr>
          <w:b/>
          <w:bCs/>
          <w:color w:val="1F3864"/>
          <w:sz w:val="20"/>
          <w:szCs w:val="20"/>
        </w:rPr>
        <w:t xml:space="preserve">Problématique. </w:t>
      </w:r>
      <w:r>
        <w:rPr>
          <w:sz w:val="20"/>
          <w:szCs w:val="20"/>
        </w:rPr>
        <w:t xml:space="preserve">le devoir conjugal apparaît comme une atteinte grave au droit à l’intégrité des personnes, car il en découle une obligation civile à consentir à des actes sexuels (I), opérant de fait une présomption de consentement des actes sexuels entre époux (II).</w:t>
      </w:r>
    </w:p>
    <w:p>
      <w:pPr>
        <w:spacing w:after="80" w:before="200"/>
      </w:pPr>
      <w:r>
        <w:rPr>
          <w:b/>
          <w:bCs/>
          <w:color w:val="1F3864"/>
          <w:sz w:val="21"/>
          <w:szCs w:val="21"/>
        </w:rPr>
        <w:t xml:space="preserve">I. Le maintien critiquable d’une obligation civile à consentir à des actes sexuels</w:t>
      </w:r>
    </w:p>
    <w:p>
      <w:pPr>
        <w:pStyle w:val="ListParagraph"/>
        <w:numPr>
          <w:ilvl w:val="0"/>
          <w:numId w:val="2"/>
        </w:numPr>
        <w:spacing w:after="70"/>
        <w:jc w:val="both"/>
      </w:pPr>
      <w:r>
        <w:rPr>
          <w:sz w:val="20"/>
          <w:szCs w:val="20"/>
        </w:rPr>
        <w:t xml:space="preserve">A. Une atteinte à l’autonomie personnelle — l’article 215 du Code civil prévoit une obligation de communauté de vie, dont la jurisprudence a fait découler un devoir conjugal qu’il ne prévoit pas explicitement, à la différence du droit canonique qui en faisait une condition de validité. Les principes contemporains d’autonomie personnelle et de dignité rendent une telle exigence archaïque : en matière de choix aussi intimes, l’individu ne saurait être contraint de consentir (K.A. et A.D. c. Belgique).</w:t>
      </w:r>
    </w:p>
    <w:p>
      <w:pPr>
        <w:pStyle w:val="ListParagraph"/>
        <w:numPr>
          <w:ilvl w:val="0"/>
          <w:numId w:val="2"/>
        </w:numPr>
        <w:spacing w:after="70"/>
        <w:jc w:val="both"/>
      </w:pPr>
      <w:r>
        <w:rPr>
          <w:sz w:val="20"/>
          <w:szCs w:val="20"/>
        </w:rPr>
        <w:t xml:space="preserve">B. Le risque d’affaiblissement du consentement — le non-respect engage la responsabilité délictuelle sur le fondement de l’article 1240 (CA Aix-en-Provence, 3 mai 2011, n° 09/05752) et a permis de prononcer le divorce pour faute (Cass. civ. 2e, 17 décembre 1997, n° 96-15.704). D’où un faux dilemme dont chaque issue aboutit à une violation : se plier à l’obligation et aller contre l’autonomie personnelle, ou ne pas le faire et être sanctionné pour l’avoir exercée. La Cour a jugé que le prononcé d’un divorce aux torts de l’époux n’ayant pas respecté le devoir conjugal est une ingérence injustifiée dans le droit au respect de la vie privée (CEDH, 23 janvier 2025, H.W. c. France, n° 13805/21).</w:t>
      </w:r>
    </w:p>
    <w:p>
      <w:pPr>
        <w:spacing w:after="80" w:before="200"/>
      </w:pPr>
      <w:r>
        <w:rPr>
          <w:b/>
          <w:bCs/>
          <w:color w:val="1F3864"/>
          <w:sz w:val="21"/>
          <w:szCs w:val="21"/>
        </w:rPr>
        <w:t xml:space="preserve">II. L’inacceptabilité de la présomption du consentement des époux à des actes sexuels</w:t>
      </w:r>
    </w:p>
    <w:p>
      <w:pPr>
        <w:pStyle w:val="ListParagraph"/>
        <w:numPr>
          <w:ilvl w:val="0"/>
          <w:numId w:val="2"/>
        </w:numPr>
        <w:spacing w:after="70"/>
        <w:jc w:val="both"/>
      </w:pPr>
      <w:r>
        <w:rPr>
          <w:sz w:val="20"/>
          <w:szCs w:val="20"/>
        </w:rPr>
        <w:t xml:space="preserve">A. Un devoir conjugal contradictoire avec la pénalisation du viol entre époux — le devoir conjugal peut conduire à accepter sous la pression, faisant obstacle au caractère libre, éclairé et non équivoque du consentement, et consacre implicitement une présomption de consentement du seul fait du mariage. Cela va à contre-courant de la pénalisation du viol entre époux depuis Cass. crim., 17 juillet 1984, n° 84-91.288, et le législateur a ôté en 2010 de l’article 222-22 la référence à la présomption de consentement.</w:t>
      </w:r>
    </w:p>
    <w:p>
      <w:pPr>
        <w:pStyle w:val="ListParagraph"/>
        <w:numPr>
          <w:ilvl w:val="0"/>
          <w:numId w:val="2"/>
        </w:numPr>
        <w:spacing w:after="70"/>
        <w:jc w:val="both"/>
      </w:pPr>
      <w:r>
        <w:rPr>
          <w:sz w:val="20"/>
          <w:szCs w:val="20"/>
        </w:rPr>
        <w:t xml:space="preserve">B. Un devoir conjugal incohérent face à l’obligation de protection — les États ont une obligation d’incrimination pénale du viol (CEDH, 24 avril 2025, L. et a. c. France), et la Cour juge que le viol entre époux doit être puni pénalement (CEDH, 22 novembre 1995, S.W. c. Royaume-Uni, n° 20166/92). Le devoir conjugal brouille la cohérence de l’ordre juridique dans la réponse apportée à ces infractions.</w:t>
      </w:r>
    </w:p>
    <w:sectPr>
      <w:pgSz w:w="11906" w:h="16838" w:orient="portrait"/>
      <w:pgMar w:top="1000" w:right="1040" w:bottom="10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2026-10-03T13:52:12.662Z</dcterms:created>
  <dcterms:modified xsi:type="dcterms:W3CDTF">2026-10-03T13:52:12.662Z</dcterms:modified>
</cp:coreProperties>
</file>

<file path=docProps/custom.xml><?xml version="1.0" encoding="utf-8"?>
<Properties xmlns="http://schemas.openxmlformats.org/officeDocument/2006/custom-properties" xmlns:vt="http://schemas.openxmlformats.org/officeDocument/2006/docPropsVTypes"/>
</file>