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8FCE0" w14:textId="77777777" w:rsidR="009B0E8F" w:rsidRPr="009B0E8F" w:rsidRDefault="009B0E8F" w:rsidP="009B0E8F">
      <w:pPr>
        <w:rPr>
          <w:b/>
          <w:bCs/>
        </w:rPr>
      </w:pPr>
      <w:r w:rsidRPr="009B0E8F">
        <w:rPr>
          <w:b/>
          <w:bCs/>
        </w:rPr>
        <w:t>Commentaire de CE, 21 novembre 2025, ord. référé, n° 509481</w:t>
      </w:r>
    </w:p>
    <w:p w14:paraId="6529DB90" w14:textId="77777777" w:rsidR="009B0E8F" w:rsidRPr="009B0E8F" w:rsidRDefault="009B0E8F" w:rsidP="009B0E8F">
      <w:pPr>
        <w:rPr>
          <w:b/>
          <w:bCs/>
        </w:rPr>
      </w:pPr>
    </w:p>
    <w:p w14:paraId="11D91A61" w14:textId="77777777" w:rsidR="009B0E8F" w:rsidRPr="009B0E8F" w:rsidRDefault="009B0E8F" w:rsidP="009B0E8F">
      <w:pPr>
        <w:rPr>
          <w:b/>
          <w:bCs/>
        </w:rPr>
      </w:pPr>
    </w:p>
    <w:p w14:paraId="50D5ABDE" w14:textId="77777777" w:rsidR="009B0E8F" w:rsidRPr="009B0E8F" w:rsidRDefault="009B0E8F" w:rsidP="009B0E8F"/>
    <w:p w14:paraId="302F3911" w14:textId="77777777" w:rsidR="009B0E8F" w:rsidRPr="009B0E8F" w:rsidRDefault="009B0E8F" w:rsidP="009B0E8F">
      <w:r w:rsidRPr="009B0E8F">
        <w:t>INTRODUCTION :</w:t>
      </w:r>
    </w:p>
    <w:p w14:paraId="1EAD1DB7" w14:textId="77777777" w:rsidR="009B0E8F" w:rsidRPr="009B0E8F" w:rsidRDefault="009B0E8F" w:rsidP="009B0E8F"/>
    <w:p w14:paraId="7259B577" w14:textId="77777777" w:rsidR="009B0E8F" w:rsidRPr="009B0E8F" w:rsidRDefault="009B0E8F" w:rsidP="009B0E8F">
      <w:r w:rsidRPr="009B0E8F">
        <w:t>- Accroche : de toute évidence, l’instruction des enfants n’est pas une activité anodine assimilable/réductible à une activité de type culturelle ou économique. Bien que le code civil affirme que les parents sont les premiers éducateurs de leurs enfants, l’État contrôle très rigoureusement le contenu des enseignements qui leurs sont dispensés. Il convient toutefois de rappeler que l’État ne dispose d’aucun monopole en matière d’enseignement, puisqu’en France, l’enseignement est libre. Cette liberté possède des fondements et des garanties affirmées en droit français, mais elle rencontre également des limites. L’ordonnance de référé du 21 novembre 2025 illustre cette confrontation entre la liberté de l’enseignement et les limites qui lui sont assignées par le droit français.</w:t>
      </w:r>
    </w:p>
    <w:p w14:paraId="76939B13" w14:textId="77777777" w:rsidR="009B0E8F" w:rsidRPr="009B0E8F" w:rsidRDefault="009B0E8F" w:rsidP="009B0E8F"/>
    <w:p w14:paraId="17B12A0E" w14:textId="77777777" w:rsidR="009B0E8F" w:rsidRPr="009B0E8F" w:rsidRDefault="009B0E8F" w:rsidP="009B0E8F">
      <w:r w:rsidRPr="009B0E8F">
        <w:t>- Faits/procédure/pb de droit/solution.</w:t>
      </w:r>
    </w:p>
    <w:p w14:paraId="02A72232" w14:textId="77777777" w:rsidR="009B0E8F" w:rsidRPr="009B0E8F" w:rsidRDefault="009B0E8F" w:rsidP="009B0E8F"/>
    <w:p w14:paraId="60D79A19" w14:textId="77777777" w:rsidR="009B0E8F" w:rsidRPr="009B0E8F" w:rsidRDefault="009B0E8F" w:rsidP="009B0E8F">
      <w:r w:rsidRPr="009B0E8F">
        <w:t>- Contexte : durcissement des règles dans un contexte de lutte contre le « séparatisme » (loi du 24 août 2021) + histoire mouvementée de la liberté de l’enseignement.</w:t>
      </w:r>
    </w:p>
    <w:p w14:paraId="4A3FAB4B" w14:textId="77777777" w:rsidR="009B0E8F" w:rsidRPr="009B0E8F" w:rsidRDefault="009B0E8F" w:rsidP="009B0E8F"/>
    <w:p w14:paraId="079B308B" w14:textId="77777777" w:rsidR="009B0E8F" w:rsidRPr="009B0E8F" w:rsidRDefault="009B0E8F" w:rsidP="009B0E8F">
      <w:r w:rsidRPr="009B0E8F">
        <w:t>- Annonce du plan</w:t>
      </w:r>
    </w:p>
    <w:p w14:paraId="67A2053B" w14:textId="77777777" w:rsidR="009B0E8F" w:rsidRPr="009B0E8F" w:rsidRDefault="009B0E8F" w:rsidP="009B0E8F">
      <w:pPr>
        <w:rPr>
          <w:b/>
          <w:bCs/>
        </w:rPr>
      </w:pPr>
    </w:p>
    <w:p w14:paraId="4DAFA63D" w14:textId="77777777" w:rsidR="009B0E8F" w:rsidRPr="009B0E8F" w:rsidRDefault="009B0E8F" w:rsidP="009B0E8F"/>
    <w:p w14:paraId="66894B06" w14:textId="77777777" w:rsidR="009B0E8F" w:rsidRPr="009B0E8F" w:rsidRDefault="009B0E8F" w:rsidP="009B0E8F">
      <w:r w:rsidRPr="009B0E8F">
        <w:t>I. La subordination de la liberté de l’enseignement à l’instruction obligatoire des enfants</w:t>
      </w:r>
    </w:p>
    <w:p w14:paraId="3C100F5B" w14:textId="77777777" w:rsidR="009B0E8F" w:rsidRPr="009B0E8F" w:rsidRDefault="009B0E8F" w:rsidP="009B0E8F"/>
    <w:p w14:paraId="4F29D84B" w14:textId="77777777" w:rsidR="009B0E8F" w:rsidRPr="009B0E8F" w:rsidRDefault="009B0E8F" w:rsidP="009B0E8F">
      <w:r w:rsidRPr="009B0E8F">
        <w:t>A. La liberté de l’enseignement ou l’autonomie dans le choix des contenus pédagogiques</w:t>
      </w:r>
    </w:p>
    <w:p w14:paraId="135BA4F8" w14:textId="77777777" w:rsidR="009B0E8F" w:rsidRPr="009B0E8F" w:rsidRDefault="009B0E8F" w:rsidP="009B0E8F"/>
    <w:p w14:paraId="3DD46AE7" w14:textId="77777777" w:rsidR="009B0E8F" w:rsidRPr="009B0E8F" w:rsidRDefault="009B0E8F" w:rsidP="009B0E8F">
      <w:r w:rsidRPr="009B0E8F">
        <w:t>B. La liberté de l’enseignement surdéterminée par le droit à l’instruction</w:t>
      </w:r>
    </w:p>
    <w:p w14:paraId="1915EB39" w14:textId="77777777" w:rsidR="009B0E8F" w:rsidRPr="009B0E8F" w:rsidRDefault="009B0E8F" w:rsidP="009B0E8F"/>
    <w:p w14:paraId="78EDB23C" w14:textId="77777777" w:rsidR="009B0E8F" w:rsidRPr="009B0E8F" w:rsidRDefault="009B0E8F" w:rsidP="009B0E8F">
      <w:r w:rsidRPr="009B0E8F">
        <w:t>II. Le contrôle des décisions de fermeture des établissements privés hors-contrat</w:t>
      </w:r>
    </w:p>
    <w:p w14:paraId="51DBA168" w14:textId="77777777" w:rsidR="009B0E8F" w:rsidRPr="009B0E8F" w:rsidRDefault="009B0E8F" w:rsidP="009B0E8F"/>
    <w:p w14:paraId="71CBE520" w14:textId="77777777" w:rsidR="009B0E8F" w:rsidRPr="009B0E8F" w:rsidRDefault="009B0E8F" w:rsidP="009B0E8F">
      <w:r w:rsidRPr="009B0E8F">
        <w:t>A. Un pouvoir répressif de l’Administration</w:t>
      </w:r>
    </w:p>
    <w:p w14:paraId="3621EE5E" w14:textId="77777777" w:rsidR="009B0E8F" w:rsidRPr="009B0E8F" w:rsidRDefault="009B0E8F" w:rsidP="009B0E8F"/>
    <w:p w14:paraId="4EC25BCC" w14:textId="77777777" w:rsidR="009B0E8F" w:rsidRPr="009B0E8F" w:rsidRDefault="009B0E8F" w:rsidP="009B0E8F">
      <w:r w:rsidRPr="009B0E8F">
        <w:t>B. Le contrôle minimal du juge administratif sur l’exercice des prérogatives de l’Administration</w:t>
      </w:r>
    </w:p>
    <w:p w14:paraId="60AEF6FA" w14:textId="77777777" w:rsidR="003F71FB" w:rsidRDefault="003F71FB"/>
    <w:p w14:paraId="415D4165" w14:textId="77777777" w:rsidR="001A7A69" w:rsidRDefault="001A7A69" w:rsidP="001A7A69">
      <w:pPr>
        <w:pBdr>
          <w:bottom w:val="single" w:sz="4" w:space="1" w:color="auto"/>
        </w:pBdr>
      </w:pPr>
    </w:p>
    <w:p w14:paraId="44B535EA" w14:textId="77777777" w:rsidR="001A7A69" w:rsidRDefault="001A7A69"/>
    <w:p w14:paraId="583FAF82" w14:textId="77777777" w:rsidR="001A7A69" w:rsidRDefault="001A7A69"/>
    <w:p w14:paraId="4ABC007F" w14:textId="296BE9D8" w:rsidR="004708A6" w:rsidRDefault="001A7A69" w:rsidP="004708A6">
      <w:r>
        <w:t>Au rayon des actualités, je vous suggère de considérer la proposition de loi</w:t>
      </w:r>
      <w:r w:rsidRPr="001A7A69">
        <w:t xml:space="preserve"> visant à protéger les enfants et à lutter contre les violences en milieu scolaire,</w:t>
      </w:r>
      <w:r>
        <w:t xml:space="preserve"> qui vient d’être déposée le 28 avril 2026 sur le bureau de l’Assemblée nationale. De nombreuses dispositions concernent les établissements privés sous contrat (simple ou d’association), et prévoient désormais également </w:t>
      </w:r>
      <w:r w:rsidRPr="001A7A69">
        <w:rPr>
          <w:u w:val="single"/>
        </w:rPr>
        <w:t>un régime de fermeture administrative qui n’était applicable jusqu’à présent qu’aux établissements privés hors contrat</w:t>
      </w:r>
      <w:r>
        <w:t xml:space="preserve"> (je ne crois pas vous l’avoir précisé oralement cet après-midi).</w:t>
      </w:r>
    </w:p>
    <w:p w14:paraId="2FBA82FB" w14:textId="11D42E9F" w:rsidR="004708A6" w:rsidRDefault="004708A6">
      <w:r>
        <w:t>Voici le lien du texte de loi :</w:t>
      </w:r>
    </w:p>
    <w:p w14:paraId="5E9674EE" w14:textId="5BC46CEC" w:rsidR="004708A6" w:rsidRDefault="004708A6">
      <w:hyperlink r:id="rId4" w:history="1">
        <w:r w:rsidRPr="0058197B">
          <w:rPr>
            <w:rStyle w:val="Lienhypertexte"/>
          </w:rPr>
          <w:t>https://www.assemblee-nationale.fr/dyn/17/textes/l17b2708_proposition-loi#</w:t>
        </w:r>
      </w:hyperlink>
    </w:p>
    <w:p w14:paraId="2A3C8CF7" w14:textId="77777777" w:rsidR="004708A6" w:rsidRDefault="004708A6">
      <w:r>
        <w:lastRenderedPageBreak/>
        <w:t>Vous prêterez attention à son article 7, s’agissant du dispositif de fermeture, qui ressemble à celui instauré pour les établissements hors-contrat, mais qui est même plus rigoureux, car en certaines hypothèses, la fermeture définitive peut être prononcé immédiatement sans mise en demeure :</w:t>
      </w:r>
    </w:p>
    <w:p w14:paraId="37C5FAAF" w14:textId="09505262" w:rsidR="004708A6" w:rsidRDefault="004708A6">
      <w:r>
        <w:t>« </w:t>
      </w:r>
      <w:r w:rsidRPr="004708A6">
        <w:rPr>
          <w:i/>
          <w:iCs/>
        </w:rPr>
        <w:t>Art. L. 442</w:t>
      </w:r>
      <w:r w:rsidRPr="004708A6">
        <w:rPr>
          <w:i/>
          <w:iCs/>
        </w:rPr>
        <w:noBreakHyphen/>
        <w:t>1</w:t>
      </w:r>
      <w:r w:rsidRPr="004708A6">
        <w:rPr>
          <w:i/>
          <w:iCs/>
        </w:rPr>
        <w:noBreakHyphen/>
        <w:t>6</w:t>
      </w:r>
      <w:r w:rsidRPr="004708A6">
        <w:t>. – Les mesures prévues aux articles L. 442</w:t>
      </w:r>
      <w:r w:rsidRPr="004708A6">
        <w:noBreakHyphen/>
        <w:t>1</w:t>
      </w:r>
      <w:r w:rsidRPr="004708A6">
        <w:noBreakHyphen/>
        <w:t>4 et L. 442</w:t>
      </w:r>
      <w:r w:rsidRPr="004708A6">
        <w:noBreakHyphen/>
        <w:t>1</w:t>
      </w:r>
      <w:r w:rsidRPr="004708A6">
        <w:noBreakHyphen/>
        <w:t>5 peuvent être prononcées sans mise en demeure préalable en cas d’urgence absolue pour la sécurité des élèves, d’atteinte d’une particulière gravité aux valeurs de la République ou en cas de refus de se soumettre au contrôle ou d’obstacle au bon déroulement de celui</w:t>
      </w:r>
      <w:r w:rsidRPr="004708A6">
        <w:noBreakHyphen/>
        <w:t>ci</w:t>
      </w:r>
      <w:r>
        <w:t> ».</w:t>
      </w:r>
    </w:p>
    <w:p w14:paraId="59D3217D" w14:textId="77777777" w:rsidR="004708A6" w:rsidRDefault="004708A6"/>
    <w:p w14:paraId="2B706BAE" w14:textId="14C4770A" w:rsidR="004708A6" w:rsidRDefault="004708A6">
      <w:r>
        <w:t>Ce n’est qu’une proposition de loi, dont il n’est pas certain qu’elle soit adoptée, ou qui pourrait être substantiellement modifiée. Mais elle témoigne des ambitions législatives et de l’actualité sur le sujet…</w:t>
      </w:r>
    </w:p>
    <w:p w14:paraId="29186833" w14:textId="77777777" w:rsidR="004708A6" w:rsidRDefault="004708A6"/>
    <w:sectPr w:rsidR="004708A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41E"/>
    <w:rsid w:val="00143A96"/>
    <w:rsid w:val="0018369F"/>
    <w:rsid w:val="001A7A69"/>
    <w:rsid w:val="00232713"/>
    <w:rsid w:val="003B1722"/>
    <w:rsid w:val="003F71FB"/>
    <w:rsid w:val="0045141E"/>
    <w:rsid w:val="004708A6"/>
    <w:rsid w:val="004A30E4"/>
    <w:rsid w:val="005665CB"/>
    <w:rsid w:val="007058C5"/>
    <w:rsid w:val="009B0E8F"/>
    <w:rsid w:val="00F70E05"/>
    <w:rsid w:val="00FD6E5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BF74B"/>
  <w15:chartTrackingRefBased/>
  <w15:docId w15:val="{2A976644-14FD-4DBB-A5BA-CC8B3F9C5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Arial"/>
        <w:sz w:val="24"/>
        <w:szCs w:val="28"/>
        <w:lang w:val="fr-FR" w:eastAsia="en-US" w:bidi="ar-SA"/>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369F"/>
  </w:style>
  <w:style w:type="paragraph" w:styleId="Titre1">
    <w:name w:val="heading 1"/>
    <w:basedOn w:val="Normal"/>
    <w:next w:val="Normal"/>
    <w:link w:val="Titre1Car"/>
    <w:uiPriority w:val="9"/>
    <w:qFormat/>
    <w:rsid w:val="004514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514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5141E"/>
    <w:pPr>
      <w:keepNext/>
      <w:keepLines/>
      <w:spacing w:before="160" w:after="80"/>
      <w:outlineLvl w:val="2"/>
    </w:pPr>
    <w:rPr>
      <w:rFonts w:asciiTheme="minorHAnsi" w:eastAsiaTheme="majorEastAsia" w:hAnsiTheme="minorHAnsi" w:cstheme="majorBidi"/>
      <w:color w:val="0F4761" w:themeColor="accent1" w:themeShade="BF"/>
      <w:sz w:val="28"/>
    </w:rPr>
  </w:style>
  <w:style w:type="paragraph" w:styleId="Titre4">
    <w:name w:val="heading 4"/>
    <w:basedOn w:val="Normal"/>
    <w:next w:val="Normal"/>
    <w:link w:val="Titre4Car"/>
    <w:uiPriority w:val="9"/>
    <w:semiHidden/>
    <w:unhideWhenUsed/>
    <w:qFormat/>
    <w:rsid w:val="0045141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45141E"/>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45141E"/>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45141E"/>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45141E"/>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45141E"/>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5141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5141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5141E"/>
    <w:rPr>
      <w:rFonts w:asciiTheme="minorHAnsi" w:eastAsiaTheme="majorEastAsia" w:hAnsiTheme="minorHAnsi" w:cstheme="majorBidi"/>
      <w:color w:val="0F4761" w:themeColor="accent1" w:themeShade="BF"/>
      <w:sz w:val="28"/>
    </w:rPr>
  </w:style>
  <w:style w:type="character" w:customStyle="1" w:styleId="Titre4Car">
    <w:name w:val="Titre 4 Car"/>
    <w:basedOn w:val="Policepardfaut"/>
    <w:link w:val="Titre4"/>
    <w:uiPriority w:val="9"/>
    <w:semiHidden/>
    <w:rsid w:val="0045141E"/>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45141E"/>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45141E"/>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45141E"/>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45141E"/>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45141E"/>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45141E"/>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5141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5141E"/>
    <w:pPr>
      <w:numPr>
        <w:ilvl w:val="1"/>
      </w:numPr>
      <w:spacing w:after="160"/>
      <w:ind w:firstLine="709"/>
    </w:pPr>
    <w:rPr>
      <w:rFonts w:asciiTheme="minorHAnsi" w:eastAsiaTheme="majorEastAsia" w:hAnsiTheme="minorHAnsi" w:cstheme="majorBidi"/>
      <w:color w:val="595959" w:themeColor="text1" w:themeTint="A6"/>
      <w:spacing w:val="15"/>
      <w:sz w:val="28"/>
    </w:rPr>
  </w:style>
  <w:style w:type="character" w:customStyle="1" w:styleId="Sous-titreCar">
    <w:name w:val="Sous-titre Car"/>
    <w:basedOn w:val="Policepardfaut"/>
    <w:link w:val="Sous-titre"/>
    <w:uiPriority w:val="11"/>
    <w:rsid w:val="0045141E"/>
    <w:rPr>
      <w:rFonts w:asciiTheme="minorHAnsi" w:eastAsiaTheme="majorEastAsia" w:hAnsiTheme="minorHAnsi" w:cstheme="majorBidi"/>
      <w:color w:val="595959" w:themeColor="text1" w:themeTint="A6"/>
      <w:spacing w:val="15"/>
      <w:sz w:val="28"/>
    </w:rPr>
  </w:style>
  <w:style w:type="paragraph" w:styleId="Citation">
    <w:name w:val="Quote"/>
    <w:basedOn w:val="Normal"/>
    <w:next w:val="Normal"/>
    <w:link w:val="CitationCar"/>
    <w:uiPriority w:val="29"/>
    <w:qFormat/>
    <w:rsid w:val="0045141E"/>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45141E"/>
    <w:rPr>
      <w:i/>
      <w:iCs/>
      <w:color w:val="404040" w:themeColor="text1" w:themeTint="BF"/>
    </w:rPr>
  </w:style>
  <w:style w:type="paragraph" w:styleId="Paragraphedeliste">
    <w:name w:val="List Paragraph"/>
    <w:basedOn w:val="Normal"/>
    <w:uiPriority w:val="34"/>
    <w:qFormat/>
    <w:rsid w:val="0045141E"/>
    <w:pPr>
      <w:ind w:left="720"/>
      <w:contextualSpacing/>
    </w:pPr>
  </w:style>
  <w:style w:type="character" w:styleId="Accentuationintense">
    <w:name w:val="Intense Emphasis"/>
    <w:basedOn w:val="Policepardfaut"/>
    <w:uiPriority w:val="21"/>
    <w:qFormat/>
    <w:rsid w:val="0045141E"/>
    <w:rPr>
      <w:i/>
      <w:iCs/>
      <w:color w:val="0F4761" w:themeColor="accent1" w:themeShade="BF"/>
    </w:rPr>
  </w:style>
  <w:style w:type="paragraph" w:styleId="Citationintense">
    <w:name w:val="Intense Quote"/>
    <w:basedOn w:val="Normal"/>
    <w:next w:val="Normal"/>
    <w:link w:val="CitationintenseCar"/>
    <w:uiPriority w:val="30"/>
    <w:qFormat/>
    <w:rsid w:val="004514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5141E"/>
    <w:rPr>
      <w:i/>
      <w:iCs/>
      <w:color w:val="0F4761" w:themeColor="accent1" w:themeShade="BF"/>
    </w:rPr>
  </w:style>
  <w:style w:type="character" w:styleId="Rfrenceintense">
    <w:name w:val="Intense Reference"/>
    <w:basedOn w:val="Policepardfaut"/>
    <w:uiPriority w:val="32"/>
    <w:qFormat/>
    <w:rsid w:val="0045141E"/>
    <w:rPr>
      <w:b/>
      <w:bCs/>
      <w:smallCaps/>
      <w:color w:val="0F4761" w:themeColor="accent1" w:themeShade="BF"/>
      <w:spacing w:val="5"/>
    </w:rPr>
  </w:style>
  <w:style w:type="character" w:styleId="Lienhypertexte">
    <w:name w:val="Hyperlink"/>
    <w:basedOn w:val="Policepardfaut"/>
    <w:uiPriority w:val="99"/>
    <w:unhideWhenUsed/>
    <w:rsid w:val="004708A6"/>
    <w:rPr>
      <w:color w:val="467886" w:themeColor="hyperlink"/>
      <w:u w:val="single"/>
    </w:rPr>
  </w:style>
  <w:style w:type="character" w:styleId="Mentionnonrsolue">
    <w:name w:val="Unresolved Mention"/>
    <w:basedOn w:val="Policepardfaut"/>
    <w:uiPriority w:val="99"/>
    <w:semiHidden/>
    <w:unhideWhenUsed/>
    <w:rsid w:val="004708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assemblee-nationale.fr/dyn/17/textes/l17b2708_proposition-loi#"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491</Words>
  <Characters>2702</Characters>
  <Application>Microsoft Office Word</Application>
  <DocSecurity>0</DocSecurity>
  <Lines>22</Lines>
  <Paragraphs>6</Paragraphs>
  <ScaleCrop>false</ScaleCrop>
  <Company>Universite Toulouse Capitole</Company>
  <LinksUpToDate>false</LinksUpToDate>
  <CharactersWithSpaces>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SILD</dc:creator>
  <cp:keywords/>
  <dc:description/>
  <cp:lastModifiedBy>NICOLAS SILD</cp:lastModifiedBy>
  <cp:revision>4</cp:revision>
  <dcterms:created xsi:type="dcterms:W3CDTF">2026-06-01T19:45:00Z</dcterms:created>
  <dcterms:modified xsi:type="dcterms:W3CDTF">2026-06-01T20:02:00Z</dcterms:modified>
</cp:coreProperties>
</file>