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464E2" w14:textId="23966005" w:rsidR="00100320" w:rsidRPr="00106AB5" w:rsidRDefault="00106AB5">
      <w:pPr>
        <w:rPr>
          <w:sz w:val="24"/>
          <w:szCs w:val="24"/>
        </w:rPr>
      </w:pPr>
      <w:r w:rsidRPr="00106AB5">
        <w:rPr>
          <w:sz w:val="24"/>
          <w:szCs w:val="24"/>
        </w:rPr>
        <w:t>Commentez cet extrait d’un communiqué de presse de la Cour européenne</w:t>
      </w:r>
    </w:p>
    <w:p w14:paraId="5B10E944" w14:textId="32D1B025" w:rsidR="00106AB5" w:rsidRPr="00106AB5" w:rsidRDefault="00106AB5">
      <w:pPr>
        <w:rPr>
          <w:sz w:val="24"/>
          <w:szCs w:val="24"/>
        </w:rPr>
      </w:pPr>
    </w:p>
    <w:p w14:paraId="668B6647" w14:textId="071D51F8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</w:rPr>
      </w:pPr>
      <w:r w:rsidRPr="00106AB5">
        <w:rPr>
          <w:rFonts w:ascii="Calibri" w:hAnsi="Calibri" w:cs="Calibri"/>
          <w:b/>
          <w:bCs/>
          <w:color w:val="000000"/>
        </w:rPr>
        <w:t>CEDH 035 (2026)</w:t>
      </w:r>
      <w:r w:rsidRPr="00106AB5">
        <w:rPr>
          <w:rFonts w:ascii="Calibri" w:hAnsi="Calibri" w:cs="Calibri"/>
          <w:b/>
          <w:bCs/>
          <w:color w:val="000000"/>
        </w:rPr>
        <w:t xml:space="preserve"> </w:t>
      </w:r>
      <w:r w:rsidRPr="00106AB5">
        <w:rPr>
          <w:rFonts w:ascii="Calibri" w:hAnsi="Calibri" w:cs="Calibri"/>
          <w:b/>
          <w:bCs/>
          <w:color w:val="000000"/>
        </w:rPr>
        <w:t>05.02.2026</w:t>
      </w:r>
    </w:p>
    <w:p w14:paraId="7AAE4CF9" w14:textId="27BD7440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72BD"/>
          <w:sz w:val="28"/>
          <w:szCs w:val="28"/>
        </w:rPr>
      </w:pPr>
      <w:r w:rsidRPr="00106AB5">
        <w:rPr>
          <w:rFonts w:ascii="Calibri" w:hAnsi="Calibri" w:cs="Calibri"/>
          <w:b/>
          <w:bCs/>
          <w:color w:val="0072BD"/>
          <w:sz w:val="28"/>
          <w:szCs w:val="28"/>
        </w:rPr>
        <w:t>La décision médicale d’arrêter les traitements de maintien en vie d’un patient qui</w:t>
      </w:r>
      <w:r>
        <w:rPr>
          <w:rFonts w:ascii="Calibri" w:hAnsi="Calibri" w:cs="Calibri"/>
          <w:b/>
          <w:bCs/>
          <w:color w:val="0072BD"/>
          <w:sz w:val="28"/>
          <w:szCs w:val="28"/>
        </w:rPr>
        <w:t xml:space="preserve"> </w:t>
      </w:r>
      <w:r w:rsidRPr="00106AB5">
        <w:rPr>
          <w:rFonts w:ascii="Calibri" w:hAnsi="Calibri" w:cs="Calibri"/>
          <w:b/>
          <w:bCs/>
          <w:color w:val="0072BD"/>
          <w:sz w:val="28"/>
          <w:szCs w:val="28"/>
        </w:rPr>
        <w:t>avait rédigé des directives anticipées n’a pas emporté violation de la Convention</w:t>
      </w:r>
    </w:p>
    <w:p w14:paraId="63227EE4" w14:textId="77777777" w:rsid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273A98A0" w14:textId="2A21861B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106AB5">
        <w:rPr>
          <w:rFonts w:ascii="Calibri" w:hAnsi="Calibri" w:cs="Calibri"/>
          <w:b/>
          <w:bCs/>
          <w:color w:val="000000"/>
          <w:sz w:val="24"/>
          <w:szCs w:val="24"/>
        </w:rPr>
        <w:t xml:space="preserve">Dans son arrêt de </w:t>
      </w:r>
      <w:r w:rsidRPr="00106AB5">
        <w:rPr>
          <w:rFonts w:ascii="Calibri-Bold" w:hAnsi="Calibri-Bold" w:cs="Calibri-Bold"/>
          <w:b/>
          <w:bCs/>
          <w:color w:val="404040"/>
          <w:sz w:val="24"/>
          <w:szCs w:val="24"/>
        </w:rPr>
        <w:t>chambre</w:t>
      </w:r>
      <w:r w:rsidRPr="00106AB5">
        <w:rPr>
          <w:rFonts w:ascii="Calibri" w:hAnsi="Calibri" w:cs="Calibri"/>
          <w:b/>
          <w:bCs/>
          <w:color w:val="000000"/>
          <w:sz w:val="16"/>
          <w:szCs w:val="16"/>
        </w:rPr>
        <w:t>1</w:t>
      </w:r>
      <w:r w:rsidRPr="00106AB5">
        <w:rPr>
          <w:rFonts w:ascii="Calibri" w:hAnsi="Calibri" w:cs="Calibri"/>
          <w:b/>
          <w:bCs/>
          <w:color w:val="000000"/>
          <w:sz w:val="24"/>
          <w:szCs w:val="24"/>
        </w:rPr>
        <w:t xml:space="preserve">, rendu ce jour dans l’affaire </w:t>
      </w:r>
      <w:proofErr w:type="spellStart"/>
      <w:r w:rsidRPr="00106AB5">
        <w:rPr>
          <w:rFonts w:ascii="Calibri" w:hAnsi="Calibri" w:cs="Calibri"/>
          <w:b/>
          <w:bCs/>
          <w:color w:val="0072BD"/>
          <w:sz w:val="24"/>
          <w:szCs w:val="24"/>
        </w:rPr>
        <w:t>Medmoune</w:t>
      </w:r>
      <w:proofErr w:type="spellEnd"/>
      <w:r w:rsidRPr="00106AB5">
        <w:rPr>
          <w:rFonts w:ascii="Calibri" w:hAnsi="Calibri" w:cs="Calibri"/>
          <w:b/>
          <w:bCs/>
          <w:color w:val="0072BD"/>
          <w:sz w:val="24"/>
          <w:szCs w:val="24"/>
        </w:rPr>
        <w:t xml:space="preserve"> c. France </w:t>
      </w:r>
      <w:r w:rsidRPr="00106AB5">
        <w:rPr>
          <w:rFonts w:ascii="Calibri" w:hAnsi="Calibri" w:cs="Calibri"/>
          <w:b/>
          <w:bCs/>
          <w:color w:val="000000"/>
          <w:sz w:val="24"/>
          <w:szCs w:val="24"/>
        </w:rPr>
        <w:t>(requête n</w:t>
      </w:r>
      <w:r w:rsidRPr="00106AB5">
        <w:rPr>
          <w:rFonts w:ascii="Calibri" w:hAnsi="Calibri" w:cs="Calibri"/>
          <w:b/>
          <w:bCs/>
          <w:color w:val="000000"/>
          <w:sz w:val="16"/>
          <w:szCs w:val="16"/>
        </w:rPr>
        <w:t xml:space="preserve">o </w:t>
      </w:r>
      <w:r w:rsidRPr="00106AB5">
        <w:rPr>
          <w:rFonts w:ascii="Calibri" w:hAnsi="Calibri" w:cs="Calibri"/>
          <w:b/>
          <w:bCs/>
          <w:color w:val="000000"/>
          <w:sz w:val="24"/>
          <w:szCs w:val="24"/>
        </w:rPr>
        <w:t>55026/22),</w:t>
      </w:r>
      <w:r w:rsidRPr="00106AB5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b/>
          <w:bCs/>
          <w:color w:val="000000"/>
          <w:sz w:val="24"/>
          <w:szCs w:val="24"/>
        </w:rPr>
        <w:t>la Cour européenne des droits de l’homme dit, à l’unanimité, qu’il y a eu :</w:t>
      </w:r>
    </w:p>
    <w:p w14:paraId="0DFE041A" w14:textId="7680E51E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106AB5">
        <w:rPr>
          <w:rFonts w:ascii="Calibri-Bold" w:hAnsi="Calibri-Bold" w:cs="Calibri-Bold"/>
          <w:b/>
          <w:bCs/>
          <w:color w:val="404040"/>
          <w:sz w:val="24"/>
          <w:szCs w:val="24"/>
        </w:rPr>
        <w:t xml:space="preserve">Non-violation de l’article 2 (droit à la vie) </w:t>
      </w:r>
      <w:r w:rsidRPr="00106AB5">
        <w:rPr>
          <w:rFonts w:ascii="Calibri" w:hAnsi="Calibri" w:cs="Calibri"/>
          <w:b/>
          <w:bCs/>
          <w:color w:val="000000"/>
          <w:sz w:val="24"/>
          <w:szCs w:val="24"/>
        </w:rPr>
        <w:t>de la Convention européenne des droits de l’homme.</w:t>
      </w:r>
    </w:p>
    <w:p w14:paraId="49E2A35D" w14:textId="77777777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0946FB80" w14:textId="60AB5929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Dans cette affaire, les requérantes se plaignent d’une atteinte au droit à la vie de M. A.M.– leur frère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et époux – résultant de la décision médicale d’arrêter les traitements qui le maintenaient en vie. La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particularité de l’espèce tient à la circonstance que le patient avait rédigé des directives anticipées,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lesquelles visaient à la poursuite des traitements de maintien en vie au cas même où il aurait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définitivement perdu conscience et où il ne pourrait plus communiquer avec ses proches.</w:t>
      </w:r>
    </w:p>
    <w:p w14:paraId="5F7A91BF" w14:textId="7C362386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449941FB" w14:textId="77777777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62626"/>
          <w:sz w:val="32"/>
          <w:szCs w:val="32"/>
        </w:rPr>
      </w:pPr>
      <w:r w:rsidRPr="00106AB5">
        <w:rPr>
          <w:rFonts w:ascii="Calibri" w:hAnsi="Calibri" w:cs="Calibri"/>
          <w:color w:val="262626"/>
          <w:sz w:val="32"/>
          <w:szCs w:val="32"/>
        </w:rPr>
        <w:t>Principaux faits</w:t>
      </w:r>
    </w:p>
    <w:p w14:paraId="70F93A94" w14:textId="69A4B55E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Les requérantes sont M</w:t>
      </w:r>
      <w:r w:rsidRPr="00106AB5">
        <w:rPr>
          <w:rFonts w:ascii="Calibri" w:hAnsi="Calibri" w:cs="Calibri"/>
          <w:color w:val="000000"/>
          <w:sz w:val="16"/>
          <w:szCs w:val="16"/>
        </w:rPr>
        <w:t xml:space="preserve">mes 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Rachida </w:t>
      </w:r>
      <w:proofErr w:type="spellStart"/>
      <w:r w:rsidRPr="00106AB5">
        <w:rPr>
          <w:rFonts w:ascii="Calibri" w:hAnsi="Calibri" w:cs="Calibri"/>
          <w:color w:val="000000"/>
          <w:sz w:val="24"/>
          <w:szCs w:val="24"/>
        </w:rPr>
        <w:t>Medmoune</w:t>
      </w:r>
      <w:proofErr w:type="spellEnd"/>
      <w:r w:rsidRPr="00106AB5">
        <w:rPr>
          <w:rFonts w:ascii="Calibri" w:hAnsi="Calibri" w:cs="Calibri"/>
          <w:color w:val="000000"/>
          <w:sz w:val="24"/>
          <w:szCs w:val="24"/>
        </w:rPr>
        <w:t xml:space="preserve"> et Saida </w:t>
      </w:r>
      <w:proofErr w:type="spellStart"/>
      <w:r w:rsidRPr="00106AB5">
        <w:rPr>
          <w:rFonts w:ascii="Calibri" w:hAnsi="Calibri" w:cs="Calibri"/>
          <w:color w:val="000000"/>
          <w:sz w:val="24"/>
          <w:szCs w:val="24"/>
        </w:rPr>
        <w:t>Medmoune</w:t>
      </w:r>
      <w:proofErr w:type="spellEnd"/>
      <w:r w:rsidRPr="00106AB5">
        <w:rPr>
          <w:rFonts w:ascii="Calibri" w:hAnsi="Calibri" w:cs="Calibri"/>
          <w:color w:val="000000"/>
          <w:sz w:val="24"/>
          <w:szCs w:val="24"/>
        </w:rPr>
        <w:t>, ressortissantes françaises, nées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en 1976 et 1979 et M</w:t>
      </w:r>
      <w:r w:rsidRPr="00106AB5">
        <w:rPr>
          <w:rFonts w:ascii="Calibri" w:hAnsi="Calibri" w:cs="Calibri"/>
          <w:color w:val="000000"/>
          <w:sz w:val="16"/>
          <w:szCs w:val="16"/>
        </w:rPr>
        <w:t xml:space="preserve">me 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Zohra </w:t>
      </w:r>
      <w:proofErr w:type="spellStart"/>
      <w:r w:rsidRPr="00106AB5">
        <w:rPr>
          <w:rFonts w:ascii="Calibri" w:hAnsi="Calibri" w:cs="Calibri"/>
          <w:color w:val="000000"/>
          <w:sz w:val="24"/>
          <w:szCs w:val="24"/>
        </w:rPr>
        <w:t>Medmoune</w:t>
      </w:r>
      <w:proofErr w:type="spellEnd"/>
      <w:r w:rsidRPr="00106AB5">
        <w:rPr>
          <w:rFonts w:ascii="Calibri" w:hAnsi="Calibri" w:cs="Calibri"/>
          <w:color w:val="000000"/>
          <w:sz w:val="24"/>
          <w:szCs w:val="24"/>
        </w:rPr>
        <w:t>, ressortissante marocaine, née en 1986 ; elles résident à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Bruay sur l’</w:t>
      </w:r>
      <w:proofErr w:type="spellStart"/>
      <w:r w:rsidRPr="00106AB5">
        <w:rPr>
          <w:rFonts w:ascii="Calibri" w:hAnsi="Calibri" w:cs="Calibri"/>
          <w:color w:val="000000"/>
          <w:sz w:val="24"/>
          <w:szCs w:val="24"/>
        </w:rPr>
        <w:t>Escault</w:t>
      </w:r>
      <w:proofErr w:type="spellEnd"/>
      <w:r w:rsidRPr="00106AB5">
        <w:rPr>
          <w:rFonts w:ascii="Calibri" w:hAnsi="Calibri" w:cs="Calibri"/>
          <w:color w:val="000000"/>
          <w:sz w:val="24"/>
          <w:szCs w:val="24"/>
        </w:rPr>
        <w:t>.</w:t>
      </w:r>
    </w:p>
    <w:p w14:paraId="033F59CE" w14:textId="77777777" w:rsid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8851369" w14:textId="5A477AD0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Le 18 mai 2022, M. A.M., 44 ans, frère des deux premières requérantes et époux de la troisième, fut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renversé par un véhicule utilitaire sur lequel il effectuait des réparations, avec pour conséquences un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polytraumatisme grave compliqué par un arrêt cardio-respiratoire et une absence d’oxygénation du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cerveau pendant sept minutes. Il fut admis le même jour au service de réanimation du centre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hospitalier de Valenciennes. Les examens qui y furent menés établirent l’absence de réflexes du tronc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cérébral et d’activité cérébrale et des lésions anoxiques sévères.</w:t>
      </w:r>
    </w:p>
    <w:p w14:paraId="090F19D7" w14:textId="63AB97EE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Le 31 mai 2022, l’équipe médicale engagea la procédure collégiale prévue à l’article R. 4127-37-2 du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code de la santé publique (CSP). Le 1</w:t>
      </w:r>
      <w:r w:rsidRPr="00106AB5">
        <w:rPr>
          <w:rFonts w:ascii="Calibri" w:hAnsi="Calibri" w:cs="Calibri"/>
          <w:color w:val="000000"/>
          <w:sz w:val="16"/>
          <w:szCs w:val="16"/>
        </w:rPr>
        <w:t xml:space="preserve">er </w:t>
      </w:r>
      <w:r w:rsidRPr="00106AB5">
        <w:rPr>
          <w:rFonts w:ascii="Calibri" w:hAnsi="Calibri" w:cs="Calibri"/>
          <w:color w:val="000000"/>
          <w:sz w:val="24"/>
          <w:szCs w:val="24"/>
        </w:rPr>
        <w:t>juin 2022, à l’issue de cette procédure, l’équipe médicale décida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d’arrêter les traitements à partir du 9 juin 2022. Le 8 juin 2022, le juge des référés du tribunal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administratif de Lille, siégeant en une formation composée de trois juges, suspendit l’exécution de la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décision d’arrêt des traitements.</w:t>
      </w:r>
    </w:p>
    <w:p w14:paraId="0E7DE79D" w14:textId="4917780C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Le 15 juillet 2022, le chef du service de réanimation du centre hospitalier de Valenciennes décida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d’arrêter les traitements, sous sédation profonde et continue, le 22 juillet 2022.</w:t>
      </w:r>
    </w:p>
    <w:p w14:paraId="081F43AD" w14:textId="5DFE3A72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Le 20 juillet 2022, les requérantes saisirent le juge des référés du tribunal administratif de Lille d’une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requête en référé-liberté. Par une ordonnance du 22 juillet 2022, le juge des référés rejeta la requête.</w:t>
      </w:r>
    </w:p>
    <w:p w14:paraId="6DB1D50E" w14:textId="77777777" w:rsid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3F0048F6" w14:textId="67FCF0E1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Les requérantes saisirent le Conseil d’État en appel demandant qu’une question prioritaire de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constitutionnalité soit transmise au Conseil constitutionnel. Le 10 novembre 2022, le Conseil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constitutionnel constata que la question portait sur les mots « lorsque les directives </w:t>
      </w:r>
      <w:r w:rsidRPr="00106AB5">
        <w:rPr>
          <w:rFonts w:ascii="Calibri" w:hAnsi="Calibri" w:cs="Calibri"/>
          <w:color w:val="000000"/>
          <w:sz w:val="24"/>
          <w:szCs w:val="24"/>
        </w:rPr>
        <w:lastRenderedPageBreak/>
        <w:t>anticipées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apparaissent manifestement inappropriées ou non conformes à la situation médicale » figurant au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troisième alinéa de l’article L. 1111-11 du CSP, et conclut qu’ils étaient conformes à la Constitution.</w:t>
      </w:r>
    </w:p>
    <w:p w14:paraId="12E7F70A" w14:textId="77777777" w:rsid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42D118DD" w14:textId="49C48325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Le 29 novembre 2022, le juge des référés du Conseil d’État, siégeant en une formation composée de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trois juges, rejeta la requête des requérantes.</w:t>
      </w:r>
    </w:p>
    <w:p w14:paraId="35DF120E" w14:textId="77777777" w:rsid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1D2EA9F" w14:textId="4282FADF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Le 30 novembre 2022, les requérantes saisirent la Cour sur le fondement de l’article 39 de son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règlement d’une demande tendant, dans l’attente de sa décision sur leur requête, à la suspension de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l’exécution de la décision du 15 juillet 2022 et au maintien des soins. Le juge de permanence décida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de ne pas indiquer au Gouvernement la mesure provisoire sollicitée.</w:t>
      </w:r>
    </w:p>
    <w:p w14:paraId="43FDD566" w14:textId="052A10FE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 xml:space="preserve">L’arrêt des soins fut mis en </w:t>
      </w:r>
      <w:proofErr w:type="spellStart"/>
      <w:r w:rsidRPr="00106AB5">
        <w:rPr>
          <w:rFonts w:ascii="Calibri" w:hAnsi="Calibri" w:cs="Calibri"/>
          <w:color w:val="000000"/>
          <w:sz w:val="24"/>
          <w:szCs w:val="24"/>
        </w:rPr>
        <w:t>oeuvre</w:t>
      </w:r>
      <w:proofErr w:type="spellEnd"/>
      <w:r w:rsidRPr="00106AB5">
        <w:rPr>
          <w:rFonts w:ascii="Calibri" w:hAnsi="Calibri" w:cs="Calibri"/>
          <w:color w:val="000000"/>
          <w:sz w:val="24"/>
          <w:szCs w:val="24"/>
        </w:rPr>
        <w:t xml:space="preserve"> le 26 décembre 2022. M. A.M. décéda à cette date.</w:t>
      </w:r>
    </w:p>
    <w:p w14:paraId="268A74BE" w14:textId="4F6BE751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En premier lieu, la Cour juge que le cadre législatif français est compatible avec les exigences de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l’article 2, y compris en ce qui concerne la faculté de ne pas suivre les directives anticipées du patient.</w:t>
      </w:r>
    </w:p>
    <w:p w14:paraId="0CF8DEAB" w14:textId="77777777" w:rsid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</w:t>
      </w:r>
    </w:p>
    <w:p w14:paraId="497803F2" w14:textId="3C225A8E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Selon la Cour, le choix opéré par le législateur français s’inscrit dans la marge d’appréciation dont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disposent les États parties en la matière pour décider des critères à prendre en compte mais de la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manière d’en assurer la pondération afin de ménager un juste équilibre entre les intérêts concurrents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en jeu. La Cour note en outre que le Conseil constitutionnel a considéré qu’en ce qu’elles visent des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directives anticipées « manifestement inappropriées ou non conformes à la situation médicale » du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patient, les dispositions de l’article L. 1111-11 du code de la santé publique ne sont ni imprécises ni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ambigües et ajoute qu’elle est du même avis, étant observé que ces termes prennent tout leur sens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dans le contexte médical dans lequel ils s’inscrivent compte tenu de l’obligation qui pèse sur les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médecins d’assurer la sauvegarde de la dignité des personnes en fin de vie.</w:t>
      </w:r>
    </w:p>
    <w:p w14:paraId="51DD78C5" w14:textId="44A8930D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La Cour relève ensuite que les membres de la famille ont été associés au processus décisionnel et que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leur avis a été pris en compte. La décision d’arrêt des traitements du 15 juillet 2022 a été prise dans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le cadre de la procédure collégiale prévue par la loi. La Cour en déduit que le processus décisionnel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suivi en l’espèce répond aux exigences de l’article 2 de la Convention.</w:t>
      </w:r>
    </w:p>
    <w:p w14:paraId="48AA291C" w14:textId="77777777" w:rsid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F21F27C" w14:textId="7E2E135F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Enfin, en ce qui concerne les recours juridictionnels offerts aux requérantes, la Cour relève que les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juges des référés du tribunal administratif de Lille et du Conseil d’État ont statué dans le respect du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contradictoire, par des décisions dûment motivées, prenant en compte les divers aspects de l’affaire,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y compris les directives anticipées du patient. Les requérantes ont bénéficié d’un recours juridictionnel</w:t>
      </w:r>
      <w:r w:rsidRPr="00106AB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respectant les exigences de l’article 2 de la Convention.</w:t>
      </w:r>
    </w:p>
    <w:p w14:paraId="04FFC77F" w14:textId="77777777" w:rsidR="00106AB5" w:rsidRDefault="00106AB5" w:rsidP="00106A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315F3822" w14:textId="45F28C5E" w:rsidR="00106AB5" w:rsidRPr="00106AB5" w:rsidRDefault="00106AB5" w:rsidP="00106AB5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106AB5">
        <w:rPr>
          <w:rFonts w:ascii="Calibri" w:hAnsi="Calibri" w:cs="Calibri"/>
          <w:color w:val="000000"/>
          <w:sz w:val="24"/>
          <w:szCs w:val="24"/>
        </w:rPr>
        <w:t>La Cour conclut que les autorités internes se sont conformées à leurs obligations positives découlant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106AB5">
        <w:rPr>
          <w:rFonts w:ascii="Calibri" w:hAnsi="Calibri" w:cs="Calibri"/>
          <w:color w:val="000000"/>
          <w:sz w:val="24"/>
          <w:szCs w:val="24"/>
        </w:rPr>
        <w:t>de l’article 2 de la Convention. Il n’y a donc pas eu violation de cette disposition.</w:t>
      </w:r>
    </w:p>
    <w:sectPr w:rsidR="00106AB5" w:rsidRPr="0010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B5"/>
    <w:rsid w:val="00100320"/>
    <w:rsid w:val="00106AB5"/>
    <w:rsid w:val="005F058E"/>
    <w:rsid w:val="00690936"/>
    <w:rsid w:val="007224AD"/>
    <w:rsid w:val="0083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338B"/>
  <w15:chartTrackingRefBased/>
  <w15:docId w15:val="{E3E349D7-276E-4BE6-9AB7-359B9997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904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BIOY</dc:creator>
  <cp:keywords/>
  <dc:description/>
  <cp:lastModifiedBy>XAVIER BIOY</cp:lastModifiedBy>
  <cp:revision>2</cp:revision>
  <dcterms:created xsi:type="dcterms:W3CDTF">2026-04-29T17:21:00Z</dcterms:created>
  <dcterms:modified xsi:type="dcterms:W3CDTF">2026-04-29T17:21:00Z</dcterms:modified>
</cp:coreProperties>
</file>