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F40DF" w14:textId="77777777" w:rsidR="00AC352A" w:rsidRPr="00AC352A" w:rsidRDefault="00AC352A" w:rsidP="00D8480F">
      <w:pPr>
        <w:rPr>
          <w:b/>
          <w:bCs/>
        </w:rPr>
      </w:pPr>
      <w:r w:rsidRPr="00AC352A">
        <w:rPr>
          <w:b/>
          <w:bCs/>
        </w:rPr>
        <w:t>Sujet 1 :</w:t>
      </w:r>
    </w:p>
    <w:p w14:paraId="034DA3AC" w14:textId="4D105863" w:rsidR="00D8480F" w:rsidRPr="00AC352A" w:rsidRDefault="00D8480F" w:rsidP="00D8480F">
      <w:pPr>
        <w:rPr>
          <w:b/>
          <w:bCs/>
        </w:rPr>
      </w:pPr>
      <w:r w:rsidRPr="00AC352A">
        <w:rPr>
          <w:b/>
          <w:bCs/>
        </w:rPr>
        <w:t>Cycle d’études judiciaires européennes</w:t>
      </w:r>
      <w:r w:rsidR="00AC352A" w:rsidRPr="00AC352A">
        <w:rPr>
          <w:b/>
          <w:bCs/>
        </w:rPr>
        <w:t xml:space="preserve">, </w:t>
      </w:r>
      <w:r w:rsidRPr="00AC352A">
        <w:rPr>
          <w:b/>
          <w:bCs/>
        </w:rPr>
        <w:t>Intervention du premier président de la Cour de cassation</w:t>
      </w:r>
    </w:p>
    <w:p w14:paraId="25BE08CC" w14:textId="31CA1D6F" w:rsidR="002B0C2B" w:rsidRPr="00AC352A" w:rsidRDefault="00D8480F" w:rsidP="00D8480F">
      <w:pPr>
        <w:rPr>
          <w:b/>
          <w:bCs/>
        </w:rPr>
      </w:pPr>
      <w:r w:rsidRPr="00AC352A">
        <w:rPr>
          <w:b/>
          <w:bCs/>
        </w:rPr>
        <w:t>Christophe Soulard, 25 mars 2024</w:t>
      </w:r>
    </w:p>
    <w:p w14:paraId="0D9C6033" w14:textId="0E95B0A6" w:rsidR="00D8480F" w:rsidRDefault="00D8480F" w:rsidP="00D8480F">
      <w:pPr>
        <w:spacing w:after="0" w:line="240" w:lineRule="auto"/>
        <w:contextualSpacing/>
        <w:jc w:val="both"/>
      </w:pPr>
      <w:r>
        <w:t>Je voudrais partir de la notion d’Etat de droit puisque c’est le thème de cette session</w:t>
      </w:r>
      <w:r>
        <w:t xml:space="preserve"> </w:t>
      </w:r>
      <w:r>
        <w:t>du cycle d’études judiciaires européennes.</w:t>
      </w:r>
    </w:p>
    <w:p w14:paraId="0E0926F1" w14:textId="4300D104" w:rsidR="00D8480F" w:rsidRDefault="00D8480F" w:rsidP="00D8480F">
      <w:pPr>
        <w:spacing w:after="0" w:line="240" w:lineRule="auto"/>
        <w:contextualSpacing/>
        <w:jc w:val="both"/>
      </w:pPr>
      <w:r>
        <w:t>Le concept d’Etat de droit a été forgé dès le XIXème siècle par les juristes allemands</w:t>
      </w:r>
      <w:r>
        <w:t xml:space="preserve"> </w:t>
      </w:r>
      <w:r>
        <w:t>puis français. Il désigne un Etat régi par le droit, à travers la construction d’un ordre</w:t>
      </w:r>
      <w:r>
        <w:t xml:space="preserve"> </w:t>
      </w:r>
      <w:r>
        <w:t>juridique, auquel le pouvoir exécutif et l’administration sont soumis et qui est fondé</w:t>
      </w:r>
      <w:r>
        <w:t xml:space="preserve"> </w:t>
      </w:r>
      <w:r>
        <w:t>sur la hiérarchie des normes.</w:t>
      </w:r>
    </w:p>
    <w:p w14:paraId="37C8CCBF" w14:textId="0F04A873" w:rsidR="00D8480F" w:rsidRDefault="00D8480F" w:rsidP="00D8480F">
      <w:pPr>
        <w:spacing w:after="0" w:line="240" w:lineRule="auto"/>
        <w:contextualSpacing/>
        <w:jc w:val="both"/>
      </w:pPr>
      <w:r>
        <w:t>Au départ il s’agit d’une conception très formaliste du droit, celle que l’on trouve</w:t>
      </w:r>
      <w:r>
        <w:t xml:space="preserve"> </w:t>
      </w:r>
      <w:r>
        <w:t>chez Kelsen. Mais, après la seconde guerre mondiale et en rupture avec les régimes</w:t>
      </w:r>
      <w:r>
        <w:t xml:space="preserve"> </w:t>
      </w:r>
      <w:r>
        <w:t>totalitaires reposant sur la négation des droits que les individus tirent de leur nature</w:t>
      </w:r>
      <w:r>
        <w:t xml:space="preserve"> </w:t>
      </w:r>
      <w:r>
        <w:t>humaine, a émergé une conception davantage matérielle et substantielle de l’Etat de</w:t>
      </w:r>
      <w:r>
        <w:t xml:space="preserve"> </w:t>
      </w:r>
      <w:r>
        <w:t>droit, qui implique l’adhésion aux droits fondamentaux et aux valeurs de la</w:t>
      </w:r>
      <w:r>
        <w:t xml:space="preserve"> </w:t>
      </w:r>
      <w:r>
        <w:t>démocratie et l’instauration de mécanismes de garanties appropriés, reposant sur le</w:t>
      </w:r>
    </w:p>
    <w:p w14:paraId="7A25346E" w14:textId="14E99675" w:rsidR="00D8480F" w:rsidRDefault="00D8480F" w:rsidP="00D8480F">
      <w:pPr>
        <w:spacing w:after="0" w:line="240" w:lineRule="auto"/>
        <w:contextualSpacing/>
        <w:jc w:val="both"/>
      </w:pPr>
      <w:proofErr w:type="gramStart"/>
      <w:r>
        <w:t>contrôle</w:t>
      </w:r>
      <w:proofErr w:type="gramEnd"/>
      <w:r>
        <w:t xml:space="preserve"> du juge constitutionnel. La notion qui s’impose est alors plutôt celle de </w:t>
      </w:r>
      <w:proofErr w:type="spellStart"/>
      <w:r w:rsidRPr="00486149">
        <w:rPr>
          <w:i/>
          <w:iCs/>
        </w:rPr>
        <w:t>rule</w:t>
      </w:r>
      <w:proofErr w:type="spellEnd"/>
      <w:r w:rsidRPr="00486149">
        <w:rPr>
          <w:i/>
          <w:iCs/>
        </w:rPr>
        <w:t xml:space="preserve"> </w:t>
      </w:r>
      <w:r w:rsidRPr="00486149">
        <w:rPr>
          <w:i/>
          <w:iCs/>
        </w:rPr>
        <w:t>of Law</w:t>
      </w:r>
      <w:r>
        <w:t>, c'est-à-dire de prééminence du droit, consacrée à l’article 3 du statut du</w:t>
      </w:r>
      <w:r>
        <w:t xml:space="preserve"> </w:t>
      </w:r>
      <w:r>
        <w:t>Conseil de l’Europe.</w:t>
      </w:r>
    </w:p>
    <w:p w14:paraId="6A4C61C1" w14:textId="53AEE2DE" w:rsidR="00D8480F" w:rsidRDefault="00D8480F" w:rsidP="00D8480F">
      <w:pPr>
        <w:spacing w:after="0" w:line="240" w:lineRule="auto"/>
        <w:contextualSpacing/>
        <w:jc w:val="both"/>
      </w:pPr>
      <w:r>
        <w:t>Dit autrement l’Etat de droit, aujourd’hui, ce n’est pas seulement le respect de règles</w:t>
      </w:r>
      <w:r>
        <w:t xml:space="preserve"> </w:t>
      </w:r>
      <w:r>
        <w:t>formelles mais le respect de droits fondamentaux substantiels, qui peuvent être</w:t>
      </w:r>
      <w:r>
        <w:t xml:space="preserve"> </w:t>
      </w:r>
      <w:r>
        <w:t>opposés à la volonté de la majorité.</w:t>
      </w:r>
    </w:p>
    <w:p w14:paraId="738A9D57" w14:textId="7274BBA7" w:rsidR="00D8480F" w:rsidRDefault="00D8480F" w:rsidP="00D8480F">
      <w:pPr>
        <w:spacing w:after="0" w:line="240" w:lineRule="auto"/>
        <w:contextualSpacing/>
        <w:jc w:val="both"/>
      </w:pPr>
      <w:r>
        <w:t>L’introduction de critères substantiels ne porte pas en elle-même atteinte au principe</w:t>
      </w:r>
      <w:r>
        <w:t xml:space="preserve"> </w:t>
      </w:r>
      <w:r>
        <w:t>de hiérarchie des normes, au sommet de laquelle se trouve la Constitution, puisque</w:t>
      </w:r>
      <w:r>
        <w:t xml:space="preserve"> </w:t>
      </w:r>
      <w:r>
        <w:t>le constituant a accepté de donner une valeur supra-législative à un certain nombre</w:t>
      </w:r>
      <w:r>
        <w:t xml:space="preserve"> </w:t>
      </w:r>
      <w:r>
        <w:t>de droits fondamentaux. Il l’a fait directement, en faisant précéder la constitution</w:t>
      </w:r>
      <w:r>
        <w:t xml:space="preserve"> </w:t>
      </w:r>
      <w:r>
        <w:t>d’une déclaration des droits et il l’a fait indirectement en permettant au législateur</w:t>
      </w:r>
      <w:r>
        <w:t xml:space="preserve"> </w:t>
      </w:r>
      <w:r>
        <w:t>d’autoriser la ratification de conventions internationales qui consacrent précisément</w:t>
      </w:r>
      <w:r>
        <w:t xml:space="preserve"> </w:t>
      </w:r>
      <w:r>
        <w:t>des droits fondamentaux. Par exemple la Convention européenne des droits de</w:t>
      </w:r>
    </w:p>
    <w:p w14:paraId="14EF0A42" w14:textId="595F8831" w:rsidR="00D8480F" w:rsidRDefault="00D8480F" w:rsidP="00D8480F">
      <w:pPr>
        <w:spacing w:after="0" w:line="240" w:lineRule="auto"/>
        <w:contextualSpacing/>
        <w:jc w:val="both"/>
      </w:pPr>
      <w:proofErr w:type="gramStart"/>
      <w:r>
        <w:t>l'homme</w:t>
      </w:r>
      <w:proofErr w:type="gramEnd"/>
      <w:r>
        <w:t xml:space="preserve"> et la Charte des droits fondamentaux de l’Union européenne</w:t>
      </w:r>
      <w:r>
        <w:t>.</w:t>
      </w:r>
    </w:p>
    <w:p w14:paraId="406E4AD1" w14:textId="2FACBDAF" w:rsidR="00D8480F" w:rsidRDefault="00D8480F" w:rsidP="00D8480F">
      <w:pPr>
        <w:spacing w:after="0" w:line="240" w:lineRule="auto"/>
        <w:contextualSpacing/>
        <w:jc w:val="both"/>
      </w:pPr>
      <w:r>
        <w:t>Certes on pourrait soutenir qu’en faisant précéder la Constitution d’un préambule</w:t>
      </w:r>
      <w:r>
        <w:t xml:space="preserve"> </w:t>
      </w:r>
      <w:r>
        <w:t>consacrant un certain nombre de droit le constituant de la Vème République</w:t>
      </w:r>
      <w:r>
        <w:t xml:space="preserve"> </w:t>
      </w:r>
      <w:r>
        <w:t>n’entendait pas en faire des droits opposables. On pourrait soutenir de la même</w:t>
      </w:r>
      <w:r>
        <w:t xml:space="preserve"> </w:t>
      </w:r>
      <w:r>
        <w:t>manière qu’en autorisant la ratification de la Cour européenne des droits de l'homme</w:t>
      </w:r>
      <w:r>
        <w:t xml:space="preserve"> </w:t>
      </w:r>
      <w:r>
        <w:t>ou en signant les traités de Rome le législateur ne pouvait anticiper tout le</w:t>
      </w:r>
      <w:r>
        <w:t xml:space="preserve"> </w:t>
      </w:r>
      <w:r>
        <w:t>développement de la jurisprudence des cours de Strasbourg et de Luxembourg en</w:t>
      </w:r>
      <w:r>
        <w:t xml:space="preserve"> </w:t>
      </w:r>
      <w:r>
        <w:t>matière de droits fondamentaux.</w:t>
      </w:r>
    </w:p>
    <w:p w14:paraId="3EF4EADA" w14:textId="3D7549C0" w:rsidR="00D8480F" w:rsidRDefault="00D8480F" w:rsidP="00D8480F">
      <w:pPr>
        <w:spacing w:after="0" w:line="240" w:lineRule="auto"/>
        <w:contextualSpacing/>
        <w:jc w:val="both"/>
      </w:pPr>
      <w:r>
        <w:t>Autrement dit le développement des droits fondamentaux serait l’œuvre de juges</w:t>
      </w:r>
      <w:r>
        <w:t xml:space="preserve"> </w:t>
      </w:r>
      <w:r>
        <w:t>agissant contre la volonté du législateur.</w:t>
      </w:r>
    </w:p>
    <w:p w14:paraId="40F8A7E1" w14:textId="5BA6D299" w:rsidR="00D8480F" w:rsidRDefault="00D8480F" w:rsidP="00D8480F">
      <w:pPr>
        <w:spacing w:after="0" w:line="240" w:lineRule="auto"/>
        <w:contextualSpacing/>
        <w:jc w:val="both"/>
      </w:pPr>
      <w:r>
        <w:t>C’est précisément l’une des critiques que formulent aujourd’hui ceux qui dénoncent</w:t>
      </w:r>
      <w:r>
        <w:t xml:space="preserve"> </w:t>
      </w:r>
      <w:r>
        <w:t>la place qu’a prise l’Etat de droit et qui y voient une atteinte aux prérogatives du</w:t>
      </w:r>
      <w:r>
        <w:t xml:space="preserve"> </w:t>
      </w:r>
      <w:r>
        <w:t>parlement, seul pouvoir légitime car issu de l’élection. Ceux-là en viennent à opposer</w:t>
      </w:r>
      <w:r>
        <w:t xml:space="preserve"> </w:t>
      </w:r>
      <w:r>
        <w:t>le droit à la démocratie. Le droit étant en grande partie l’œuvre des juges, ce sont ces</w:t>
      </w:r>
      <w:r>
        <w:t xml:space="preserve"> </w:t>
      </w:r>
      <w:r>
        <w:t>derniers qui s’opposent à la démocratie.</w:t>
      </w:r>
    </w:p>
    <w:p w14:paraId="29EA14F2" w14:textId="143247D5" w:rsidR="00AC352A" w:rsidRDefault="00AC352A" w:rsidP="00D8480F">
      <w:pPr>
        <w:spacing w:after="0" w:line="240" w:lineRule="auto"/>
        <w:contextualSpacing/>
        <w:jc w:val="both"/>
      </w:pPr>
    </w:p>
    <w:p w14:paraId="5AED3027" w14:textId="094D28A0" w:rsidR="00AC352A" w:rsidRPr="00AC352A" w:rsidRDefault="00AC352A" w:rsidP="00AC352A">
      <w:pPr>
        <w:rPr>
          <w:b/>
          <w:bCs/>
        </w:rPr>
      </w:pPr>
      <w:r w:rsidRPr="00AC352A">
        <w:rPr>
          <w:b/>
          <w:bCs/>
        </w:rPr>
        <w:t xml:space="preserve">Sujet </w:t>
      </w:r>
      <w:r>
        <w:rPr>
          <w:b/>
          <w:bCs/>
        </w:rPr>
        <w:t>2</w:t>
      </w:r>
      <w:r w:rsidRPr="00AC352A">
        <w:rPr>
          <w:b/>
          <w:bCs/>
        </w:rPr>
        <w:t> :</w:t>
      </w:r>
    </w:p>
    <w:p w14:paraId="1C582BC6" w14:textId="0494AE61" w:rsidR="00AC352A" w:rsidRPr="00AC352A" w:rsidRDefault="00AC352A" w:rsidP="00AC352A">
      <w:pPr>
        <w:rPr>
          <w:b/>
          <w:bCs/>
        </w:rPr>
      </w:pPr>
      <w:r w:rsidRPr="00AC352A">
        <w:rPr>
          <w:b/>
          <w:bCs/>
        </w:rPr>
        <w:t>Déclaration du 26 août 1789 des droits de l'homme et du citoyen. Article 16</w:t>
      </w:r>
    </w:p>
    <w:p w14:paraId="7D941448" w14:textId="77777777" w:rsidR="00AC352A" w:rsidRPr="00AC352A" w:rsidRDefault="00AC352A" w:rsidP="00AC352A">
      <w:r w:rsidRPr="00AC352A">
        <w:t>Version en vigueur depuis le 26 août 1789</w:t>
      </w:r>
    </w:p>
    <w:p w14:paraId="51C2DCC1" w14:textId="77777777" w:rsidR="00AC352A" w:rsidRPr="00AC352A" w:rsidRDefault="00AC352A" w:rsidP="00AC352A">
      <w:r w:rsidRPr="00AC352A">
        <w:t>Toute société dans laquelle la garantie des droits n'est pas assurée, ni la séparation des pouvoirs déterminée, n'a point de constitution.</w:t>
      </w:r>
    </w:p>
    <w:p w14:paraId="67FA6788" w14:textId="77777777" w:rsidR="00AC352A" w:rsidRDefault="00AC352A" w:rsidP="00D8480F">
      <w:pPr>
        <w:spacing w:after="0" w:line="240" w:lineRule="auto"/>
        <w:contextualSpacing/>
        <w:jc w:val="both"/>
      </w:pPr>
    </w:p>
    <w:sectPr w:rsidR="00AC35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727C1"/>
    <w:multiLevelType w:val="multilevel"/>
    <w:tmpl w:val="9EC8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0F"/>
    <w:rsid w:val="00067622"/>
    <w:rsid w:val="002B0C2B"/>
    <w:rsid w:val="00486149"/>
    <w:rsid w:val="00690936"/>
    <w:rsid w:val="00837B91"/>
    <w:rsid w:val="00AC352A"/>
    <w:rsid w:val="00D8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D45DE"/>
  <w15:chartTrackingRefBased/>
  <w15:docId w15:val="{0E951BD8-D79D-4DC9-BD84-7E86B1577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C35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4">
    <w:name w:val="heading 4"/>
    <w:basedOn w:val="Normal"/>
    <w:link w:val="Titre4Car"/>
    <w:uiPriority w:val="9"/>
    <w:qFormat/>
    <w:rsid w:val="00AC35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itre6">
    <w:name w:val="heading 6"/>
    <w:basedOn w:val="Normal"/>
    <w:link w:val="Titre6Car"/>
    <w:uiPriority w:val="9"/>
    <w:qFormat/>
    <w:rsid w:val="00AC352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35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C352A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rsid w:val="00AC352A"/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character" w:styleId="Lienhypertexte">
    <w:name w:val="Hyperlink"/>
    <w:basedOn w:val="Policepardfaut"/>
    <w:uiPriority w:val="99"/>
    <w:unhideWhenUsed/>
    <w:rsid w:val="00AC352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C3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9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524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BIOY</dc:creator>
  <cp:keywords/>
  <dc:description/>
  <cp:lastModifiedBy>XAVIER BIOY</cp:lastModifiedBy>
  <cp:revision>2</cp:revision>
  <dcterms:created xsi:type="dcterms:W3CDTF">2026-04-15T06:53:00Z</dcterms:created>
  <dcterms:modified xsi:type="dcterms:W3CDTF">2026-04-15T06:53:00Z</dcterms:modified>
</cp:coreProperties>
</file>