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34"/>
          <w:szCs w:val="34"/>
        </w:rPr>
        <w:t xml:space="preserve">Plan de pose des post-it — Oberdorff, Libertés fondamentales et droits de l’homme</w:t>
      </w:r>
    </w:p>
    <w:p>
      <w:pPr>
        <w:spacing w:after="40"/>
      </w:pPr>
      <w:r>
        <w:rPr>
          <w:i/>
          <w:iCs/>
          <w:color w:val="595959"/>
          <w:sz w:val="19"/>
          <w:szCs w:val="19"/>
        </w:rPr>
        <w:t xml:space="preserve">Recueil LGDJ, examen national 2026 · Grand Oral CRFPA  —  ÉTAPE 1 / 5 : sources nationales et Conseil de l’Europe (N°1 à 16.3)</w:t>
      </w:r>
    </w:p>
    <w:p>
      <w:pPr>
        <w:spacing w:after="40"/>
      </w:pPr>
      <w:r>
        <w:rPr>
          <w:color w:val="404040"/>
          <w:sz w:val="16"/>
          <w:szCs w:val="16"/>
        </w:rPr>
        <w:t xml:space="preserve">35 onglets · 3 blocs · construits à partir de tes 56 fiches, du fascicule Objectif Barreau 2026, des cartes et tableaux DLF, de la banque de décisions, des annales, des 2 entraînements corrigés et des sujets IEJ (≈ 1,3 million de mots dépouillés par script). La priorité de chaque texte vient de sa fréquence réelle dans ces supports (annales et corrigés pondérés × 3).</w:t>
      </w:r>
    </w:p>
    <w:p>
      <w:pPr>
        <w:spacing w:after="60" w:before="140"/>
      </w:pPr>
      <w:r>
        <w:rPr>
          <w:b/>
          <w:bCs/>
          <w:color w:val="1F3864"/>
          <w:sz w:val="24"/>
          <w:szCs w:val="24"/>
        </w:rPr>
        <w:t xml:space="preserve">Architecture d’ensemble — vaut pour les 5 étapes</w:t>
      </w:r>
    </w:p>
    <w:p>
      <w:pPr>
        <w:spacing w:after="30"/>
        <w:ind w:left="280" w:hanging="200"/>
      </w:pPr>
      <w:r>
        <w:rPr>
          <w:b/>
          <w:bCs/>
          <w:color w:val="1F3864"/>
          <w:sz w:val="16"/>
          <w:szCs w:val="16"/>
        </w:rPr>
        <w:t xml:space="preserve">▪ </w:t>
      </w:r>
      <w:r>
        <w:rPr>
          <w:b/>
          <w:bCs/>
          <w:sz w:val="16"/>
          <w:szCs w:val="16"/>
        </w:rPr>
        <w:t xml:space="preserve">Une seule arête : la latérale. </w:t>
      </w:r>
      <w:r>
        <w:rPr>
          <w:color w:val="404040"/>
          <w:sz w:val="16"/>
          <w:szCs w:val="16"/>
        </w:rPr>
        <w:t xml:space="preserve">Tout le livre (Partie I « sources », p. 1-602, puis Partie II « régime juridique », p. 603-1206) se pose sur l’arête latérale. On n’ouvrira une autre arête que si un couloir sature.</w:t>
      </w:r>
    </w:p>
    <w:p>
      <w:pPr>
        <w:spacing w:after="30"/>
        <w:ind w:left="280" w:hanging="200"/>
      </w:pPr>
      <w:r>
        <w:rPr>
          <w:b/>
          <w:bCs/>
          <w:color w:val="1F3864"/>
          <w:sz w:val="16"/>
          <w:szCs w:val="16"/>
        </w:rPr>
        <w:t xml:space="preserve">▪ </w:t>
      </w:r>
      <w:r>
        <w:rPr>
          <w:b/>
          <w:bCs/>
          <w:sz w:val="16"/>
          <w:szCs w:val="16"/>
        </w:rPr>
        <w:t xml:space="preserve">Bandes strictes avec escalier, dans 4 couloirs de hauteur. </w:t>
      </w:r>
      <w:r>
        <w:rPr>
          <w:color w:val="404040"/>
          <w:sz w:val="16"/>
          <w:szCs w:val="16"/>
        </w:rPr>
        <w:t xml:space="preserve">Chaque bloc = une couleur = une bande. Deux blocs voisins dans le livre ne partagent jamais un couloir ; un couloir n’est réutilisé que par un bloc assez éloigné en épaisseur pour que les onglets ne se masquent pas. C’est la couleur, pas la hauteur, qui identifie le bloc. Dans le bloc, l’escalier suit l’ordre des pages : le premier texte est en haut du couloir, le dernier en bas.</w:t>
      </w:r>
    </w:p>
    <w:p>
      <w:pPr>
        <w:spacing w:after="30"/>
        <w:ind w:left="280" w:hanging="200"/>
      </w:pPr>
      <w:r>
        <w:rPr>
          <w:b/>
          <w:bCs/>
          <w:color w:val="1F3864"/>
          <w:sz w:val="16"/>
          <w:szCs w:val="16"/>
        </w:rPr>
        <w:t xml:space="preserve">▪ </w:t>
      </w:r>
      <w:r>
        <w:rPr>
          <w:b/>
          <w:bCs/>
          <w:sz w:val="16"/>
          <w:szCs w:val="16"/>
        </w:rPr>
        <w:t xml:space="preserve">Critère de saturation. </w:t>
      </w:r>
      <w:r>
        <w:rPr>
          <w:color w:val="404040"/>
          <w:sz w:val="16"/>
          <w:szCs w:val="16"/>
        </w:rPr>
        <w:t xml:space="preserve">Un couloir sature quand l’escalier descendrait sous 4 mm entre deux onglets. C’est seulement là qu’on ouvrira l’arête haute. Le tableau d’occupation des couloirs (fin de document) donne l’état exact.</w:t>
      </w:r>
    </w:p>
    <w:p>
      <w:pPr>
        <w:spacing w:after="30"/>
        <w:ind w:left="280" w:hanging="200"/>
      </w:pPr>
      <w:r>
        <w:rPr>
          <w:b/>
          <w:bCs/>
          <w:color w:val="1F3864"/>
          <w:sz w:val="16"/>
          <w:szCs w:val="16"/>
        </w:rPr>
        <w:t xml:space="preserve">▪ </w:t>
      </w:r>
      <w:r>
        <w:rPr>
          <w:b/>
          <w:bCs/>
          <w:sz w:val="16"/>
          <w:szCs w:val="16"/>
        </w:rPr>
        <w:t xml:space="preserve">Trois granularités. </w:t>
      </w:r>
      <w:r>
        <w:rPr>
          <w:color w:val="404040"/>
          <w:sz w:val="16"/>
          <w:szCs w:val="16"/>
        </w:rPr>
        <w:t xml:space="preserve">(1) Un onglet par document court (DDHC, Préambule, protocoles). (2) Un onglet par article ou groupe d’articles dans les textes longs : Constitution, Conv. EDH (étape 1), Charte UE, PIDCP, CIDE, RGPD (étape 2), loi de 1881, loi de 1978, CESEDA (étapes 3-4). (3) Un onglet par sous-section d’Oberdorff pour les conventions secondaires ; les documents voisins sont listés dans la couverture exhaustive.</w:t>
      </w:r>
    </w:p>
    <w:p>
      <w:pPr>
        <w:spacing w:after="30"/>
        <w:ind w:left="280" w:hanging="200"/>
      </w:pPr>
      <w:r>
        <w:rPr>
          <w:b/>
          <w:bCs/>
          <w:color w:val="1F3864"/>
          <w:sz w:val="16"/>
          <w:szCs w:val="16"/>
        </w:rPr>
        <w:t xml:space="preserve">▪ </w:t>
      </w:r>
      <w:r>
        <w:rPr>
          <w:b/>
          <w:bCs/>
          <w:sz w:val="16"/>
          <w:szCs w:val="16"/>
        </w:rPr>
        <w:t xml:space="preserve">La clé de correspondance = TES numéros de fiche. </w:t>
      </w:r>
      <w:r>
        <w:rPr>
          <w:color w:val="404040"/>
          <w:sz w:val="16"/>
          <w:szCs w:val="16"/>
        </w:rPr>
        <w:t xml:space="preserve">Même technique que les paires ① ↔ du CPCE : à côté de l’article, tu écris entre parenthèses (et tu entoures) le numéro de ta fiche. Exemple : « CEDH art. 10 (37) », puis « CHARTE art. 10–13 (37) », « PIDCP art. 17–22 (37) », « Loi 1881 (37) ». Face à un sujet sur la liberté d’expression, tu repères tous les (37) du livre, toutes sources confondues.</w:t>
      </w:r>
    </w:p>
    <w:p>
      <w:pPr>
        <w:spacing w:after="30"/>
        <w:ind w:left="280" w:hanging="200"/>
      </w:pPr>
      <w:r>
        <w:rPr>
          <w:b/>
          <w:bCs/>
          <w:color w:val="1F3864"/>
          <w:sz w:val="16"/>
          <w:szCs w:val="16"/>
        </w:rPr>
        <w:t xml:space="preserve">▪ </w:t>
      </w:r>
      <w:r>
        <w:rPr>
          <w:b/>
          <w:bCs/>
          <w:sz w:val="16"/>
          <w:szCs w:val="16"/>
        </w:rPr>
        <w:t xml:space="preserve">⇄ Textes transversaux. </w:t>
      </w:r>
      <w:r>
        <w:rPr>
          <w:color w:val="404040"/>
          <w:sz w:val="16"/>
          <w:szCs w:val="16"/>
        </w:rPr>
        <w:t xml:space="preserve">DDHC, Préambule de 1946 (et DUDH à l’étape 2) : un seul onglet, sans numéro de fiche ; le mini-index article → fiche est dans la colonne réflexe.</w:t>
      </w:r>
    </w:p>
    <w:p>
      <w:pPr>
        <w:spacing w:after="30"/>
        <w:ind w:left="280" w:hanging="200"/>
      </w:pPr>
      <w:r>
        <w:rPr>
          <w:b/>
          <w:bCs/>
          <w:color w:val="1F3864"/>
          <w:sz w:val="16"/>
          <w:szCs w:val="16"/>
        </w:rPr>
        <w:t xml:space="preserve">▪ </w:t>
      </w:r>
      <w:r>
        <w:rPr>
          <w:b/>
          <w:bCs/>
          <w:sz w:val="16"/>
          <w:szCs w:val="16"/>
        </w:rPr>
        <w:t xml:space="preserve">Règlement d’examen. </w:t>
      </w:r>
      <w:r>
        <w:rPr>
          <w:color w:val="404040"/>
          <w:sz w:val="16"/>
          <w:szCs w:val="16"/>
        </w:rPr>
        <w:t xml:space="preserve">Vérifie ce que ton IEJ autorise sur les onglets du recueil (souvent : numéros seulement, aucune annotation). Si les numéros de fiche ne sont pas admis, garde-les dans ce plan et dans l’index des correspondances de l’étape 5.</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800"/>
        <w:gridCol w:w="1400"/>
        <w:gridCol w:w="4600"/>
        <w:gridCol w:w="2000"/>
        <w:gridCol w:w="1000"/>
        <w:gridCol w:w="1100"/>
        <w:gridCol w:w="4698"/>
      </w:tblGrid>
      <w:tr>
        <w:trPr>
          <w:tblHeader/>
        </w:trPr>
        <w:tc>
          <w:tcPr>
            <w:tcW w:type="dxa" w:w="8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Bloc</w:t>
            </w:r>
          </w:p>
        </w:tc>
        <w:tc>
          <w:tcPr>
            <w:tcW w:type="dxa" w:w="14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Couleur</w:t>
            </w:r>
          </w:p>
        </w:tc>
        <w:tc>
          <w:tcPr>
            <w:tcW w:type="dxa" w:w="46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Contenu</w:t>
            </w:r>
          </w:p>
        </w:tc>
        <w:tc>
          <w:tcPr>
            <w:tcW w:type="dxa" w:w="20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N° et pages</w:t>
            </w:r>
          </w:p>
        </w:tc>
        <w:tc>
          <w:tcPr>
            <w:tcW w:type="dxa" w:w="10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Étape</w:t>
            </w:r>
          </w:p>
        </w:tc>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Couloir</w:t>
            </w:r>
          </w:p>
        </w:tc>
        <w:tc>
          <w:tcPr>
            <w:tcW w:type="dxa" w:w="46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Équivalent manuel OB</w:t>
            </w:r>
          </w:p>
        </w:tc>
      </w:tr>
      <w:tr>
        <w:tc>
          <w:tcPr>
            <w:tcW w:type="dxa" w:w="8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1F4E79"/>
                <w:sz w:val="15"/>
                <w:szCs w:val="15"/>
              </w:rPr>
              <w:t xml:space="preserve">L1</w:t>
            </w:r>
          </w:p>
        </w:tc>
        <w:tc>
          <w:tcPr>
            <w:tcW w:type="dxa" w:w="1400"/>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5"/>
                <w:szCs w:val="15"/>
              </w:rPr>
              <w:t xml:space="preserve">BLEU MARINE</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Sources nationales : DDHC, Préambule 1946, Constitution, Charte env.</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N°1 à 3.2 · p. 3-30</w:t>
            </w:r>
          </w:p>
        </w:tc>
        <w:tc>
          <w:tcPr>
            <w:tcW w:type="dxa" w:w="10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5"/>
                <w:szCs w:val="15"/>
              </w:rPr>
              <w:t xml:space="preserve">Étape 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 II · fiche 9 (+10, 16, 17)</w:t>
            </w:r>
          </w:p>
        </w:tc>
      </w:tr>
      <w:tr>
        <w:tc>
          <w:tcPr>
            <w:tcW w:type="dxa" w:w="8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C0504D"/>
                <w:sz w:val="15"/>
                <w:szCs w:val="15"/>
              </w:rPr>
              <w:t xml:space="preserve">L2</w:t>
            </w:r>
          </w:p>
        </w:tc>
        <w:tc>
          <w:tcPr>
            <w:tcW w:type="dxa" w:w="1400"/>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5"/>
                <w:szCs w:val="15"/>
              </w:rPr>
              <w:t xml:space="preserve">ROUGE</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Conv. EDH et protocoles</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N°4.1 à 4.9 · p. 31-53</w:t>
            </w:r>
          </w:p>
        </w:tc>
        <w:tc>
          <w:tcPr>
            <w:tcW w:type="dxa" w:w="10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5"/>
                <w:szCs w:val="15"/>
              </w:rPr>
              <w:t xml:space="preserve">Étape 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 + C3</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 III · fiche 14 (+22 Cour EDH)</w:t>
            </w:r>
          </w:p>
        </w:tc>
      </w:tr>
      <w:tr>
        <w:tc>
          <w:tcPr>
            <w:tcW w:type="dxa" w:w="8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C55A11"/>
                <w:sz w:val="15"/>
                <w:szCs w:val="15"/>
              </w:rPr>
              <w:t xml:space="preserve">L3</w:t>
            </w:r>
          </w:p>
        </w:tc>
        <w:tc>
          <w:tcPr>
            <w:tcW w:type="dxa" w:w="1400"/>
            <w:tcBorders>
              <w:top w:val="single" w:color="BFBFBF" w:sz="2"/>
              <w:left w:val="single" w:color="BFBFBF" w:sz="2"/>
              <w:bottom w:val="single" w:color="BFBFBF" w:sz="2"/>
              <w:right w:val="single" w:color="BFBFBF" w:sz="2"/>
            </w:tcBorders>
          </w:tcPr>
          <w:p>
            <w:pPr>
              <w:spacing w:after="16" w:before="16"/>
            </w:pPr>
            <w:r>
              <w:rPr>
                <w:b/>
                <w:bCs/>
                <w:i w:val="false"/>
                <w:iCs w:val="false"/>
                <w:color w:val="C55A11"/>
                <w:sz w:val="15"/>
                <w:szCs w:val="15"/>
              </w:rPr>
              <w:t xml:space="preserve">ORANGE</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Autres conventions du Conseil de l’Europe</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N°5 à 16.3 · p. 54-170</w:t>
            </w:r>
          </w:p>
        </w:tc>
        <w:tc>
          <w:tcPr>
            <w:tcW w:type="dxa" w:w="10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5"/>
                <w:szCs w:val="15"/>
              </w:rPr>
              <w:t xml:space="preserve">Étape 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 III · fiche 14</w:t>
            </w:r>
          </w:p>
        </w:tc>
      </w:tr>
      <w:tr>
        <w:tc>
          <w:tcPr>
            <w:tcW w:type="dxa" w:w="8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BF9000"/>
                <w:sz w:val="15"/>
                <w:szCs w:val="15"/>
              </w:rPr>
              <w:t xml:space="preserve">L4</w:t>
            </w:r>
          </w:p>
        </w:tc>
        <w:tc>
          <w:tcPr>
            <w:tcW w:type="dxa" w:w="1400"/>
            <w:tcBorders>
              <w:top w:val="single" w:color="BFBFBF" w:sz="2"/>
              <w:left w:val="single" w:color="BFBFBF" w:sz="2"/>
              <w:bottom w:val="single" w:color="BFBFBF" w:sz="2"/>
              <w:right w:val="single" w:color="BFBFBF" w:sz="2"/>
            </w:tcBorders>
          </w:tcPr>
          <w:p>
            <w:pPr>
              <w:spacing w:after="16" w:before="16"/>
            </w:pPr>
            <w:r>
              <w:rPr>
                <w:b/>
                <w:bCs/>
                <w:i w:val="false"/>
                <w:iCs w:val="false"/>
                <w:color w:val="BF9000"/>
                <w:sz w:val="15"/>
                <w:szCs w:val="15"/>
              </w:rPr>
              <w:t xml:space="preserve">JAUNE / OR</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UE — droits fondamentaux (TUE, Charte, non-discrimination, traite)</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N°17.1 à 17.5 · p. 171-193</w:t>
            </w:r>
          </w:p>
        </w:tc>
        <w:tc>
          <w:tcPr>
            <w:tcW w:type="dxa" w:w="1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Étape 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 III · fiche 15 (+23 CJUE)</w:t>
            </w:r>
          </w:p>
        </w:tc>
      </w:tr>
      <w:tr>
        <w:tc>
          <w:tcPr>
            <w:tcW w:type="dxa" w:w="80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6B8E23"/>
                <w:sz w:val="15"/>
                <w:szCs w:val="15"/>
              </w:rPr>
              <w:t xml:space="preserve">L5</w:t>
            </w:r>
          </w:p>
        </w:tc>
        <w:tc>
          <w:tcPr>
            <w:tcW w:type="dxa" w:w="1400"/>
            <w:tcBorders>
              <w:top w:val="single" w:color="BFBFBF" w:sz="2"/>
              <w:left w:val="single" w:color="BFBFBF" w:sz="2"/>
              <w:bottom w:val="single" w:color="BFBFBF" w:sz="2"/>
              <w:right w:val="single" w:color="BFBFBF" w:sz="2"/>
            </w:tcBorders>
          </w:tcPr>
          <w:p>
            <w:pPr>
              <w:spacing w:after="16" w:before="16"/>
            </w:pPr>
            <w:r>
              <w:rPr>
                <w:b/>
                <w:bCs/>
                <w:i w:val="false"/>
                <w:iCs w:val="false"/>
                <w:color w:val="6B8E23"/>
                <w:sz w:val="15"/>
                <w:szCs w:val="15"/>
              </w:rPr>
              <w:t xml:space="preserve">OLIVE</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UE — citoyenneté, coopération pénale, droits sociaux, asile, données</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N°18.1 à 22 · p. 194-411</w:t>
            </w:r>
          </w:p>
        </w:tc>
        <w:tc>
          <w:tcPr>
            <w:tcW w:type="dxa" w:w="1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Étape 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 III · fiche 15</w:t>
            </w:r>
          </w:p>
        </w:tc>
      </w:tr>
      <w:tr>
        <w:tc>
          <w:tcPr>
            <w:tcW w:type="dxa" w:w="8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2E938A"/>
                <w:sz w:val="15"/>
                <w:szCs w:val="15"/>
              </w:rPr>
              <w:t xml:space="preserve">L6</w:t>
            </w:r>
          </w:p>
        </w:tc>
        <w:tc>
          <w:tcPr>
            <w:tcW w:type="dxa" w:w="1400"/>
            <w:tcBorders>
              <w:top w:val="single" w:color="BFBFBF" w:sz="2"/>
              <w:left w:val="single" w:color="BFBFBF" w:sz="2"/>
              <w:bottom w:val="single" w:color="BFBFBF" w:sz="2"/>
              <w:right w:val="single" w:color="BFBFBF" w:sz="2"/>
            </w:tcBorders>
          </w:tcPr>
          <w:p>
            <w:pPr>
              <w:spacing w:after="16" w:before="16"/>
            </w:pPr>
            <w:r>
              <w:rPr>
                <w:b/>
                <w:bCs/>
                <w:i w:val="false"/>
                <w:iCs w:val="false"/>
                <w:color w:val="2E938A"/>
                <w:sz w:val="15"/>
                <w:szCs w:val="15"/>
              </w:rPr>
              <w:t xml:space="preserve">TURQUOISE</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ONU — DUDH et Pactes</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N°23 à 25.2 · p. 412-440</w:t>
            </w:r>
          </w:p>
        </w:tc>
        <w:tc>
          <w:tcPr>
            <w:tcW w:type="dxa" w:w="1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Étape 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C3</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 III · fiche 13 (+21 comités)</w:t>
            </w:r>
          </w:p>
        </w:tc>
      </w:tr>
      <w:tr>
        <w:tc>
          <w:tcPr>
            <w:tcW w:type="dxa" w:w="8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7030A0"/>
                <w:sz w:val="15"/>
                <w:szCs w:val="15"/>
              </w:rPr>
              <w:t xml:space="preserve">L7</w:t>
            </w:r>
          </w:p>
        </w:tc>
        <w:tc>
          <w:tcPr>
            <w:tcW w:type="dxa" w:w="1400"/>
            <w:tcBorders>
              <w:top w:val="single" w:color="BFBFBF" w:sz="2"/>
              <w:left w:val="single" w:color="BFBFBF" w:sz="2"/>
              <w:bottom w:val="single" w:color="BFBFBF" w:sz="2"/>
              <w:right w:val="single" w:color="BFBFBF" w:sz="2"/>
            </w:tcBorders>
          </w:tcPr>
          <w:p>
            <w:pPr>
              <w:spacing w:after="16" w:before="16"/>
            </w:pPr>
            <w:r>
              <w:rPr>
                <w:b/>
                <w:bCs/>
                <w:i w:val="false"/>
                <w:iCs w:val="false"/>
                <w:color w:val="7030A0"/>
                <w:sz w:val="15"/>
                <w:szCs w:val="15"/>
              </w:rPr>
              <w:t xml:space="preserve">VIOLET</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ONU — conventions spécialisées, réfugiés, enfants, handicap, CPI, bioéthique</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N°26.1 à 38.2 · p. 441-602</w:t>
            </w:r>
          </w:p>
        </w:tc>
        <w:tc>
          <w:tcPr>
            <w:tcW w:type="dxa" w:w="1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Étape 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 III · fiche 13 (+21)</w:t>
            </w:r>
          </w:p>
        </w:tc>
      </w:tr>
      <w:tr>
        <w:tc>
          <w:tcPr>
            <w:tcW w:type="dxa" w:w="8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5"/>
                <w:szCs w:val="15"/>
              </w:rPr>
              <w:t xml:space="preserve">L8…</w:t>
            </w:r>
          </w:p>
        </w:tc>
        <w:tc>
          <w:tcPr>
            <w:tcW w:type="dxa" w:w="1400"/>
            <w:tcBorders>
              <w:top w:val="single" w:color="BFBFBF" w:sz="2"/>
              <w:left w:val="single" w:color="BFBFBF" w:sz="2"/>
              <w:bottom w:val="single" w:color="BFBFBF" w:sz="2"/>
              <w:right w:val="single" w:color="BFBFBF" w:sz="2"/>
            </w:tcBorders>
          </w:tcPr>
          <w:p>
            <w:pPr>
              <w:spacing w:after="16" w:before="16"/>
            </w:pPr>
            <w:r>
              <w:rPr>
                <w:b w:val="false"/>
                <w:bCs w:val="false"/>
                <w:i/>
                <w:iCs/>
                <w:color w:val="595959"/>
                <w:sz w:val="13"/>
                <w:szCs w:val="13"/>
              </w:rPr>
              <w:t xml:space="preserve">(couleurs réutilisées à distance)</w:t>
            </w:r>
          </w:p>
        </w:tc>
        <w:tc>
          <w:tcPr>
            <w:tcW w:type="dxa" w:w="46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Partie II d’Oberdorff, sections A à M : liberté individuelle et justice, égalité, vie privée, conscience, enseignement, bioéthique, presse, administrés, libertés collectives, environnement, crise</w:t>
            </w:r>
          </w:p>
        </w:tc>
        <w:tc>
          <w:tcPr>
            <w:tcW w:type="dxa" w:w="2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N°39.1 à 117 · p. 603-1206</w:t>
            </w:r>
          </w:p>
        </w:tc>
        <w:tc>
          <w:tcPr>
            <w:tcW w:type="dxa" w:w="10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5"/>
                <w:szCs w:val="15"/>
              </w:rPr>
              <w:t xml:space="preserve">Étapes 3-4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rotation C1→C4</w:t>
            </w:r>
          </w:p>
        </w:tc>
        <w:tc>
          <w:tcPr>
            <w:tcW w:type="dxa" w:w="46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Parties VI à VIII · fiches 26 à 56 (et 7, 18-20)</w:t>
            </w:r>
          </w:p>
        </w:tc>
      </w:tr>
    </w:tbl>
    <w:p>
      <w:pPr>
        <w:spacing w:after="60" w:before="140"/>
      </w:pPr>
      <w:r>
        <w:rPr>
          <w:b/>
          <w:bCs/>
          <w:color w:val="1F3864"/>
          <w:sz w:val="22"/>
          <w:szCs w:val="22"/>
        </w:rPr>
        <w:t xml:space="preserve">Concordance avec tes fiches et ton manuel Objectif Barreau</w:t>
      </w:r>
    </w:p>
    <w:p>
      <w:pPr>
        <w:spacing w:after="40"/>
      </w:pPr>
      <w:r>
        <w:rPr>
          <w:color w:val="404040"/>
          <w:sz w:val="16"/>
          <w:szCs w:val="16"/>
        </w:rPr>
        <w:t xml:space="preserve">Ton manuel OB et tes fiches ont la même numérotation (56 fiches en 8 parties). Oberdorff est construit autrement : par source dans sa Partie I, par thème du droit français dans sa Partie II. Les onglets suivent forcément l’ordre des pages du recueil ; c’est le numéro de fiche écrit sur l’onglet qui fait le pont avec ton manuel.</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3300"/>
        <w:gridCol w:w="4300"/>
        <w:gridCol w:w="7998"/>
      </w:tblGrid>
      <w:tr>
        <w:trPr>
          <w:tblHeader/>
        </w:trPr>
        <w:tc>
          <w:tcPr>
            <w:tcW w:type="dxa" w:w="3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Ton manuel / tes fiches</w:t>
            </w:r>
          </w:p>
        </w:tc>
        <w:tc>
          <w:tcPr>
            <w:tcW w:type="dxa" w:w="4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Où dans le recueil</w:t>
            </w:r>
          </w:p>
        </w:tc>
        <w:tc>
          <w:tcPr>
            <w:tcW w:type="dxa" w:w="79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Constat</w:t>
            </w:r>
          </w:p>
        </w:tc>
      </w:tr>
      <w:tr>
        <w:tc>
          <w:tcPr>
            <w:tcW w:type="dxa" w:w="33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Partie I OB — Éléments introductifs (fiches 1-8)</w:t>
            </w:r>
          </w:p>
        </w:tc>
        <w:tc>
          <w:tcPr>
            <w:tcW w:type="dxa" w:w="4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DDHC et Préambule ⇄ ; Constitution art. 16 et 34 ; Conv. EDH art. 15-18</w:t>
            </w:r>
          </w:p>
        </w:tc>
        <w:tc>
          <w:tcPr>
            <w:tcW w:type="dxa" w:w="79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Bien couverte pour les fiches 3 (origines textuelles), 6 (régimes) et 7 (exceptions). Les fiches 1-2, 4-5 et 8 sont des fiches de culture : aucun texte du recueil ne leur est propre.</w:t>
            </w:r>
          </w:p>
        </w:tc>
      </w:tr>
      <w:tr>
        <w:tc>
          <w:tcPr>
            <w:tcW w:type="dxa" w:w="33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Partie II OB — Sources internes (fiches 9-11)</w:t>
            </w:r>
          </w:p>
        </w:tc>
        <w:tc>
          <w:tcPr>
            <w:tcW w:type="dxa" w:w="4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Bloc L1 (sources nationales)</w:t>
            </w:r>
          </w:p>
        </w:tc>
        <w:tc>
          <w:tcPr>
            <w:tcW w:type="dxa" w:w="79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Correspondance directe : la fiche 9 recouvre exactement N°1 à 3.2. Les fiches 10-11 (loi et règlement) sont rattachées à l’art. 34.</w:t>
            </w:r>
          </w:p>
        </w:tc>
      </w:tr>
      <w:tr>
        <w:tc>
          <w:tcPr>
            <w:tcW w:type="dxa" w:w="33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Partie III OB — Sources externes (fiches 12-15)</w:t>
            </w:r>
          </w:p>
        </w:tc>
        <w:tc>
          <w:tcPr>
            <w:tcW w:type="dxa" w:w="4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Blocs L2-L3 (fiche 14), L4-L5 (fiche 15), L6-L7 (fiche 13)</w:t>
            </w:r>
          </w:p>
        </w:tc>
        <w:tc>
          <w:tcPr>
            <w:tcW w:type="dxa" w:w="79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Même contenu, ordre différent : OB va ONU → Conseil de l’Europe → UE, Oberdorff va Conseil de l’Europe → UE → ONU. Les onglets suivent Oberdorff. Fiche 12 (internationalisation) : art. 55 C.</w:t>
            </w:r>
          </w:p>
        </w:tc>
      </w:tr>
      <w:tr>
        <w:tc>
          <w:tcPr>
            <w:tcW w:type="dxa" w:w="33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Parties IV-V OB — Mécanismes de protection (fiches 16-25)</w:t>
            </w:r>
          </w:p>
        </w:tc>
        <w:tc>
          <w:tcPr>
            <w:tcW w:type="dxa" w:w="4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Constitution art. 61-1 (16) et 66 (17) ; Conv. EDH art. 19-51 et Prot. 16 (22) ; protocoles facultatifs ONU (21, étape 2) ; Défenseur des droits et CNCDH (20, étape 3)</w:t>
            </w:r>
          </w:p>
        </w:tc>
        <w:tc>
          <w:tcPr>
            <w:tcW w:type="dxa" w:w="79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Point faible du recueil : il ne contient aucun texte sur le référé-liberté (art. L. 521-2 CJA) ni sur le contrôle du juge administratif. Les fiches 18 (juge administratif) et 19 (séparation des autorités) n’auront pas d’onglet propre ; tu citeras leurs décisions de mémoire.</w:t>
            </w:r>
          </w:p>
        </w:tc>
      </w:tr>
      <w:tr>
        <w:tc>
          <w:tcPr>
            <w:tcW w:type="dxa" w:w="33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Parties VI-VIII OB — Les droits eux-mêmes (fiches 26-56)</w:t>
            </w:r>
          </w:p>
        </w:tc>
        <w:tc>
          <w:tcPr>
            <w:tcW w:type="dxa" w:w="4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Articles de la Conv. EDH et des protocoles (étape 1), de la Charte UE, du PIDCP et de la CIDE (étape 2), lois françaises de la Partie II (étapes 3-4)</w:t>
            </w:r>
          </w:p>
        </w:tc>
        <w:tc>
          <w:tcPr>
            <w:tcW w:type="dxa" w:w="79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C’est là que le numéro de fiche sert le plus : une même liberté est éclatée entre plusieurs sources. Exemple, fiche 37 : DDHC art. 11, Conv. EDH art. 10, Charte UE art. 11, PIDCP art. 19, loi de 1881, loi de 1986.</w:t>
            </w:r>
          </w:p>
        </w:tc>
      </w:tr>
    </w:tbl>
    <w:p>
      <w:pPr>
        <w:spacing w:after="40"/>
      </w:pPr>
      <w:r>
        <w:rPr>
          <w:i/>
          <w:iCs/>
          <w:color w:val="595959"/>
          <w:sz w:val="16"/>
          <w:szCs w:val="16"/>
        </w:rPr>
        <w:t xml:space="preserve">Vérification par script : pour chaque onglet, j’ai compté dans tes 56 fiches celles qui citent réellement le texte. Les numéros retenus sont ceux qui le citent le plus ; 9 onglets ont été corrigés après ce contrôle (DDHC +3 · Préambule +5 et 52 · CEDH art. 4 +50 · art. 19-51 +25 · Prot. 1 +48 · Prot. 16 +14 · Lanzarote → 29 · Istanbul → 29 · Const. 88-1 +42 et passé en priorité 2). La Convention d’Oviedo n’est citée dans aucune fiche : elle reste en priorité 2, rattachée par thème à la fiche 27.</w:t>
      </w:r>
    </w:p>
    <w:p>
      <w:pPr>
        <w:spacing w:after="60" w:before="140"/>
      </w:pPr>
      <w:r>
        <w:rPr>
          <w:b/>
          <w:bCs/>
          <w:color w:val="1F3864"/>
          <w:sz w:val="21"/>
          <w:szCs w:val="21"/>
        </w:rPr>
        <w:t xml:space="preserve">Légende</w:t>
      </w:r>
    </w:p>
    <w:p>
      <w:pPr>
        <w:spacing w:after="20"/>
      </w:pPr>
      <w:r>
        <w:rPr>
          <w:b/>
          <w:bCs/>
          <w:color w:val="6B4E00"/>
          <w:sz w:val="17"/>
          <w:szCs w:val="17"/>
          <w:shd w:fill="FFD24A" w:color="auto" w:val="clear"/>
        </w:rPr>
        <w:t xml:space="preserve"> ★ </w:t>
      </w:r>
      <w:r>
        <w:rPr>
          <w:color w:val="404040"/>
          <w:sz w:val="16"/>
          <w:szCs w:val="16"/>
        </w:rPr>
        <w:t xml:space="preserve">  onglet phare : à faire déborder davantage (les plus cités dans tes supports et annales).</w:t>
      </w:r>
    </w:p>
    <w:p>
      <w:pPr>
        <w:spacing w:after="20"/>
      </w:pPr>
      <w:r>
        <w:rPr>
          <w:b/>
          <w:bCs/>
          <w:color w:val="FFFFFF"/>
          <w:sz w:val="17"/>
          <w:szCs w:val="17"/>
          <w:shd w:fill="C0504D" w:color="auto" w:val="clear"/>
        </w:rPr>
        <w:t xml:space="preserve"> 1 </w:t>
      </w:r>
      <w:r>
        <w:rPr>
          <w:color w:val="404040"/>
          <w:sz w:val="16"/>
          <w:szCs w:val="16"/>
        </w:rPr>
        <w:t xml:space="preserve">  essentiel.</w:t>
      </w:r>
    </w:p>
    <w:p>
      <w:pPr>
        <w:spacing w:after="20"/>
      </w:pPr>
      <w:r>
        <w:rPr>
          <w:b/>
          <w:bCs/>
          <w:color w:val="808080"/>
          <w:sz w:val="17"/>
          <w:szCs w:val="17"/>
          <w:shd w:fill="F2F2F2" w:color="auto" w:val="clear"/>
        </w:rPr>
        <w:t xml:space="preserve"> 2 </w:t>
      </w:r>
      <w:r>
        <w:rPr>
          <w:color w:val="404040"/>
          <w:sz w:val="16"/>
          <w:szCs w:val="16"/>
        </w:rPr>
        <w:t xml:space="preserve">  complémentaire — à retirer en premier si un couloir sature.</w:t>
      </w:r>
    </w:p>
    <w:p>
      <w:pPr>
        <w:spacing w:after="20"/>
      </w:pPr>
      <w:r>
        <w:rPr>
          <w:b/>
          <w:bCs/>
          <w:color w:val="FFFFFF"/>
          <w:sz w:val="17"/>
          <w:szCs w:val="17"/>
          <w:shd w:fill="595959" w:color="auto" w:val="clear"/>
        </w:rPr>
        <w:t xml:space="preserve"> ⇄ </w:t>
      </w:r>
      <w:r>
        <w:rPr>
          <w:color w:val="404040"/>
          <w:sz w:val="16"/>
          <w:szCs w:val="16"/>
        </w:rPr>
        <w:t xml:space="preserve">  texte transversal (toutes libertés) : un seul onglet, sans numéro de fiche.</w:t>
      </w:r>
    </w:p>
    <w:p>
      <w:pPr>
        <w:spacing w:after="40"/>
      </w:pPr>
      <w:r>
        <w:rPr>
          <w:i/>
          <w:iCs/>
          <w:color w:val="595959"/>
          <w:sz w:val="16"/>
          <w:szCs w:val="16"/>
        </w:rPr>
        <w:t xml:space="preserve">« Haut de l’onglet » : distance entre la tête du livre (bord supérieur) et le bord supérieur de l’onglet, mesurée sur l’arête latérale ; (#n) = rang dans l’escalier du bloc. « ≈ p. » : page estimée d’un article à l’intérieur de son document ; pose l’onglet sur la page où l’article commence.</w:t>
      </w:r>
    </w:p>
    <w:p>
      <w:pPr>
        <w:spacing w:after="8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DDEBF7" w:color="auto" w:val="clear"/>
          </w:tcPr>
          <w:p>
            <w:pPr>
              <w:spacing w:after="20" w:before="50"/>
            </w:pPr>
            <w:r>
              <w:rPr>
                <w:b/>
                <w:bCs/>
                <w:color w:val="1F4E79"/>
                <w:sz w:val="22"/>
                <w:szCs w:val="22"/>
              </w:rPr>
              <w:t xml:space="preserve">BLOC L1 — SOURCES NATIONALES — bloc de constitutionnalité</w:t>
            </w:r>
            <w:r>
              <w:rPr>
                <w:b/>
                <w:bCs/>
                <w:color w:val="1F4E79"/>
                <w:sz w:val="15"/>
                <w:szCs w:val="15"/>
              </w:rPr>
              <w:t xml:space="preserve">     ■ BLEU MARINE  ·  p. 3 à 30  ·  10 onglets  ·  couloir C1 (8 à 64 mm du haut)  ·  escalier de 4,9 mm</w:t>
            </w:r>
          </w:p>
          <w:p>
            <w:pPr>
              <w:spacing w:after="40"/>
            </w:pPr>
            <w:r>
              <w:rPr>
                <w:i/>
                <w:iCs/>
                <w:color w:val="1F4E79"/>
                <w:sz w:val="15"/>
                <w:szCs w:val="15"/>
              </w:rPr>
              <w:t xml:space="preserve">↳ Manuel OB, Partie II — fiche 9 (sources constitutionnelles), relais fiches 10, 16, 17</w:t>
            </w:r>
          </w:p>
        </w:tc>
      </w:tr>
      <w:tr>
        <w:trPr>
          <w:tblHeader/>
        </w:trPr>
        <w:tc>
          <w:tcPr>
            <w:tcW w:type="dxa" w:w="46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595959" w:color="auto" w:val="clear"/>
          </w:tcPr>
          <w:p>
            <w:pPr>
              <w:spacing w:after="16" w:before="16"/>
              <w:jc w:val="center"/>
            </w:pPr>
            <w:r>
              <w:rPr>
                <w:b/>
                <w:bCs/>
                <w:i w:val="false"/>
                <w:iCs w:val="false"/>
                <w:color w:val="FFFFFF"/>
                <w:sz w:val="16"/>
                <w:szCs w:val="16"/>
              </w:rPr>
              <w:t xml:space="preserve">⇄</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 DDHC</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 · p. 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Déclaration des droits de l’homme et du citoyen (1789)</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3 · 9 · toutes</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Préambule 1946 (N°2) · Constitution (N°3.1) · Charte env. (N°3.2) · DUDH (N°23)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Norme de contrôle depuis 73-51 DC (Taxation d’office). Mini-index : art. 2 → vie privée (99-416 DC) f.33 &amp; aller et venir f.40 · 4 → liberté, abus f.6 · 6 → égalité f.54/42 · 7-9 → garanties pénales f.32 · 10 → religion f.36 · 11 → expression f.37 · 16 → recours effectif (96-373 DC) f.31 · 17 → propriété (81-132 DC) f.46.</w:t>
            </w:r>
          </w:p>
        </w:tc>
      </w:tr>
      <w:tr>
        <w:tc>
          <w:tcPr>
            <w:tcW w:type="dxa" w:w="460"/>
            <w:tcBorders>
              <w:top w:val="single" w:color="BFBFBF" w:sz="2"/>
              <w:left w:val="single" w:color="BFBFBF" w:sz="2"/>
              <w:bottom w:val="single" w:color="BFBFBF" w:sz="2"/>
              <w:right w:val="single" w:color="BFBFBF" w:sz="2"/>
            </w:tcBorders>
            <w:shd w:fill="595959" w:color="auto" w:val="clear"/>
          </w:tcPr>
          <w:p>
            <w:pPr>
              <w:spacing w:after="16" w:before="16"/>
              <w:jc w:val="center"/>
            </w:pPr>
            <w:r>
              <w:rPr>
                <w:b/>
                <w:bCs/>
                <w:i w:val="false"/>
                <w:iCs w:val="false"/>
                <w:color w:val="FFFFFF"/>
                <w:sz w:val="16"/>
                <w:szCs w:val="16"/>
              </w:rPr>
              <w:t xml:space="preserve">⇄</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 PRÉAMB. 46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 · p. 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12,9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Préambule de la Constitution du 27 octobre 1946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9 · 5 · 47-53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DDHC (N°1) · Charte sociale (N°14) · PIDESC (N°25.1) · Charte UE titre IV (N°17.2)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Valeur constitutionnelle et PFRLR : 71-44 DC ; dignité dégagée de l’al. 1er : 94-343/344 DC. Mini-index : al. 3 égalité F/H f.54 · 4 asile f.53 · 5 emploi f.50 · 6 syndicat · 7 grève (79-105 DC) f.50 · 10 vie familiale (93-325 DC) f.34 · 11 santé f.48 · 13 instruction f.47 et culture f.52.</w:t>
            </w:r>
          </w:p>
        </w:tc>
      </w:tr>
      <w:tr>
        <w:tc>
          <w:tcPr>
            <w:tcW w:type="dxa" w:w="460"/>
            <w:tcBorders>
              <w:top w:val="single" w:color="BFBFBF" w:sz="2"/>
              <w:left w:val="single" w:color="BFBFBF" w:sz="2"/>
              <w:bottom w:val="single" w:color="BFBFBF" w:sz="2"/>
              <w:right w:val="single" w:color="BFBFBF" w:sz="2"/>
            </w:tcBorders>
            <w:shd w:fill="1F4E7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CONST. art. 1–4 (54·36·42)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N°3.1 · p. 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17,8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Préambule 1958 · art. 1er (égalité, laïcité, parité) · art. 3-4 (suffrage, partis)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54 · 36 · 56 · 42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Parité N°62.1 · laïcité N°77.1 (même art. 1er, Partie II) · loi 1905 N°75.1 · art. 3 Prot. 1 (N°4.2)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Laïcité : 2012-297 QPC APPEL (4 composantes). Égalité : 2010-1 QPC Consorts L. (1re QPC). Suffrage (art. 3) : 2010-6/7 QPC (incapacité électorale automatique).</w:t>
            </w:r>
          </w:p>
        </w:tc>
      </w:tr>
      <w:tr>
        <w:tc>
          <w:tcPr>
            <w:tcW w:type="dxa" w:w="460"/>
            <w:tcBorders>
              <w:top w:val="single" w:color="BFBFBF" w:sz="2"/>
              <w:left w:val="single" w:color="BFBFBF" w:sz="2"/>
              <w:bottom w:val="single" w:color="BFBFBF" w:sz="2"/>
              <w:right w:val="single" w:color="BFBFBF" w:sz="2"/>
            </w:tcBorders>
            <w:shd w:fill="1F4E7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CONST. art. 16 (7)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N°3.1 · ≈ p. 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22,7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Pouvoirs exceptionnels — et art. 36 (état de siège)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État de siège N°115 · état d’urgence N°116 · EUS N°117 · art. 15 CEDH (N°4.1)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Rubin de Servens (CE Ass., 1962) : décision de recourir à l’art. 16 = acte de gouvernement. Pont vers les régimes de crise (fiche 7).</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CONST. art. 34 (10·6)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N°3.1 · ≈ p. 12</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1F4E79"/>
                <w:sz w:val="14"/>
                <w:szCs w:val="14"/>
              </w:rPr>
              <w:t xml:space="preserve">27,6 mm  (#5)</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Domaine de la loi : garanties fondamentales des libertés publiques</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1F4E79"/>
                <w:sz w:val="14"/>
                <w:szCs w:val="14"/>
              </w:rPr>
              <w:t xml:space="preserve">10 · 6 · 11</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37 (règlement, fiche 11) · DDHC art. 4-5 (N°1)</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Seule la loi fixe les garanties fondamentales : incompétence négative ; 85-197 DC (la loi n’exprime la volonté générale que dans le respect de la Constitution) ; 86-217 DC effet cliquet. Daudignac (CE 1951) : seule la loi institue un régime préventif.</w:t>
            </w:r>
          </w:p>
        </w:tc>
      </w:tr>
      <w:tr>
        <w:tc>
          <w:tcPr>
            <w:tcW w:type="dxa" w:w="460"/>
            <w:tcBorders>
              <w:top w:val="single" w:color="BFBFBF" w:sz="2"/>
              <w:left w:val="single" w:color="BFBFBF" w:sz="2"/>
              <w:bottom w:val="single" w:color="BFBFBF" w:sz="2"/>
              <w:right w:val="single" w:color="BFBFBF" w:sz="2"/>
            </w:tcBorders>
            <w:shd w:fill="1F4E7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CONST. art. 55 (12)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N°3.1 · ≈ p. 16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32,4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Autorité des traités — et art. 53-1 (asile), 54 (contrôle des engagements)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12 · 17 · 53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88-1 (UE) · Conv. EDH (N°4.1) · Conv. Genève (N°31)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Jacques Vabre (1975) &amp; Nicolo (1989) : contrôle de conventionnalité par le juge ordinaire ; 74-54 DC IVG : refus du Conseil. Sarran (1998) / Fraisse (2000) : primauté de la Constitution dans l’ordre interne.</w:t>
            </w:r>
          </w:p>
        </w:tc>
      </w:tr>
      <w:tr>
        <w:tc>
          <w:tcPr>
            <w:tcW w:type="dxa" w:w="460"/>
            <w:tcBorders>
              <w:top w:val="single" w:color="BFBFBF" w:sz="2"/>
              <w:left w:val="single" w:color="BFBFBF" w:sz="2"/>
              <w:bottom w:val="single" w:color="BFBFBF" w:sz="2"/>
              <w:right w:val="single" w:color="BFBFBF" w:sz="2"/>
            </w:tcBorders>
            <w:shd w:fill="1F4E7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CONST. art. 61-1 (16)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N°3.1 · ≈ p. 18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37,3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QPC — avec art. 61 (DC) et 62 (effets des décisions)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16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DDHC (N°1) · Préambule (N°2) · Charte env. (N°3.2)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 2009-1523 validée par 2009-595 DC ; 2010-1 QPC Consorts L. (cristallisation des pensions). « Droits et libertés que la Constitution garantit » : la Charte de l’env. l’est sauf son art. 6 (2012-283 QPC).</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CONST. art. 66 (30·17)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N°3.1 · ≈ p. 19</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1F4E79"/>
                <w:sz w:val="14"/>
                <w:szCs w:val="14"/>
              </w:rPr>
              <w:t xml:space="preserve">42,2 mm  (#8)</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Autorité judiciaire gardienne de la liberté individuelle — art. 64 et 66-1 (abolition)</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1F4E79"/>
                <w:sz w:val="14"/>
                <w:szCs w:val="14"/>
              </w:rPr>
              <w:t xml:space="preserve">30 · 17 · 26</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GAV N°49 · détention provisoire N°51 · soins sans consentement N°53 · atteintes N°54 · art. 5 CEDH (N°4.1)</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76-75 DC (fouille des véhicules) ; 99-416 DC : vie privée rattachée à l’art. 2 DDHC, plus à l’art. 66 (conception restrictive de la liberté individuelle). TC Bergoend (2013) : voie de fait recentrée. 66-1 → fiche 26 (Prot. 6 et 13).</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CONST. art. 88-1 (15)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N°3.1 · ≈ p. 24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47,1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Participation à l’Union européenne (art. 88-1) · vote des citoyens UE aux municipales (art. 88-3)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15 · 16 · 42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TUE (N°17.1) · Charte UE (N°17.2) · art. 55 · vote municipal N°68.4</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Tes fiches 15-16 traitent l’identité constitutionnelle sans citer l’article : transposition = exigence constitutionnelle, réserve d’identité : 2006-540 DC ; Arcelor (CE Ass., 2007) ; 2021-940 QPC Air France (1er principe inhérent à l’identité constitutionnelle).</w:t>
            </w:r>
          </w:p>
        </w:tc>
      </w:tr>
      <w:tr>
        <w:tc>
          <w:tcPr>
            <w:tcW w:type="dxa" w:w="460"/>
            <w:tcBorders>
              <w:top w:val="single" w:color="BFBFBF" w:sz="2"/>
              <w:left w:val="single" w:color="BFBFBF" w:sz="2"/>
              <w:bottom w:val="single" w:color="BFBFBF" w:sz="2"/>
              <w:right w:val="single" w:color="BFBFBF" w:sz="2"/>
            </w:tcBorders>
            <w:shd w:fill="1F4E79"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N°3.2 CHARTE ENV. (49)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N°3.2 · p. 29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52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Charte de l’environnement (2004 / LC 1er mars 2005)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4"/>
                <w:szCs w:val="14"/>
              </w:rPr>
              <w:t xml:space="preserve">49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 env. L.110-1 s. (N°113) · air (N°114) · art. 8 CEDH (KlimaSeniorinnen)</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Tous les droits et devoirs ont valeur constitutionnelle (2008-564 DC OGM) ; vigilance (2011-116 QPC Michel Z.) ; art. 6 non invocable en QPC (2012-283 QPC) ; protection de l’environnement = OVC (2019-823 QPC) ; générations futures (2023-1066 QPC). CE Grande-Synthe (2021).</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FBDDDD" w:color="auto" w:val="clear"/>
          </w:tcPr>
          <w:p>
            <w:pPr>
              <w:spacing w:after="20" w:before="50"/>
            </w:pPr>
            <w:r>
              <w:rPr>
                <w:b/>
                <w:bCs/>
                <w:color w:val="C0504D"/>
                <w:sz w:val="22"/>
                <w:szCs w:val="22"/>
              </w:rPr>
              <w:t xml:space="preserve">BLOC L2 — CONVENTION EDH &amp; PROTOCOLES</w:t>
            </w:r>
            <w:r>
              <w:rPr>
                <w:b/>
                <w:bCs/>
                <w:color w:val="C0504D"/>
                <w:sz w:val="15"/>
                <w:szCs w:val="15"/>
              </w:rPr>
              <w:t xml:space="preserve">     ■ ROUGE  ·  p. 31 à 53  ·  17 onglets  ·  couloir C2 + C3 (64 à 176 mm du haut)  ·  escalier de 6,3 mm</w:t>
            </w:r>
          </w:p>
          <w:p>
            <w:pPr>
              <w:spacing w:after="40"/>
            </w:pPr>
            <w:r>
              <w:rPr>
                <w:i/>
                <w:iCs/>
                <w:color w:val="C0504D"/>
                <w:sz w:val="15"/>
                <w:szCs w:val="15"/>
              </w:rPr>
              <w:t xml:space="preserve">↳ Manuel OB, Partie III — fiche 14 (Conseil de l’Europe et Conv. EDH), relais fiche 22 (Cour EDH)</w:t>
            </w:r>
          </w:p>
        </w:tc>
      </w:tr>
      <w:tr>
        <w:trPr>
          <w:tblHeader/>
        </w:trPr>
        <w:tc>
          <w:tcPr>
            <w:tcW w:type="dxa" w:w="46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1–2 (26·14)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p. 31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Obligation de respecter les droits (art. 1er) · droit à la vie (art. 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26 · 14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6 et 13 (N°4.4/4.7) · art. 66-1 C. · art. 6 PIDCP (N°24.1) · art. 2 Charte UE (N°17.2) · art. 3 DUDH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 : McCann (1995, force absolument nécessaire), Osman (1998, obligations positives), Pretty (2002, pas de droit à mourir). Art. 1er : Loizidou (1995, « instrument constitutionnel de l’ordre public européen »), Al-Skeini (2011, juridiction extraterritoriale).</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3 (28)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p. 31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70,3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Interdiction de la torture et des traitements inhumains ou dégradants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28 · 27 · 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CPT (N°7) · CAT ONU (N°30.1) · CGLPL (N°52.5) · art. 4 Charte UE · art. 7 PIDCP · art. 5 DUDH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Indérogeable : Irlande c. RU (1978) ; Selmouni c. France (1999, torture en GAV) ; Soering (1989, extradition) ; J.M.B. c. France (2020, surpopulation carcérale → art. 803-8 CPP).</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4 (29·50)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76,5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Interdiction de l’esclavage, de la servitude et du travail forcé</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29 · 50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Varsovie (N°9) · dir. 2011/36 (N°17.5) · Conv. ONU 1926-1956 (N°26) · C. pén. 225-4-1 (N°58.1) · art. 5 Charte UE · art. 8 PIDCP</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Siliadin c. France (2005) puis C.N. et V. c. France (2012) → loi du 5 août 2013 ; Rantsev (2010) : la traite entre dans l’art. 4 ; Van der Mussele (1983) : critère du fardeau disproportionné.</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5 (30)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82,8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 à la liberté et à la sûreté</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30 · 40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66 C. (N°3.1) · GAV (N°49) · détention provisoire (N°51) · art. 9 PIDCP · art. 6 Charte 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Liste exhaustive des motifs (Quinn c. France, 1995) ; le parquet n’est pas une autorité judiciaire (Medvedyev 2010, Moulin 2010) ; privation vs restriction (Guzzardi, 1980 → fiche 40).</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6–7 (31·32)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89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Procès équitable (art. 6) · légalité des peines (art. 7) — art. 13 recours effectif</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31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16 DDHC (N°1) · art. 47-49 Charte UE (N°17.2) · art. 14-15 PIDCP (N°24.1) · aide juridictionnelle (N°45)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Golder (1975, droit d’accès au tribunal) ; Engel (1976, matière pénale) ; Kress c. France (2001, apparences) ; Salduz / Brusco (avocat en GAV) ; art. 7 : Scoppola n°2 (2009, rétroactivité in mitius) ; art. 13 : Kudla (2000).</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CEDH art. 8 (33·34)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N°4.1 · ≈ p. 34</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4"/>
                <w:szCs w:val="14"/>
              </w:rPr>
              <w:t xml:space="preserve">95,3 mm  (#6)</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Respect de la vie privée et familiale, du domicile et de la correspondance</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4"/>
                <w:szCs w:val="14"/>
              </w:rPr>
              <w:t xml:space="preserve">33 · 34 · 35 · 49</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9 C. civ. (N°69.1) · art. 2 DDHC (99-416 DC) · art. 7 Charte UE · art. 17 PIDCP · art. 12 DUDH · loi 1978 (N°73.1)</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Von Hannover 1 &amp; 2 (2004, 2012) ; Marckx (1979) ; Mennesson (2014) ; S. et Marper (2008, données) ; López Ostra (1994) et KlimaSeniorinnen (2024, environnement) ; Pretty (autonomie personnelle).</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9 (36)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101,5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Liberté de pensée, de conscience et de religion</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36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10 DDHC · loi 1905 (N°75.1) · art. 1er C. (N°77.1) · art. 10 Charte UE · art. 18 PIDCP</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Kokkinakis (1993, fondement de la société démocratique) ; Leyla Şahin (2005) ; S.A.S. c. France (2014, « vivre ensemble », loi 2010 → N°63.3).</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10 (37)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107,8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Liberté d’expression</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37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DDHC (N°1) · loi 1881 (N°94.1) · loi 1986 (N°95.1) · art. 11 Charte UE · art. 19 PIDCP · art. 17 CEDH (abus)</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Handyside (1976, idées qui « heurtent, choquent ou inquiètent ») ; Goodwin (1996, secret des sources) ; Perinçek (2015, génocide arménien, art. 10 § 2) — à distinguer de l’effet guillotine de l’art. 17 (Garaudy).</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11–12 (38·39·50)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114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Liberté de réunion et d’association (art. 11) · droit au mariage (art. 12)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38 · 39 · 50 · 34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1901 (N°101) · réunions/manifestations (N°103-105) · syndicat (N°106) · al. 6 Préambule · art. 12 Charte UE · art. 21-22 PIDCP · mariage pour tous (N°69.2)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Kudrevičius (2015, réunion pacifique) ; Chassagnou c. France (1999, volet négatif) ; Demir et Baykara (2008, négociation collective). Art. 12 : Schalk et Kopf (2010).</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14 (54)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120,3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Interdiction de la discrimination (accessoire) — Prot. 12 non ratifié</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54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12 (N°4.6) · art. 1er C. · art. 6 DDHC · art. 21 Charte UE · art. 26 PIDCP · loi 2008-496 (N°59.1) · dir. 2000/43 et 2000/78 (N°17.4, 20.3)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Accessoire : Thlimmenos (2000) ; discrimination indirecte et preuve statistique : D.H. c. Rép. tchèque (2007) ; Gaygusuz (1996, prestation = bien). Prot. 12 : Sejdić et Finci (2009).</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15–18 (7)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126,5 mm  (#11)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Dérogation en cas d’urgence (15) · abus de droit (17) · détournement de pouvoir (18)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7 · 37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16 C. · état d’urgence (N°116) · art. 4 PIDCP (N°24.1) · art. 52-54 Charte 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Lawless c. Irlande (1961) : danger public menaçant la vie de la nation, mesures strictement exigées ; noyau indérogeable (2, 3, 4 § 1, 7). Art. 17 : effet guillotine (Garaudy, 2003 ; M’Bala M’Bala, 2015).</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CEDH art. 19–51 (22)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N°4.1 · ≈ p. 37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132,8 mm  (#12)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La Cour : requête individuelle (34), recevabilité (35), satisfaction équitable (41), force obligatoire (46)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22 · 25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16 (N°4.8) · accord de 1996 (N°4.9)</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Golder &amp; Marckx (instrument vivant) ; arrêt pilote Broniowski (2004) ; autorité de la chose interprétée (Scordino n°3, 2007). Épuisement des voies de recours internes et délai de 4 mois.</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N°4.2 PROT. 1 (46·47·42)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N°4.2 · p. 42</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4"/>
                <w:szCs w:val="14"/>
              </w:rPr>
              <w:t xml:space="preserve">139 mm  (#13)</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Protocole n°1 : propriété (art. 1er), instruction (art. 2), élections libres (art. 3)</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4"/>
                <w:szCs w:val="14"/>
              </w:rPr>
              <w:t xml:space="preserve">46 · 47 · 41 · 42 · 48</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17 DDHC · art. 17 et 14 Charte UE · al. 13 Préambule · art. 3 C. · art. 25 PIDCP</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1er : Sporrong et Lönnroth (1982, trois normes) ; Draon c. France (2005, espérance légitime). Art. 2 : Kjeldsen (1976, pluralisme). Art. 3 : Mathieu-Mohin (1987) ; Hirst n°2 (2005, vote des détenus).</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N°4.3 PROT. 4 (40·43)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N°4.3 · p. 43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145,3 mm  (#14)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Protocole n°4 : aller et venir (art. 2), nationaux (art. 3), expulsions collectives (art. 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40 · 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d’aller et venir N°74.1 (reprend les art. 1-2) · art. 45 Charte UE · art. 12 PIDCP · CESEDA (N°67)</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 : Guzzardi (frontière avec l’art. 5). Art. 4 : Hirsi Jamaa (2012) ; N.D. et N.T. c. Espagne (2020).</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N°4.4 PROT. 6 (+13) (26)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N°4.4 · p. 45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151,5 mm  (#15)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Protocoles n°6 (1983) et n°13 (2002) : abolition de la peine de mort</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26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66-1 C. · 2e Prot. PIDCP (N°24.3) · art. 2 Charte 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Al-Saadoon et Mufdhi (2010) : la peine de mort est devenue une peine inacceptable. Le Prot. 13 (N°4.7, p. 49) est 4 pages plus loin : pas de second onglet.</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N°4.5 PROT. 7 (32·43)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N°4.5 · p. 46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157,8 mm  (#16)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Protocole n°7 : garanties en cas d’expulsion (art. 1er), ne bis in idem (art. 4), égalité des époux (art. 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32 · 43 · 34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50 Charte UE · art. 14 § 7 PIDCP · art. 8 DDHC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Ne bis in idem : Zolotoukhine (2009, mêmes faits) ; A et B c. Norvège (2016, lien matériel et temporel suffisant).</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N°4.8 PROT. 16 (22)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N°4.8 · p. 50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164 mm  (#17)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Protocole n°16 : avis consultatifs des plus hautes juridictions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4"/>
                <w:szCs w:val="14"/>
              </w:rPr>
              <w:t xml:space="preserve">22 · 14 · 34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Cour (art. 19-51) · Prot. 12 (N°4.6, p. 48 — signé, non ratifié)</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1er avis rendu sur demande de la Cour de cassation : avis 10 avril 2019 (Mennesson, GPA) → Cass. ass. plén. 2019. Dialogue des juges.</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FCE4D6" w:color="auto" w:val="clear"/>
          </w:tcPr>
          <w:p>
            <w:pPr>
              <w:spacing w:after="20" w:before="50"/>
            </w:pPr>
            <w:r>
              <w:rPr>
                <w:b/>
                <w:bCs/>
                <w:color w:val="C55A11"/>
                <w:sz w:val="22"/>
                <w:szCs w:val="22"/>
              </w:rPr>
              <w:t xml:space="preserve">BLOC L3 — AUTRES CONVENTIONS DU CONSEIL DE L’EUROPE</w:t>
            </w:r>
            <w:r>
              <w:rPr>
                <w:b/>
                <w:bCs/>
                <w:color w:val="C55A11"/>
                <w:sz w:val="15"/>
                <w:szCs w:val="15"/>
              </w:rPr>
              <w:t xml:space="preserve">     ■ ORANGE  ·  p. 54 à 170  ·  8 onglets  ·  couloir C4 (176 à 232 mm du haut)  ·  escalier de 6,3 mm</w:t>
            </w:r>
          </w:p>
          <w:p>
            <w:pPr>
              <w:spacing w:after="40"/>
            </w:pPr>
            <w:r>
              <w:rPr>
                <w:i/>
                <w:iCs/>
                <w:color w:val="C55A11"/>
                <w:sz w:val="15"/>
                <w:szCs w:val="15"/>
              </w:rPr>
              <w:t xml:space="preserve">↳ Manuel OB, Partie III — fiche 14 (autres conventions du Conseil de l’Europe)</w:t>
            </w:r>
          </w:p>
        </w:tc>
      </w:tr>
      <w:tr>
        <w:trPr>
          <w:tblHeader/>
        </w:trPr>
        <w:tc>
          <w:tcPr>
            <w:tcW w:type="dxa" w:w="46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 EXTRADITION (43)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 · p. 54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176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européenne d’extradition (1957)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extradition CPP 696 s. (N°66) · mandat d’arrêt européen (N°19.5) · art. 3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Soering (1989) : l’État qui extrade vers un risque réel de traitement contraire à l’art. 3 engage sa responsabilité ; Saadi c. Italie (2008) : pas de mise en balance avec la dangerosité.</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N°7 CPT (28)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N°7 · p. 63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182,3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européenne pour la prévention de la torture (1987) — sous-section N°6 à 9</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28</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3 CEDH · CAT et protocole (N°30.1-30.2) · CGLPL (N°52.5)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Le CPT visite les lieux de privation de liberté (rapports sur la France). Sous-section voisine : terrorisme (N°6, p. 60), imprescriptibilité (N°8, p. 67).</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N°9 TRAITE — VARSOVIE (29)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N°9 · p. 69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188,6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de Varsovie sur la lutte contre la traite (2005) — GRETA</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4 CEDH · dir. 2011/36 (N°17.5) · Palerme/ONU (N°27) · C. pén. 225-4-1 (N°58.1) · loi 2016-444 (N°58.2)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Rantsev (2010) s’appuie sur la Convention de Varsovie ; V.C.L. et A.N. c. RU (2021) : obligation d’identifier la victime de traite. Suivi par le GRETA.</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N°12.1 ENFANTS — LANZAROTE (29·55)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N°12.1 · p. 92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194,9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Exercice des droits des enfants (1996) · Convention de Lanzarote (2007)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29 · 55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CIDE (N°34.1) · droits de l’enfant en droit interne (N°61) · justice pénale des mineurs (N°61.3)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Sous-section « protection des enfants » : un seul onglet sur N°12.1 ; Lanzarote (N°12.2) est p. 96.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N°13 ISTANBUL (55·29)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N°13 · p. 109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201,1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d’Istanbul — violences à l’égard des femmes et violences domestiques (2011)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55 · 29 · 27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CEDEF (N°33.1) · ordonnance de protection C. civ. 515-9 (N°63.2) · MIPROF (N°63.1)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Obligations positives et diligence due ; à relier à L. et a. c. France (2025, art. 3 et 8, actes sexuels non consentis — fiche 27).</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N°14 CHARTE SOCIALE (50·51·48)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N°14 · p. 126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207,4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Charte sociale européenne révisée (1996) — CEDS, réclamations collectives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50 · 51 · 48 · 47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Préambule 1946 al. 5-11 (N°2) · PIDESC (N°25.1) · Charte UE titre IV (N°17.2) · DALO / logement (N°112)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CEDS, FEANTSA c. France (2007) : violation de l’art. 31 (logement). Barème Macron : Cass. soc. 11 mai 2022 (art. 24 sans effet direct) contre les décisions du CEDS.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N°15.1 CONV. 108 (35)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N°15.1 · p. 137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213,7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108 — données personnelles (1981) · Budapest, cybercriminalité (N°15.2–15.2.1)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35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RGPD (N°22) · loi 1978 (N°73.1) · art. 8 CEDH · art. 8 Charte 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Premier traité contraignant sur les données ; modernisée (« 108+ »). Budapest (N°15.2, p. 142) et son protocole raciste/xénophobe (N°15.2.1, p. 159) sont dans la même sous-section.</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N°16.1 OVIEDO (27)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N°16.1 · p. 161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220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d’Oviedo — biomédecine (1997) · protocoles clonage et transplantation (N°16.2–16.3)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4"/>
                <w:szCs w:val="14"/>
              </w:rPr>
              <w:t xml:space="preserve">27 · 26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 civ. 16 s. (N°85-86) · CSP bioéthique (N°88-91) · UNESCO (N°38.1-38.2) · art. 3 Charte 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Primauté de l’être humain, consentement libre et éclairé, interdiction du clonage (N°16.2). Socle conventionnel des lois de bioéthique ; 94-343/344 DC (dignité). Attention : convention non citée dans tes fiches (une seule mention dans le fascicule) — rattachée par thème à la fiche 27.</w:t>
            </w:r>
          </w:p>
        </w:tc>
      </w:tr>
    </w:tbl>
    <w:p>
      <w:pPr>
        <w:spacing w:after="140"/>
      </w:pPr>
    </w:p>
    <w:p>
      <w:pPr>
        <w:spacing w:after="60" w:before="140"/>
      </w:pPr>
      <w:r>
        <w:rPr>
          <w:b/>
          <w:bCs/>
          <w:color w:val="8A6100"/>
          <w:sz w:val="22"/>
          <w:szCs w:val="22"/>
        </w:rPr>
        <w:t xml:space="preserve">★  Phares — recalibrés sur le livre entier (étape 5)</w:t>
      </w:r>
    </w:p>
    <w:p>
      <w:pPr>
        <w:spacing w:after="40"/>
      </w:pPr>
      <w:r>
        <w:rPr>
          <w:color w:val="404040"/>
          <w:sz w:val="16"/>
          <w:szCs w:val="16"/>
        </w:rPr>
        <w:t xml:space="preserve">14 phares sur 156 onglets, au plus 2 par bloc, textes transversaux ⇄ exclus. Score commun à tout le livre : présence dans les sujets d’annales, entraînements et sujets IEJ (× 2) + nombre de fiches rattachées + détection directe dans tes fiches (× ½) + fréquence dans tout le corpus (échelle logarithmique). Dans cette étape : CONST. art. 34 (10·6) · CONST. art. 66 (30·17) · CEDH art. 8 (33·34) · N°4.2 PROT. 1 (46·47·42). Détail du classement dans le document de l’étape 5.</w:t>
      </w:r>
    </w:p>
    <w:p>
      <w:pPr>
        <w:spacing w:after="60" w:before="140"/>
      </w:pPr>
      <w:r>
        <w:rPr>
          <w:b/>
          <w:bCs/>
          <w:color w:val="1F3864"/>
          <w:sz w:val="22"/>
          <w:szCs w:val="22"/>
        </w:rPr>
        <w:t xml:space="preserve">Couverture exhaustive des N°1 à 16.3</w:t>
      </w:r>
    </w:p>
    <w:p>
      <w:pPr>
        <w:spacing w:after="40"/>
      </w:pPr>
      <w:r>
        <w:rPr>
          <w:color w:val="404040"/>
          <w:sz w:val="16"/>
          <w:szCs w:val="16"/>
        </w:rPr>
        <w:t xml:space="preserve">31 documents : 18 portent un onglet, 13 sont atteints par l’onglet voisin indiqué.</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900"/>
        <w:gridCol w:w="7300"/>
        <w:gridCol w:w="700"/>
        <w:gridCol w:w="6698"/>
      </w:tblGrid>
      <w:tr>
        <w:trPr>
          <w:tblHeader/>
        </w:trPr>
        <w:tc>
          <w:tcPr>
            <w:tcW w:type="dxa" w:w="9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N°</w:t>
            </w:r>
          </w:p>
        </w:tc>
        <w:tc>
          <w:tcPr>
            <w:tcW w:type="dxa" w:w="7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Document</w:t>
            </w:r>
          </w:p>
        </w:tc>
        <w:tc>
          <w:tcPr>
            <w:tcW w:type="dxa" w:w="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w:t>
            </w:r>
          </w:p>
        </w:tc>
        <w:tc>
          <w:tcPr>
            <w:tcW w:type="dxa" w:w="66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Onglet(s)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DDHC 26 août 1789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 DDHC</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Préambule Constitution 27 octobre 1946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 PRÉAMB. 46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Constitution 4 octobre 1958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CONST. art. 1–4 (54·36·42)  ·  CONST. art. 16 (7)  ·  CONST. art. 34 (10·6)  ·  CONST. art. 55 (12)  ·  CONST. art. 61-1 (16)  ·  CONST. art. 66 (30·17)  ·  CONST. art. 88-1 (15)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de l'environnement 2004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N°3.2 CHARTE ENV. (49)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4 novembre 1950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CEDH art. 1–2 (26·14)  ·  CEDH art. 3 (28)  ·  CEDH art. 4 (29·50)  ·  CEDH art. 5 (30)  ·  CEDH art. 6–7 (31·32)  ·  CEDH art. 8 (33·34)  ·  CEDH art. 9 (36)  ·  CEDH art. 10 (37)  ·  CEDH art. 11–12 (38·39·50)  ·  CEDH art. 14 (54)  ·  CEDH art. 15–18 (7)  ·  CEDH art. 19–51 (22)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additionnel n°1 (Paris, 20 mars 1952)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N°4.2 PROT. 1 (46·47·42)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n°4 (16 sept. 1963)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N°4.3 PROT. 4 (40·43)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n°6 — abolition peine de mort (28 avril 1983)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N°4.4 PROT. 6 (+13) (26)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n°7 (22 oct. 1984)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N°4.5 PROT. 7 (32·43)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n°12 (4 nov. 2000)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voisin de « N°4.8 PROT. 16 » (2 pages avant) — cité dans « CEDH art. 14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n°13 — peine de mort toutes circonstances (Vilnius 2002)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N°4.4 PROT. 6 (+13)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4.8</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n°16 (2 oct. 2013)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N°4.8 PROT. 16 (22)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Accord européen personnes participant aux procédures CourEDH (1996)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juste après « N°4.8 PROT. 16 » (p. 51)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européenne d'extradition (1957)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 EXTRADITION (43)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européenne répression du terrorisme (1977)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60</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3 pages avant « N°7 CPT » (même sous-section)</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européenne prévention de la torture (CPT, 1987)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N°7 CPT (28)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8</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européenne imprescriptibilité crimes contre l'humanité (1974)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4 pages après « N°7 CPT » (même sous-section)</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européenne lutte contre la traite (Varsovie 2005)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N°9 TRAITE — VARSOVIE (29)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transfèrement des personnes condamnées (1983)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sans onglet : entre « N°9 » (p. 69) et « N°12.1 » (p. 92) — aucune occurrence dans tes supports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additionnel transfèrement (1997)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idem (p. 88)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européenne indemnisation victimes d'infractions violentes (1983)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90</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idem (p. 90)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12.1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européenne exercice des droits des enfants (1996)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N°12.1 ENFANTS — LANZAROTE (29·55)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12.2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Lanzarote — exploitation et abus sexuels (2007)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N°12.1 ENFANTS — LANZAROTE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d'Istanbul (2011)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109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N°13 ISTANBUL (55·29)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sociale européenne révisée (1996)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126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N°14 CHARTE SOCIALE (50·51·48)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15.1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108 — données personnelles (1981)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137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N°15.1 CONV. 108 (35)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15.2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de Budapest — cybercriminalité (2001)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142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N°15.1 CONV. 108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15.2.1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Budapest — actes racistes et xénophobes (2003)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159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N°15.1 CONV. 108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16.1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d'Oviedo (1997)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161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N°16.1 OVIEDO (27)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16.2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Oviedo — interdiction du clonage (1998)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166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N°16.1 OVIEDO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16.3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Oviedo — transplantation d'organes (2002)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167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N°16.1 OVIEDO »</w:t>
            </w:r>
          </w:p>
        </w:tc>
      </w:tr>
    </w:tbl>
    <w:p>
      <w:pPr>
        <w:spacing w:after="60" w:before="140"/>
      </w:pPr>
      <w:r>
        <w:rPr>
          <w:b/>
          <w:bCs/>
          <w:color w:val="1F3864"/>
          <w:sz w:val="22"/>
          <w:szCs w:val="22"/>
        </w:rPr>
        <w:t xml:space="preserve">Conseils de pose pour l’étape 1</w:t>
      </w:r>
    </w:p>
    <w:p>
      <w:pPr>
        <w:spacing w:after="30"/>
        <w:ind w:left="280" w:hanging="200"/>
      </w:pPr>
      <w:r>
        <w:rPr>
          <w:b/>
          <w:bCs/>
          <w:color w:val="1F3864"/>
          <w:sz w:val="16"/>
          <w:szCs w:val="16"/>
        </w:rPr>
        <w:t xml:space="preserve">▪ </w:t>
      </w:r>
      <w:r>
        <w:rPr>
          <w:b/>
          <w:bCs/>
          <w:sz w:val="16"/>
          <w:szCs w:val="16"/>
        </w:rPr>
        <w:t xml:space="preserve">Gabarit. </w:t>
      </w:r>
      <w:r>
        <w:rPr>
          <w:color w:val="404040"/>
          <w:sz w:val="16"/>
          <w:szCs w:val="16"/>
        </w:rPr>
        <w:t xml:space="preserve">Livre de 16 × 24 × 4,8 cm : hauteur utile 224 mm (8 mm de marge en tête et en pied), 4 couloirs de 56 mm : C1 de 8 à 64 mm, C2 de 64 à 120, C3 de 120 à 176, C4 de 176 à 232 mm du haut. Découpe une bande de carton de 24 cm, reporte les positions de la colonne « Haut de l’onglet » et sers-t’en comme règle pour chaque pose.</w:t>
      </w:r>
    </w:p>
    <w:p>
      <w:pPr>
        <w:spacing w:after="30"/>
        <w:ind w:left="280" w:hanging="200"/>
      </w:pPr>
      <w:r>
        <w:rPr>
          <w:b/>
          <w:bCs/>
          <w:color w:val="1F3864"/>
          <w:sz w:val="16"/>
          <w:szCs w:val="16"/>
        </w:rPr>
        <w:t xml:space="preserve">▪ </w:t>
      </w:r>
      <w:r>
        <w:rPr>
          <w:b/>
          <w:bCs/>
          <w:sz w:val="16"/>
          <w:szCs w:val="16"/>
        </w:rPr>
        <w:t xml:space="preserve">Onglets. </w:t>
      </w:r>
      <w:r>
        <w:rPr>
          <w:color w:val="404040"/>
          <w:sz w:val="16"/>
          <w:szCs w:val="16"/>
        </w:rPr>
        <w:t xml:space="preserve">Calcul fait pour des onglets de 12 mm de large (format Post-it Index étroit). Dépassement : 8 mm pour un onglet normal, 12 mm pour un phare ★. Écris le texte dans les 4 mm hauts : c’est la seule partie visible quand l’onglet suivant le recouvre.</w:t>
      </w:r>
    </w:p>
    <w:p>
      <w:pPr>
        <w:spacing w:after="30"/>
        <w:ind w:left="280" w:hanging="200"/>
      </w:pPr>
      <w:r>
        <w:rPr>
          <w:b/>
          <w:bCs/>
          <w:color w:val="1F3864"/>
          <w:sz w:val="16"/>
          <w:szCs w:val="16"/>
        </w:rPr>
        <w:t xml:space="preserve">▪ </w:t>
      </w:r>
      <w:r>
        <w:rPr>
          <w:b/>
          <w:bCs/>
          <w:sz w:val="16"/>
          <w:szCs w:val="16"/>
        </w:rPr>
        <w:t xml:space="preserve">Réutilisation d’un couloir. </w:t>
      </w:r>
      <w:r>
        <w:rPr>
          <w:color w:val="404040"/>
          <w:sz w:val="16"/>
          <w:szCs w:val="16"/>
        </w:rPr>
        <w:t xml:space="preserve">Un couloir n’est repris par un autre bloc qu’à plus de 5 mm d’épaisseur de distance (≈ 136 pages). Contrôle automatique sur les 156 onglets déjà prévus : 0 chevauchement.</w:t>
      </w:r>
    </w:p>
    <w:p>
      <w:pPr>
        <w:spacing w:after="30"/>
        <w:ind w:left="280" w:hanging="200"/>
      </w:pPr>
      <w:r>
        <w:rPr>
          <w:b/>
          <w:bCs/>
          <w:color w:val="1F3864"/>
          <w:sz w:val="16"/>
          <w:szCs w:val="16"/>
        </w:rPr>
        <w:t xml:space="preserve">▪ </w:t>
      </w:r>
      <w:r>
        <w:rPr>
          <w:b/>
          <w:bCs/>
          <w:sz w:val="16"/>
          <w:szCs w:val="16"/>
        </w:rPr>
        <w:t xml:space="preserve">Les textes très courts se suivent de près. </w:t>
      </w:r>
      <w:r>
        <w:rPr>
          <w:color w:val="404040"/>
          <w:sz w:val="16"/>
          <w:szCs w:val="16"/>
        </w:rPr>
        <w:t xml:space="preserve">DDHC (p. 3), Préambule (p. 4) et Constitution (p. 6) sont à quelques feuilles d’intervalle : ils ne se distinguent que par la hauteur. Respecte strictement les positions du bloc L1.</w:t>
      </w:r>
    </w:p>
    <w:p>
      <w:pPr>
        <w:spacing w:after="30"/>
        <w:ind w:left="280" w:hanging="200"/>
      </w:pPr>
      <w:r>
        <w:rPr>
          <w:b/>
          <w:bCs/>
          <w:color w:val="1F3864"/>
          <w:sz w:val="16"/>
          <w:szCs w:val="16"/>
        </w:rPr>
        <w:t xml:space="preserve">▪ </w:t>
      </w:r>
      <w:r>
        <w:rPr>
          <w:b/>
          <w:bCs/>
          <w:sz w:val="16"/>
          <w:szCs w:val="16"/>
        </w:rPr>
        <w:t xml:space="preserve">La Conv. EDH tient en 11 pages pour 12 onglets. </w:t>
      </w:r>
      <w:r>
        <w:rPr>
          <w:color w:val="404040"/>
          <w:sz w:val="16"/>
          <w:szCs w:val="16"/>
        </w:rPr>
        <w:t xml:space="preserve">Tous sont quasiment à la même profondeur : c’est pour cela que le bloc L2 reçoit deux couloirs (C2 + C3, 112 mm, escalier de 6,3 mm). Pose les articles dans l’ordre, du haut vers le bas, puis les protocoles.</w:t>
      </w:r>
    </w:p>
    <w:p>
      <w:pPr>
        <w:spacing w:after="30"/>
        <w:ind w:left="280" w:hanging="200"/>
      </w:pPr>
      <w:r>
        <w:rPr>
          <w:b/>
          <w:bCs/>
          <w:color w:val="1F3864"/>
          <w:sz w:val="16"/>
          <w:szCs w:val="16"/>
        </w:rPr>
        <w:t xml:space="preserve">▪ </w:t>
      </w:r>
      <w:r>
        <w:rPr>
          <w:b/>
          <w:bCs/>
          <w:sz w:val="16"/>
          <w:szCs w:val="16"/>
        </w:rPr>
        <w:t xml:space="preserve">Les onglets « 2 » sont facultatifs. </w:t>
      </w:r>
      <w:r>
        <w:rPr>
          <w:color w:val="404040"/>
          <w:sz w:val="16"/>
          <w:szCs w:val="16"/>
        </w:rPr>
        <w:t xml:space="preserve">Si tu veux alléger, retire d’abord CEDH art. 19-51, Prot. 6 (+13), Extradition, CPT, Lanzarote, Conv. 108, Oviedo et Const. 88-1 : leurs documents restent atteints par l’onglet voisin. Les positions des autres onglets ne changent pas.</w:t>
      </w:r>
    </w:p>
    <w:sectPr>
      <w:pgSz w:w="16838" w:h="11906" w:orient="landscape"/>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2026-10-10T16:11:29.883Z</dcterms:created>
  <dcterms:modified xsi:type="dcterms:W3CDTF">2026-10-10T16:11:29.883Z</dcterms:modified>
</cp:coreProperties>
</file>

<file path=docProps/custom.xml><?xml version="1.0" encoding="utf-8"?>
<Properties xmlns="http://schemas.openxmlformats.org/officeDocument/2006/custom-properties" xmlns:vt="http://schemas.openxmlformats.org/officeDocument/2006/docPropsVTypes"/>
</file>