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34"/>
          <w:szCs w:val="34"/>
        </w:rPr>
        <w:t xml:space="preserve">Plan de pose des post-it — Oberdorff, Libertés fondamentales et droits de l’homme</w:t>
      </w:r>
    </w:p>
    <w:p>
      <w:pPr>
        <w:spacing w:after="40"/>
      </w:pPr>
      <w:r>
        <w:rPr>
          <w:i/>
          <w:iCs/>
          <w:color w:val="595959"/>
          <w:sz w:val="19"/>
          <w:szCs w:val="19"/>
        </w:rPr>
        <w:t xml:space="preserve">Recueil LGDJ, examen national 2026 · Grand Oral CRFPA  —  ÉTAPE 2 / 5 : Union européenne et Nations unies (N°17.1 à 38.2)</w:t>
      </w:r>
    </w:p>
    <w:p>
      <w:pPr>
        <w:spacing w:after="40"/>
      </w:pPr>
      <w:r>
        <w:rPr>
          <w:color w:val="404040"/>
          <w:sz w:val="16"/>
          <w:szCs w:val="16"/>
        </w:rPr>
        <w:t xml:space="preserve">41 onglets · 4 blocs (L4 à L7) · même méthode qu’à l’étape 1 : priorité fondée sur la fréquence réelle de chaque texte et de chaque article dans ton corpus, numéros de fiche vérifiés par script dans tes 56 fiches, décisions citées uniquement si elles figurent dans tes supports. Toujours l’arête latérale seule.</w:t>
      </w:r>
    </w:p>
    <w:p>
      <w:pPr>
        <w:spacing w:after="60" w:before="140"/>
      </w:pPr>
      <w:r>
        <w:rPr>
          <w:b/>
          <w:bCs/>
          <w:color w:val="1F3864"/>
          <w:sz w:val="22"/>
          <w:szCs w:val="22"/>
        </w:rPr>
        <w:t xml:space="preserve">Ce qui change avec les dimensions du livre (16 × 24 × 4,8 cm)</w:t>
      </w:r>
    </w:p>
    <w:p>
      <w:pPr>
        <w:spacing w:after="40"/>
      </w:pPr>
      <w:r>
        <w:rPr>
          <w:color w:val="404040"/>
          <w:sz w:val="16"/>
          <w:szCs w:val="16"/>
        </w:rPr>
        <w:t xml:space="preserve">Chaque onglet a désormais une position en millimètres (colonne « Haut de l’onglet »). Les positions de l’étape 1 ont été recalculées de la même façon : le Word de l’étape 1 est mis à jour.</w:t>
      </w:r>
    </w:p>
    <w:p>
      <w:pPr>
        <w:spacing w:after="30"/>
        <w:ind w:left="280" w:hanging="200"/>
      </w:pPr>
      <w:r>
        <w:rPr>
          <w:b/>
          <w:bCs/>
          <w:color w:val="1F3864"/>
          <w:sz w:val="16"/>
          <w:szCs w:val="16"/>
        </w:rPr>
        <w:t xml:space="preserve">▪ </w:t>
      </w:r>
      <w:r>
        <w:rPr>
          <w:b/>
          <w:bCs/>
          <w:sz w:val="16"/>
          <w:szCs w:val="16"/>
        </w:rPr>
        <w:t xml:space="preserve">Gabarit. </w:t>
      </w:r>
      <w:r>
        <w:rPr>
          <w:color w:val="404040"/>
          <w:sz w:val="16"/>
          <w:szCs w:val="16"/>
        </w:rPr>
        <w:t xml:space="preserve">Livre de 16 × 24 × 4,8 cm : hauteur utile 224 mm (8 mm de marge en tête et en pied), 4 couloirs de 56 mm : C1 de 8 à 64 mm, C2 de 64 à 120, C3 de 120 à 176, C4 de 176 à 232 mm du haut. Découpe une bande de carton de 24 cm, reporte les positions de la colonne « Haut de l’onglet » et sers-t’en comme règle pour chaque pose.</w:t>
      </w:r>
    </w:p>
    <w:p>
      <w:pPr>
        <w:spacing w:after="30"/>
        <w:ind w:left="280" w:hanging="200"/>
      </w:pPr>
      <w:r>
        <w:rPr>
          <w:b/>
          <w:bCs/>
          <w:color w:val="1F3864"/>
          <w:sz w:val="16"/>
          <w:szCs w:val="16"/>
        </w:rPr>
        <w:t xml:space="preserve">▪ </w:t>
      </w:r>
      <w:r>
        <w:rPr>
          <w:b/>
          <w:bCs/>
          <w:sz w:val="16"/>
          <w:szCs w:val="16"/>
        </w:rPr>
        <w:t xml:space="preserve">Onglets. </w:t>
      </w:r>
      <w:r>
        <w:rPr>
          <w:color w:val="404040"/>
          <w:sz w:val="16"/>
          <w:szCs w:val="16"/>
        </w:rPr>
        <w:t xml:space="preserve">Calcul fait pour des onglets de 12 mm de large (format Post-it Index étroit). Dépassement : 8 mm pour un onglet normal, 12 mm pour un phare ★. Écris le texte dans les 4 mm hauts : c’est la seule partie visible quand l’onglet suivant le recouvre.</w:t>
      </w:r>
    </w:p>
    <w:p>
      <w:pPr>
        <w:spacing w:after="30"/>
        <w:ind w:left="280" w:hanging="200"/>
      </w:pPr>
      <w:r>
        <w:rPr>
          <w:b/>
          <w:bCs/>
          <w:color w:val="1F3864"/>
          <w:sz w:val="16"/>
          <w:szCs w:val="16"/>
        </w:rPr>
        <w:t xml:space="preserve">▪ </w:t>
      </w:r>
      <w:r>
        <w:rPr>
          <w:b/>
          <w:bCs/>
          <w:sz w:val="16"/>
          <w:szCs w:val="16"/>
        </w:rPr>
        <w:t xml:space="preserve">Réutilisation d’un couloir. </w:t>
      </w:r>
      <w:r>
        <w:rPr>
          <w:color w:val="404040"/>
          <w:sz w:val="16"/>
          <w:szCs w:val="16"/>
        </w:rPr>
        <w:t xml:space="preserve">Un couloir n’est repris par un autre bloc qu’à plus de 5 mm d’épaisseur de distance (≈ 136 pages). Contrôle automatique sur les 156 onglets déjà prévus : 0 chevauchement.</w:t>
      </w:r>
    </w:p>
    <w:p>
      <w:pPr>
        <w:spacing w:after="60" w:before="140"/>
      </w:pPr>
      <w:r>
        <w:rPr>
          <w:b/>
          <w:bCs/>
          <w:color w:val="1F3864"/>
          <w:sz w:val="22"/>
          <w:szCs w:val="22"/>
        </w:rPr>
        <w:t xml:space="preserve">Occupation des couloirs — Partie I complète (étapes 1 et 2)</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1100"/>
        <w:gridCol w:w="1600"/>
        <w:gridCol w:w="2300"/>
        <w:gridCol w:w="1700"/>
        <w:gridCol w:w="1100"/>
        <w:gridCol w:w="1500"/>
        <w:gridCol w:w="1700"/>
        <w:gridCol w:w="4598"/>
      </w:tblGrid>
      <w:tr>
        <w:trPr>
          <w:tblHeader/>
        </w:trPr>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Bloc</w:t>
            </w:r>
          </w:p>
        </w:tc>
        <w:tc>
          <w:tcPr>
            <w:tcW w:type="dxa" w:w="16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Couleur</w:t>
            </w:r>
          </w:p>
        </w:tc>
        <w:tc>
          <w:tcPr>
            <w:tcW w:type="dxa" w:w="2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Pages</w:t>
            </w:r>
          </w:p>
        </w:tc>
        <w:tc>
          <w:tcPr>
            <w:tcW w:type="dxa" w:w="1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Couloir</w:t>
            </w:r>
          </w:p>
        </w:tc>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Onglets</w:t>
            </w:r>
          </w:p>
        </w:tc>
        <w:tc>
          <w:tcPr>
            <w:tcW w:type="dxa" w:w="15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Escalier</w:t>
            </w:r>
          </w:p>
        </w:tc>
        <w:tc>
          <w:tcPr>
            <w:tcW w:type="dxa" w:w="1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Hauteur (mm)</w:t>
            </w:r>
          </w:p>
        </w:tc>
        <w:tc>
          <w:tcPr>
            <w:tcW w:type="dxa" w:w="45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État</w:t>
            </w:r>
          </w:p>
        </w:tc>
      </w:tr>
      <w:tr>
        <w:tc>
          <w:tcPr>
            <w:tcW w:type="dxa" w:w="11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1F4E79"/>
                <w:sz w:val="15"/>
                <w:szCs w:val="15"/>
              </w:rPr>
              <w:t xml:space="preserve">L1</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BLEU MARINE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3 à 30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C0504D"/>
                <w:sz w:val="15"/>
                <w:szCs w:val="15"/>
              </w:rPr>
              <w:t xml:space="preserve">L2</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3"/>
                <w:szCs w:val="13"/>
              </w:rPr>
              <w:t xml:space="preserve">ROUGE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31 à 53</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 + 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17</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C55A11"/>
                <w:sz w:val="15"/>
                <w:szCs w:val="15"/>
              </w:rPr>
              <w:t xml:space="preserve">L3</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55A11"/>
                <w:sz w:val="13"/>
                <w:szCs w:val="13"/>
              </w:rPr>
              <w:t xml:space="preserve">ORANGE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54 à 170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BF9000"/>
                <w:sz w:val="15"/>
                <w:szCs w:val="15"/>
              </w:rPr>
              <w:t xml:space="preserve">L4</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BF9000"/>
                <w:sz w:val="13"/>
                <w:szCs w:val="13"/>
              </w:rPr>
              <w:t xml:space="preserve">JAUNE / OR</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171 à 193</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11</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6B8E23"/>
                <w:sz w:val="15"/>
                <w:szCs w:val="15"/>
              </w:rPr>
              <w:t xml:space="preserve">L5</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6B8E23"/>
                <w:sz w:val="13"/>
                <w:szCs w:val="13"/>
              </w:rPr>
              <w:t xml:space="preserve">OLIVE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194 à 411</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120</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2E938A"/>
                <w:sz w:val="15"/>
                <w:szCs w:val="15"/>
              </w:rPr>
              <w:t xml:space="preserve">L6</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2E938A"/>
                <w:sz w:val="13"/>
                <w:szCs w:val="13"/>
              </w:rPr>
              <w:t xml:space="preserve">TURQUOISE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412 à 440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120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7030A0"/>
                <w:sz w:val="15"/>
                <w:szCs w:val="15"/>
              </w:rPr>
              <w:t xml:space="preserve">L7</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7030A0"/>
                <w:sz w:val="13"/>
                <w:szCs w:val="13"/>
              </w:rPr>
              <w:t xml:space="preserve">VIOLET</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441 à 602</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12</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3"/>
                <w:szCs w:val="13"/>
              </w:rPr>
              <w:t xml:space="preserve">plein (escalier minimal de 4 mm) — aucun ajout possible</w:t>
            </w:r>
          </w:p>
        </w:tc>
      </w:tr>
    </w:tbl>
    <w:p>
      <w:pPr>
        <w:spacing w:after="40"/>
      </w:pPr>
      <w:r>
        <w:rPr>
          <w:i/>
          <w:iCs/>
          <w:color w:val="595959"/>
          <w:sz w:val="16"/>
          <w:szCs w:val="16"/>
        </w:rPr>
        <w:t xml:space="preserve">La Partie I tient entièrement sur l’arête latérale. Le couloir C4 est plein dans le bloc L7 (ONU spécialisé) : si tu ajoutes un onglet à cet endroit, retire d’abord un onglet « 2 » du même bloc. La Partie II (étapes 3-4) commence p. 603, juste après le bloc L7 : son premier bloc évitera le couloir C4.</w:t>
      </w:r>
    </w:p>
    <w:p>
      <w:pPr>
        <w:spacing w:after="60" w:before="140"/>
      </w:pPr>
      <w:r>
        <w:rPr>
          <w:b/>
          <w:bCs/>
          <w:color w:val="1F3864"/>
          <w:sz w:val="22"/>
          <w:szCs w:val="22"/>
        </w:rPr>
        <w:t xml:space="preserve">Fréquences qui fondent les priorités</w:t>
      </w:r>
    </w:p>
    <w:p>
      <w:pPr>
        <w:spacing w:after="40"/>
      </w:pPr>
      <w:r>
        <w:rPr>
          <w:color w:val="404040"/>
          <w:sz w:val="16"/>
          <w:szCs w:val="16"/>
        </w:rPr>
        <w:t xml:space="preserve">Documents (score pondéré) : Charte UE 410 · RGPD 322 · PIDCP 278 · DUDH 269 · PIDESC 124 · TUE 107 · Comité des droits de l’homme 71 · Statut de Rome 59 · CIDE 57 · CDPH 47 · code Schengen 43 · Conv. Genève 37 · regroupement familial 37 · règlement asile 36 · CAT 34. Jamais cités dans tes supports : coopération policière et judiciaire (art. 82-88 TFUE, Europol, Eurojust, parquet européen), résidents de longue durée, 2e Protocole PIDCP, OIT 182 — ils sont atteints par l’onglet voisin.</w:t>
      </w:r>
    </w:p>
    <w:p>
      <w:pPr>
        <w:spacing w:after="40"/>
      </w:pPr>
      <w:r>
        <w:rPr>
          <w:color w:val="404040"/>
          <w:sz w:val="16"/>
          <w:szCs w:val="16"/>
        </w:rPr>
        <w:t xml:space="preserve">Articles : Charte UE art. 47 (48), 7 (30), 11 (21), 2 et 21 (20), 12 (17) · PIDCP art. 4 (22), 14 (18), 6 (14), 12 et 25 (13) · DUDH art. 3 (17), 20 (15) · PIDESC art. 11 (13) · CIDE art. 3-1 et 6 (9) · Conv. Genève art. 33 (9) · RGPD art. 6 (11).</w:t>
      </w:r>
    </w:p>
    <w:p>
      <w:pPr>
        <w:spacing w:after="60" w:before="140"/>
      </w:pPr>
      <w:r>
        <w:rPr>
          <w:b/>
          <w:bCs/>
          <w:color w:val="1F3864"/>
          <w:sz w:val="21"/>
          <w:szCs w:val="21"/>
        </w:rPr>
        <w:t xml:space="preserve">Légende</w:t>
      </w:r>
    </w:p>
    <w:p>
      <w:pPr>
        <w:spacing w:after="20"/>
      </w:pPr>
      <w:r>
        <w:rPr>
          <w:b/>
          <w:bCs/>
          <w:color w:val="6B4E00"/>
          <w:sz w:val="17"/>
          <w:szCs w:val="17"/>
          <w:shd w:fill="FFD24A" w:color="auto" w:val="clear"/>
        </w:rPr>
        <w:t xml:space="preserve"> ★ </w:t>
      </w:r>
      <w:r>
        <w:rPr>
          <w:color w:val="404040"/>
          <w:sz w:val="16"/>
          <w:szCs w:val="16"/>
        </w:rPr>
        <w:t xml:space="preserve">  onglet phare : à faire déborder davantage (les plus cités dans tes supports et annales).</w:t>
      </w:r>
    </w:p>
    <w:p>
      <w:pPr>
        <w:spacing w:after="20"/>
      </w:pPr>
      <w:r>
        <w:rPr>
          <w:b/>
          <w:bCs/>
          <w:color w:val="FFFFFF"/>
          <w:sz w:val="17"/>
          <w:szCs w:val="17"/>
          <w:shd w:fill="C0504D" w:color="auto" w:val="clear"/>
        </w:rPr>
        <w:t xml:space="preserve"> 1 </w:t>
      </w:r>
      <w:r>
        <w:rPr>
          <w:color w:val="404040"/>
          <w:sz w:val="16"/>
          <w:szCs w:val="16"/>
        </w:rPr>
        <w:t xml:space="preserve">  essentiel.</w:t>
      </w:r>
    </w:p>
    <w:p>
      <w:pPr>
        <w:spacing w:after="20"/>
      </w:pPr>
      <w:r>
        <w:rPr>
          <w:b/>
          <w:bCs/>
          <w:color w:val="808080"/>
          <w:sz w:val="17"/>
          <w:szCs w:val="17"/>
          <w:shd w:fill="F2F2F2" w:color="auto" w:val="clear"/>
        </w:rPr>
        <w:t xml:space="preserve"> 2 </w:t>
      </w:r>
      <w:r>
        <w:rPr>
          <w:color w:val="404040"/>
          <w:sz w:val="16"/>
          <w:szCs w:val="16"/>
        </w:rPr>
        <w:t xml:space="preserve">  complémentaire — à retirer en premier si un couloir sature.</w:t>
      </w:r>
    </w:p>
    <w:p>
      <w:pPr>
        <w:spacing w:after="20"/>
      </w:pPr>
      <w:r>
        <w:rPr>
          <w:b/>
          <w:bCs/>
          <w:color w:val="FFFFFF"/>
          <w:sz w:val="17"/>
          <w:szCs w:val="17"/>
          <w:shd w:fill="595959" w:color="auto" w:val="clear"/>
        </w:rPr>
        <w:t xml:space="preserve"> ⇄ </w:t>
      </w:r>
      <w:r>
        <w:rPr>
          <w:color w:val="404040"/>
          <w:sz w:val="16"/>
          <w:szCs w:val="16"/>
        </w:rPr>
        <w:t xml:space="preserve">  texte transversal (toutes libertés) : un seul onglet, sans numéro de fiche.</w:t>
      </w:r>
    </w:p>
    <w:p>
      <w:pPr>
        <w:spacing w:after="40"/>
      </w:pPr>
      <w:r>
        <w:rPr>
          <w:i/>
          <w:iCs/>
          <w:color w:val="595959"/>
          <w:sz w:val="16"/>
          <w:szCs w:val="16"/>
        </w:rPr>
        <w:t xml:space="preserve">« Haut de l’onglet » : distance entre la tête du livre (bord supérieur) et le bord supérieur de l’onglet, mesurée sur l’arête latérale ; (#n) = rang dans l’escalier du bloc. « ≈ p. » : page estimée d’un article à l’intérieur de son document ; pose l’onglet sur la page où l’article commence.</w:t>
      </w:r>
    </w:p>
    <w:p>
      <w:pPr>
        <w:spacing w:after="8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FFF2CC" w:color="auto" w:val="clear"/>
          </w:tcPr>
          <w:p>
            <w:pPr>
              <w:spacing w:after="20" w:before="50"/>
            </w:pPr>
            <w:r>
              <w:rPr>
                <w:b/>
                <w:bCs/>
                <w:color w:val="BF9000"/>
                <w:sz w:val="22"/>
                <w:szCs w:val="22"/>
              </w:rPr>
              <w:t xml:space="preserve">BLOC L4 — UNION EUROPÉENNE — DROITS FONDAMENTAUX</w:t>
            </w:r>
            <w:r>
              <w:rPr>
                <w:b/>
                <w:bCs/>
                <w:color w:val="BF9000"/>
                <w:sz w:val="15"/>
                <w:szCs w:val="15"/>
              </w:rPr>
              <w:t xml:space="preserve">     ■ JAUNE / OR  ·  p. 171 à 193  ·  11 onglets  ·  couloir C1 (8 à 64 mm du haut)  ·  escalier de 4,4 mm</w:t>
            </w:r>
          </w:p>
          <w:p>
            <w:pPr>
              <w:spacing w:after="40"/>
            </w:pPr>
            <w:r>
              <w:rPr>
                <w:i/>
                <w:iCs/>
                <w:color w:val="BF9000"/>
                <w:sz w:val="15"/>
                <w:szCs w:val="15"/>
              </w:rPr>
              <w:t xml:space="preserve">↳ Manuel OB, Partie III — fiche 15 (droit de l’Union), relais fiche 23 (CJUE)</w:t>
            </w:r>
          </w:p>
        </w:tc>
      </w:tr>
      <w:tr>
        <w:trPr>
          <w:tblHeader/>
        </w:trPr>
        <w:tc>
          <w:tcPr>
            <w:tcW w:type="dxa" w:w="46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N°17.1 TUE art. 1–7 (15·8)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N°17.1 · p. 171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Valeurs (art. 2), Charte, CEDH et principes généraux (art. 6), sanction des violations graves (art. 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15 · 8 · 23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UE (N°17.2) · art. 88-1 C. (N°3.1) · Conv. EDH (N°4.1)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 : la Charte a la valeur des traités depuis Lisbonne ; adhésion à la CEDH bloquée par l’avis 2/13 (2014) ; principes généraux (Internationale Handelsgesellschaft, 1970 ; Nold, 1974). Art. 2 et 7 : crise de l’État de droit (fiche 8), Commission c. Pologne (indépendance des juges).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préamb.–art. 5 (26·27·28·29)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p. 174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12,4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Préambule · Titre I Dignité : dignité (1), vie (2), intégrité et bioéthique (3), torture (4), esclavage et traite (5)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5 · 26 · 27 · 28 · 29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2-4 (N°4.1) · Oviedo (N°16.1) · CAT (N°30.1) · dir. traite (N°17.5)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Omega (CJUE, 2004) : la dignité, valeur commune, peut justifier une restriction à une liberté économique. Art. 3 : consentement libre et éclairé, interdiction de l’eugénisme et du clonage reproductif. Art. 4 ↔ art. 3 CEDH (M.S.S., Tarakhel : transferts Dublin, fiche 53).</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6–9 (30·33·35·34)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175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16,8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Liberté et sûreté (6), vie privée et familiale (7), données personnelles (8), mariage et famille (9)</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30 · 33 · 35 · 34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5, 8, 12 · RGPD (N°22) · loi 1978 (N°73.1) · art. 17 PIDCP (N°24.1)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7-8 : Digital Rights Ireland (2014) et La Quadrature du Net (2020) — pas de conservation généralisée des données ; Google Spain (2014, déréférencement) ; Schrems (2015, 2020). CE Ass., French Data Network (2021).</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10–13 (36·37·38·39)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176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21,2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Pensée et religion (10), expression et information (11), réunion et association (12), arts et sciences (13)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36 · 37 · 38 · 39 · 52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9-11 · DDHC art. 10-11 · PIDCP art. 18-22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10 : Achbita et WABE (neutralité dans l’entreprise), Egenberger (entreprises de tendance). Art. 11 § 2 : liberté et pluralisme des médias.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14–19 (47·46·53·43)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176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25,6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Éducation (14), profession (15), entreprise (16), propriété (17), asile (18), éloignement et extradition (19)</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47 · 41 · 50 · 45 · 46 · 53 · 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1 (N°4.2) · Prot. 4 art. 4 (N°4.3) · Conv. Genève (N°31) · règl. asile (N°21.2)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18-19 : non-refoulement ; Elgafaji (2009, protection subsidiaire). Côté mandat d’arrêt européen : Melloni (2013), Aranyosi (2016) (N°19.5). Art. 17 § 2 : propriété intellectuelle.</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20–26 (54·55·56)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177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30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Titre III Égalité : égalité (20), non-discrimination (21), diversité (22), égalité F/H (23), enfant (24), âgés (25), handicap (26)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54 · 55 · 56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14 et Prot. 12 CEDH · TFUE art. 19 et dir. 2000/43 (N°17.3-17.4) · dir. 2000/78 (N°20.3) · CIDE (N°34.1) · CDPH (N°36.1)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21 : Mangold (2005) et Kücükdeveci (2010), principe général de non-discrimination en raison de l’âge ; Egenberger (2018), effet direct horizontal de l’art. 21. Art. 23 : actions positives (fiche 56).</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27–38 (50·48·49·51)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178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34,4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Titre IV Solidarité : travailleurs (27-33), sécurité sociale et logement (34), santé (35), environnement (37), consommateurs (38)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50 · 48 · 49 · 51</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sociale (N°14) · PIDESC (N°25.1) · Préambule 1946 al. 5-11 (N°2) · Charte env. (N°3.2)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et « principes » (art. 52 § 5) : les principes ne sont invocables qu’à l’appui des actes qui les mettent en œuvre. Art. 31 § 2 (congés payés) : effet direct horizontal reconnu par la CJUE (2018).</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39–46 (42·40)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179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38,8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Titre V Citoyenneté : élections (39-40), bonne administration (41), documents (42), médiateur (43), pétition (44), circulation (45), protection diplomatique (46)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42 · 40 · 20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citoyenneté art. 20-21 TFUE (N°18.1) · dir. 2004/38 (N°18.4) · art. 88-3 C. · vote des citoyens UE (N°68.3-68.4)</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45 ↔ art. 21 TFUE : Grzelczyk (2001, « statut fondamental des ressortissants »), Ruiz Zambrano (2011, jouissance effective de l’essentiel des droits).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47–50 (31·32·23)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180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43,2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Titre VI Justice : recours effectif et tribunal impartial (47), présomption d’innocence (48), légalité des peines (49), ne bis in idem (50)</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31 · 32 · 23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6-7 et 13 · Prot. 7 art. 4 (N°4.5) · art. 16 DDHC · PIDCP art. 14-15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47, l’article de la Charte le plus cité dans tes supports : protection juridictionnelle effective et indépendance des juges (Commission c. Pologne). Contrairement à l’art. 6 CEDH, il n’est pas limité aux matières civile et pénale.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CHARTE art. 51–54 (15)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N°17.2 · ≈ p. 181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47,6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Titre VII : champ d’application (51), portée et interprétation (52), niveau de protection (53), abus de droit (54)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15 · 12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 TUE (N°17.1) · art. 53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51 : la Charte lie les États « lorsqu’ils mettent en œuvre le droit de l’Union » (Åkerberg Fransson, 2013). Art. 52 § 3 : même sens et même portée que la CEDH, protection plus étendue permise. Art. 53 : Melloni (2013).</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N°17.3–17.5 NON-DISCRIMINATION &amp; TRAITE (54·29)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N°17.3 · p. 183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52 mm  (#11)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Art. 19 TFUE · directive 2000/43/CE (race, origine ethnique) · directive 2011/36/UE (traite, N°17.5 p. 187)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4"/>
                <w:szCs w:val="14"/>
              </w:rPr>
              <w:t xml:space="preserve">54 · 56 · 29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art. 21 · dir. 2000/78 (N°20.3) · loi 2008-496 (N°59.1) · CERD (N°29) · Conv. Varsovie (N°9)</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La loi du 27 mai 2008 transpose la directive 2000/43 (définitions, aménagement de la preuve). Directive traite : prévention, poursuite, protection ; non-sanction des victimes contraintes (V.C.L. et A.N. c. RU, 2021).</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DCE4C8" w:color="auto" w:val="clear"/>
          </w:tcPr>
          <w:p>
            <w:pPr>
              <w:spacing w:after="20" w:before="50"/>
            </w:pPr>
            <w:r>
              <w:rPr>
                <w:b/>
                <w:bCs/>
                <w:color w:val="6B8E23"/>
                <w:sz w:val="22"/>
                <w:szCs w:val="22"/>
              </w:rPr>
              <w:t xml:space="preserve">BLOC L5 — UNION EUROPÉENNE — CITOYENNETÉ, COOPÉRATION PÉNALE, TRAVAIL, ASILE, DONNÉES</w:t>
            </w:r>
            <w:r>
              <w:rPr>
                <w:b/>
                <w:bCs/>
                <w:color w:val="6B8E23"/>
                <w:sz w:val="15"/>
                <w:szCs w:val="15"/>
              </w:rPr>
              <w:t xml:space="preserve">     ■ OLIVE  ·  p. 194 à 411  ·  10 onglets  ·  couloir C2 (64 à 120 mm du haut)  ·  escalier de 4,9 mm</w:t>
            </w:r>
          </w:p>
          <w:p>
            <w:pPr>
              <w:spacing w:after="40"/>
            </w:pPr>
            <w:r>
              <w:rPr>
                <w:i/>
                <w:iCs/>
                <w:color w:val="6B8E23"/>
                <w:sz w:val="15"/>
                <w:szCs w:val="15"/>
              </w:rPr>
              <w:t xml:space="preserve">↳ Manuel OB, Partie III — fiche 15, relais fiches 40 (circulation), 43 (éloignement), 53 (asile), 35 (données)</w:t>
            </w:r>
          </w:p>
        </w:tc>
      </w:tr>
      <w:tr>
        <w:trPr>
          <w:tblHeader/>
        </w:trPr>
        <w:tc>
          <w:tcPr>
            <w:tcW w:type="dxa" w:w="46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N°18.1–18.2 CITOYENNETÉ UE (40·42)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N°18.1 · p. 194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Citoyenneté : art. 9 TUE, 20-21 TFUE · pétition et médiateur : art. 227-228 TFUE (N°18.2)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40 · 42 · 44 · 15 · 25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art. 39-46 (N°17.2) · dir. 2004/38 (N°18.4) · vote des citoyens UE (N°68.3-68.4)</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Grzelczyk (2001) ; Ruiz Zambrano (2011) ; Commission c. Malte (2025) : les « passeports dorés » méconnaissent le lien de solidarité propre à la citoyenneté (fiche 12).</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N°18.3 SCHENGEN (40·53)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N°18.3 · p. 196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68,9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Code frontières Schengen — règlement (UE) 2016/399 modifié</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40 · 53 · 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4 art. 2 (N°4.3) · art. 77 TFUE (N°21.1) · CESEDA (N°67)</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Réintroduction des contrôles aux frontières intérieures : exceptionnelle et limitée dans le temps (CE, 7 mars 2025). Refus d’entrée et liberté d’aller et venir (fiche 40).</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N°18.4 DIR. 2004/38 (40)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N°18.4 · p. 233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73,8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Directive 2004/38/CE — circulation et séjour des citoyens de l’Union et de leur famille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40 · 34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CESEDA citoyens UE (N°68.1) · Charte art. 45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Séjour de plus de trois mois sous condition de ressources ; Coman (2018) : le conjoint de même sexe est un « conjoint » au sens de la directive.</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N°19.5 MANDAT D’ARRÊT EUROPÉEN (43)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N°19.5 · p. 305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78,7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Décision-cadre du 13 juin 2002 — sous-section coopération pénale (N°19.1 à 19.6)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43 · 15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extradition (N°5, N°66) · Charte art. 47-48 · art. 3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Melloni (2013) ; Aranyosi et Căldăraru (2016) : report ou refus de la remise en cas de risque réel de traitement inhumain. 2013-314 QPC (Jeremy F.) : premier renvoi préjudiciel du Conseil constitutionnel.</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N°20.2–20.3 ÉGALITÉ AU TRAVAIL (54·56)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N°20.2 · p. 323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83,6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Art. 157 TFUE (égalité de rémunération F/H) · directive 2000/78/CE (égalité en matière d’emploi)</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54 · 56 · 36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art. 21 et 23 · dir. 2000/43 (N°17.4) · C. trav. L.1132-1 (N°59.2) et L.3221-1 (N°62.4)</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 2000/78 : religion, handicap, âge, orientation sexuelle — Achbita et WABE (neutralité), Egenberger (tendance), Mangold (âge). Art. 157 § 4 : actions positives (fiche 56).</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N°21.2 ASILE &amp; MIGRATION (53)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N°21.2 · p. 333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88,4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Règlement (UE) 2024/1351 (Pacte sur la migration et l’asile) — art. 77-80 TFUE juste avant (N°21.1, p. 331)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53 · 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Genève (N°31) · Charte art. 18-19 · CESEDA asile (N°67.5) · al. 4 Préambule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Succède au système de Dublin. Transferts : M.S.S. c. Belgique et Grèce (2011), Tarakhel (2014) — défaillances systémiques. Art. 78 TFUE : politique commune d’asile.</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N°21.3 REGROUPEMENT FAMILIAL (34·53)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N°21.3 · p. 361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93,3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Directive 2003/86/CE — regroupement familial</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34 · 53 · 43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8 · al. 10 Préambule · CESEDA (N°67.1)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de mener une vie familiale normale (93-325 DC) ; proportionnalité de l’atteinte à la vie familiale (CE, Belgacem et Babas, 1991).</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N°21.5 DIRECTIVE « RETOUR » (43)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N°21.5 · p. 380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98,2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Directive 2008/115/CE — retour des étrangers en séjour irrégulier (N°21.4 résidents de longue durée, p. 369, sans onglet)</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43 · 30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CESEDA OQTF et rétention (N°67.2-67.4) · Conv. EDH art. 5 et 8</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Priorité au départ volontaire, rétention en dernier recours sous contrôle juridictionnel ; la CJUE a exclu l’emprisonnement pour simple séjour irrégulier (2011).</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N°22 RGPD art. 1–11 (35)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N°22 · p. 389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103,1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RGPD : objet, définitions, principes (5), licéité (6), consentement (7-8), données sensibles (9)</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35 · 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1978 (N°73.1) · Conv. 108 (N°15.1) · Charte art. 8 · Conv. EDH art. 8</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Licéité, loyauté, transparence, minimisation, exactitude, limitation de la conservation ; art. 9 : données sensibles (santé, religion, opinions). Transferts hors UE (art. 44 s.) : Schrems (2015, 2020). Sanctions (art. 83).</w:t>
            </w:r>
          </w:p>
        </w:tc>
      </w:tr>
      <w:tr>
        <w:tc>
          <w:tcPr>
            <w:tcW w:type="dxa" w:w="460"/>
            <w:tcBorders>
              <w:top w:val="single" w:color="BFBFBF" w:sz="2"/>
              <w:left w:val="single" w:color="BFBFBF" w:sz="2"/>
              <w:bottom w:val="single" w:color="BFBFBF" w:sz="2"/>
              <w:right w:val="single" w:color="BFBFBF" w:sz="2"/>
            </w:tcBorders>
            <w:shd w:fill="6B8E23"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RGPD art. 12–23 (35)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N°22 · ≈ p. 396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108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Droits de la personne : information, accès, rectification, effacement (17), portabilité, opposition (21), décision automatisée (22)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B8E23"/>
                <w:sz w:val="14"/>
                <w:szCs w:val="14"/>
              </w:rPr>
              <w:t xml:space="preserve">35 · 4 · 33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art. 8 · loi 1978 (N°73.1) · fichiers du CSI (N°73.2)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17 « droit à l’oubli », dans le prolongement de Google Spain (2014). Art. 22 : décision fondée exclusivement sur un traitement automatisé (fiche 4, intelligence artificielle).</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D6F0EE" w:color="auto" w:val="clear"/>
          </w:tcPr>
          <w:p>
            <w:pPr>
              <w:spacing w:after="20" w:before="50"/>
            </w:pPr>
            <w:r>
              <w:rPr>
                <w:b/>
                <w:bCs/>
                <w:color w:val="2E938A"/>
                <w:sz w:val="22"/>
                <w:szCs w:val="22"/>
              </w:rPr>
              <w:t xml:space="preserve">BLOC L6 — NATIONS UNIES — DUDH ET PACTES DE 1966</w:t>
            </w:r>
            <w:r>
              <w:rPr>
                <w:b/>
                <w:bCs/>
                <w:color w:val="2E938A"/>
                <w:sz w:val="15"/>
                <w:szCs w:val="15"/>
              </w:rPr>
              <w:t xml:space="preserve">     ■ TURQUOISE  ·  p. 412 à 440  ·  8 onglets  ·  couloir C3 (120 à 176 mm du haut)  ·  escalier de 6,3 mm</w:t>
            </w:r>
          </w:p>
          <w:p>
            <w:pPr>
              <w:spacing w:after="40"/>
            </w:pPr>
            <w:r>
              <w:rPr>
                <w:i/>
                <w:iCs/>
                <w:color w:val="2E938A"/>
                <w:sz w:val="15"/>
                <w:szCs w:val="15"/>
              </w:rPr>
              <w:t xml:space="preserve">↳ Manuel OB, Partie III — fiche 13 (droit onusien), relais fiche 21 (comités onusiens)</w:t>
            </w:r>
          </w:p>
        </w:tc>
      </w:tr>
      <w:tr>
        <w:trPr>
          <w:tblHeader/>
        </w:trPr>
        <w:tc>
          <w:tcPr>
            <w:tcW w:type="dxa" w:w="46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595959" w:color="auto" w:val="clear"/>
          </w:tcPr>
          <w:p>
            <w:pPr>
              <w:spacing w:after="16" w:before="16"/>
              <w:jc w:val="center"/>
            </w:pPr>
            <w:r>
              <w:rPr>
                <w:b/>
                <w:bCs/>
                <w:i w:val="false"/>
                <w:iCs w:val="false"/>
                <w:color w:val="FFFFFF"/>
                <w:sz w:val="16"/>
                <w:szCs w:val="16"/>
              </w:rPr>
              <w:t xml:space="preserve">⇄</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N°23 DUDH</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N°23 · p. 412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120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Déclaration universelle des droits de l’homme (10 décembre 1948)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13 · 5 · toutes</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DDHC (N°1) · PIDCP (N°24.1) · PIDESC (N°25.1) · Conv. EDH (N°4.1)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Résolution sans force obligatoire, socle des Pactes. Mini-index : art. 1er dignité f.5 · 3 vie f.26 · 4-5 f.29/28 · 12 vie privée f.33 · 13 circulation f.40 · 14 asile f.53 · 17 propriété f.46 · 19 expression f.37 · 20 réunion, association f.38-39 · 21 élections f.42 · 23 travail f.50 · 25 santé, logement f.48/51 · 26 éducation f.47 · 27 culture f.52.</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PIDCP art. 1–5 (44·7)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N°24.1 · p. 415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126,3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Autodétermination des peuples (1), obligations des États (2), égalité F/H (3), dérogations (4), abus (5)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44 · 7 · 13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15 CEDH (N°4.1) · art. 16 C. · art. 1er PIDESC (N°25.1)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4, l’article du Pacte le plus cité dans tes supports : dérogation en cas de danger public exceptionnel, avec un noyau indérogeable plus large que celui de l’art. 15 CEDH. Art. 1er commun aux deux Pactes (fiche 44).</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PIDCP art. 6–11 (26·28·29·30)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N°24.1 · ≈ p. 416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132,6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Vie (6), torture (7), esclavage (8), liberté et sûreté (9), détenus (10), prison pour dettes (11)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26 · 28 · 29 · 30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2-5 · 2e Protocole (N°24.3) · CAT (N°30.1)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 : Observation générale n° 36 (2018) du Comité des droits de l’homme. Art. 10 : traitement avec humanité des personnes privées de liberté, plus explicite que la CEDH.</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PIDCP art. 12–16 (40·43·31·32)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N°24.1 · ≈ p. 418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138,9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Circulation (12), expulsion des étrangers (13), procès équitable (14), légalité pénale (15), personnalité juridique (16)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40 · 43 · 31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4 et 7 (N°4.3, 4.5) · Conv. EDH art. 6-7 · Charte art. 47-50</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14 : garanties du procès équitable, dont le ne bis in idem (§ 7). Art. 12 § 4 : nul ne peut être arbitrairement privé du droit d’entrer dans son propre pays.</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PIDCP art. 17–22 (33·36·37·38·39)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N°24.1 · ≈ p. 419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145,1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Vie privée (17), religion (18), expression (19), propagande et haine (20), réunion (21), association et syndicat (22)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33 · 36 · 37 · 38 · 39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8-11 · Charte art. 7, 10-12 · DDHC art. 10-11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Comité des droits de l’homme contre la France : F.A. (Baby Loup, 2018) et Hebbadj et Yaker (2018, voile intégral), en sens contraire de S.A.S. c. France. Art. 20 : interdiction de l’appel à la haine.</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PIDCP art. 23–27 (34·42·54·55)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N°24.1 · ≈ p. 421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151,4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Famille (23), enfant (24), élections (25), égalité (26), minorités (27)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34 · 42 · 54 · 55 · 52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12 et 14 · Prot. 1 art. 3 · Prot. 12 · CIDE (N°34.1)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26 : clause autonome d’égalité, à la différence de l’art. 14 CEDH. Art. 27 : déclaration française (pas de minorités au sens de l’article, art. 1er C.).</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N°24.2–24.3 COMITÉ DH (21·26)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N°24.2 · p. 427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157,7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Protocole facultatif (communications individuelles) · 2e Protocole, abolition de la peine de mort (N°24.3)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21 · 26 · 13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PIDCP art. 28 s. · Prot. 6 et 13 CEDH (N°4.4) · art. 66-1 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Constatations du Comité : non contraignantes, mais à prendre en considération de bonne foi (Baby Loup, voile intégral, 2018).</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N°25.1 PIDESC art. 6–15 (50·48·51·47)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N°25.1 · ≈ p. 431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164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PIDESC : travail (6-8), sécurité sociale et famille (9-10), niveau de vie et logement (11), santé (12), éducation (13-14), culture (15)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4"/>
                <w:szCs w:val="14"/>
              </w:rPr>
              <w:t xml:space="preserve">50 · 48 · 51 · 47 · 52 · 13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Préambule 1946 (N°2) · Charte sociale (N°14) · Charte UE titre IV · protocole PIDESC (N°25.2, p. 436)</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Réalisation progressive (art. 2 § 1) ; effet direct apprécié stipulation par stipulation (CE Ass., GISTI, 11 avril 2012). Art. 11 : logement (fiche 51) ; art. 15 : culture (fiche 52).</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E6E0F0" w:color="auto" w:val="clear"/>
          </w:tcPr>
          <w:p>
            <w:pPr>
              <w:spacing w:after="20" w:before="50"/>
            </w:pPr>
            <w:r>
              <w:rPr>
                <w:b/>
                <w:bCs/>
                <w:color w:val="7030A0"/>
                <w:sz w:val="22"/>
                <w:szCs w:val="22"/>
              </w:rPr>
              <w:t xml:space="preserve">BLOC L7 — NATIONS UNIES — CONVENTIONS SPÉCIALISÉES</w:t>
            </w:r>
            <w:r>
              <w:rPr>
                <w:b/>
                <w:bCs/>
                <w:color w:val="7030A0"/>
                <w:sz w:val="15"/>
                <w:szCs w:val="15"/>
              </w:rPr>
              <w:t xml:space="preserve">     ■ VIOLET  ·  p. 441 à 602  ·  12 onglets  ·  couloir C4 (176 à 232 mm du haut)  ·  escalier de 4 mm</w:t>
            </w:r>
          </w:p>
          <w:p>
            <w:pPr>
              <w:spacing w:after="40"/>
            </w:pPr>
            <w:r>
              <w:rPr>
                <w:i/>
                <w:iCs/>
                <w:color w:val="7030A0"/>
                <w:sz w:val="15"/>
                <w:szCs w:val="15"/>
              </w:rPr>
              <w:t xml:space="preserve">↳ Manuel OB, Partie III — fiche 13, relais fiche 21 (comités) et fiches 53 (asile), 34-47 (enfant), 55 (vulnérabilités)</w:t>
            </w:r>
          </w:p>
        </w:tc>
      </w:tr>
      <w:tr>
        <w:trPr>
          <w:tblHeader/>
        </w:trPr>
        <w:tc>
          <w:tcPr>
            <w:tcW w:type="dxa" w:w="46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N°26.1–27 ESCLAVAGE &amp; TRAITE ONU (29)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N°26.1 · p. 441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176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Conventions de 1926 et 1956 sur l’esclavage · Convention de 1949 (traite et exploitation de la prostitution d’autrui)</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29 · 28</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4 · Conv. Varsovie (N°9) · loi Taubira (N°55.1) · loi 2016-444 (N°58.2)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Définition de l’esclavage par l’exercice des attributs du droit de propriété (1926), reprise par Siliadin (2005). La Convention de 1949 inspire l’approche abolitionniste de la loi de 2016.</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N°28–29 GÉNOCIDE · CERD (37·54·21)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N°28 · p. 450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180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sur le génocide (1948) · CERD, élimination de la discrimination raciale (1965, N°29 p. 451)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37 · 54 · 21 · 31</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Statut de Rome art. 6 (N°37) · C. pén. 211-1 (N°57) · génocide arménien (N°56) · loi 2008-496 (N°59.1)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Négationnisme : 2012-647 DC, 2016-745 DC, Perinçek (fiche 37). CERD art. 4 : obligation de réprimer l’appel à la haine raciale ; Comité CERD (fiche 21).</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N°30.1 CAT ONU (28·21)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N°30.1 · p. 458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184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contre la torture (1984) · protocole facultatif, Sous-comité de prévention (N°30.2, p. 465)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28 · 21</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3 CEDH · CPT (N°7) · CGLPL, mécanisme national de prévention (N°52.5)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Définition de la torture (art. 1er : douleur aiguë, intention, agent public) ; non-refoulement (art. 3) ; compétence universelle (art. 5-7). Comité contre la torture (fiche 21).</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N°31 CONV. GENÈVE (53·43)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N°31 · p. 472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188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de Genève relative au statut des réfugiés (1951)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53 · 43 · 12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UE art. 18-19 · règl. asile (N°21.2) · CESEDA asile (N°67.5) · al. 4 Préambule · art. 53-1 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1er A 2 : définition du réfugié (crainte fondée de persécution) ; art. 33 : non-refoulement, l’article le plus cité. Asile constitutionnel, conventionnel et protection subsidiaire : 93-325 DC.</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N°32 APATRIDES (53·55)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N°32 · p. 480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192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relative au statut des apatrides (1954)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53 · 55 · 13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Genève (N°31) · art. 15 DUDH · CESEDA (N°67.5)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L’OFPRA reconnaît aussi la qualité d’apatride. Utile sur les sujets de nationalité (déchéance) et de vulnérabilité.</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N°33.1 CEDEF (56·54·21)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N°33.1 · p. 486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196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sur l’élimination des discriminations à l’égard des femmes (1979) · protocole (N°33.2, p. 493)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56 · 54 · 21 · 29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UE art. 23 · Conv. Istanbul (N°13) · parité art. 1er C. (N°62.1) · loi 2014-873 (N°62.2)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4 : mesures temporaires spéciales, fondement international des actions positives (fiche 56). Comité CEDEF (fiche 21).</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N°34.1 CIDE art. 1–12 (34·47·30)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N°34.1 · p. 496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200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CIDE : intérêt supérieur de l’enfant (3-1), vie (6), nom et nationalité (7-8), séparation des parents (9), opinion de l’enfant (12)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34 · 47 · 30 · 55 · 26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8 · Charte UE art. 24 · droits de l’enfant en droit interne (N°61) · Lanzarote (N°12.1)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Effet direct de l’art. 3-1 : CE, 22 septembre 1997, Cinar ; Cass. 1re civ., 18 mai 2005. Exigence constitutionnelle de protection de l’intérêt supérieur de l’enfant : 2018-768 QPC (tests osseux).</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CIDE art. 13–41 (47·30)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N°34.1 · ≈ p. 501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204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Éducation (28-29), protection contre l’exploitation, mineurs privés de liberté (37), justice pénale des mineurs (40) · protocoles et OIT 182 (N°34.2 à 34.4)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47 · 30 · 32 · 29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CJPM (N°61.3-61.4) · Prot. 1 art. 2 · PIDESC art. 13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37 : la détention d’un enfant n’est qu’une mesure de dernier ressort. Art. 40 : justice pénale spécialisée — PFRLR de la justice des mineurs (2002-461 DC).</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N°35.1–35.2 LA HAYE (34)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N°35.1 · p. 517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208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Conventions de La Haye : adoption internationale (1993) · enlèvement international d’enfants (1980, N°35.2 p. 522)</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34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adoption internationale C. civ. 370-2 s. (N°61.7) · CIDE art. 9-11 et 21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Enlèvement : retour immédiat de l’enfant, sauf risque grave (art. 13 b), à concilier avec l’art. 8 CEDH.</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N°36.1 CDPH (55·47·21)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N°36.1 · p. 528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212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Convention relative aux droits des personnes handicapées (2006) · protocole (N°36.2, p. 544)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55 · 47 · 21 · 54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UE art. 26 · CASF L.114 s. (N°60.1) · dir. 2000/78 (N°20.3)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Aménagement raisonnable ; passage d’un modèle médical à un modèle social du handicap ; scolarisation des enfants handicapés (CE, Laruelle, 2009, fiche 47).</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N°37 STATUT DE ROME — CPI (13)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N°37 · p. 546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216 mm  (#11)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Statut de la Cour pénale internationale (1998) : génocide (6), crimes contre l’humanité (7), crimes de guerre (8), agression (8 bis)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13 · 26 · 29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coopération avec la CPI, CPP 627 s. (N°46) · C. pén. 211-1 s. (N°57) · Conv. génocide (N°28)</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Peu traité dans tes fiches (mentions isolées) : à connaître pour la complémentarité (art. 17) et l’imprescriptibilité (art. 29). Rattaché par thème à la fiche 13.</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N°38.1–38.2 BIOÉTHIQUE UNESCO (27)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N°38.1 · p. 591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220 mm  (#12)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Déclarations universelles sur le génome humain (1997) et sur la bioéthique et les droits de l’homme (2005)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4"/>
                <w:szCs w:val="14"/>
              </w:rPr>
              <w:t xml:space="preserve">27 · 26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Oviedo (N°16.1) · C. civ. 16 s. (N°85-86) · CSP (N°88-91)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souple ; le génome humain est déclaré « patrimoine de l’humanité » (sens symbolique). Non citées dans tes fiches.</w:t>
            </w:r>
          </w:p>
        </w:tc>
      </w:tr>
    </w:tbl>
    <w:p>
      <w:pPr>
        <w:spacing w:after="140"/>
      </w:pPr>
    </w:p>
    <w:p>
      <w:pPr>
        <w:spacing w:after="60" w:before="140"/>
      </w:pPr>
      <w:r>
        <w:rPr>
          <w:b/>
          <w:bCs/>
          <w:color w:val="1F3864"/>
          <w:sz w:val="22"/>
          <w:szCs w:val="22"/>
        </w:rPr>
        <w:t xml:space="preserve">Couverture exhaustive des N°17.1 à 38.2</w:t>
      </w:r>
    </w:p>
    <w:p>
      <w:pPr>
        <w:spacing w:after="40"/>
      </w:pPr>
      <w:r>
        <w:rPr>
          <w:color w:val="404040"/>
          <w:sz w:val="16"/>
          <w:szCs w:val="16"/>
        </w:rPr>
        <w:t xml:space="preserve">52 documents : 27 portent un onglet, 25 sont atteints par l’onglet voisin indiqué.</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900"/>
        <w:gridCol w:w="7300"/>
        <w:gridCol w:w="700"/>
        <w:gridCol w:w="6698"/>
      </w:tblGrid>
      <w:tr>
        <w:trPr>
          <w:tblHeader/>
        </w:trPr>
        <w:tc>
          <w:tcPr>
            <w:tcW w:type="dxa" w:w="9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N°</w:t>
            </w:r>
          </w:p>
        </w:tc>
        <w:tc>
          <w:tcPr>
            <w:tcW w:type="dxa" w:w="7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Document</w:t>
            </w:r>
          </w:p>
        </w:tc>
        <w:tc>
          <w:tcPr>
            <w:tcW w:type="dxa" w:w="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w:t>
            </w:r>
          </w:p>
        </w:tc>
        <w:tc>
          <w:tcPr>
            <w:tcW w:type="dxa" w:w="66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Onglet(s)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17.1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TUE art. 1 à 7 — valeurs et objectifs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171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N°17.1 TUE art. 1–7 (15·8)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17.2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des droits fondamentaux de l'UE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174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CHARTE préamb.–art. 5 (26·27·28·29)  ·  CHARTE art. 6–9 (30·33·35·34)  ·  CHARTE art. 10–13 (36·37·38·39)  ·  CHARTE art. 14–19 (47·46·53·43)  ·  CHARTE art. 20–26 (54·55·56)  ·  CHARTE art. 27–38 (50·48·49·51)  ·  CHARTE art. 39–46 (42·40)  ·  CHARTE art. 47–50 (31·32·23)  ·  CHARTE art. 51–54 (15)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17.3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TFUE art. 19 — lutte contre les discriminations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183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N°17.3–17.5 NON-DISCRIMINATION &amp; TRAITE (54·29)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17.4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2000/43/CE — égalité race/origine ethnique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183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même page que N°17.3 → onglet « N°17.3–17.5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17.5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2011/36/UE — traite des êtres humains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187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N°17.3–17.5 » (p. 187)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18.1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Citoyenneté UE — art. 9 TUE, 20-21 TFUE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194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N°18.1–18.2 CITOYENNETÉ UE (40·42)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18.2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Pétition et médiateur — art. 227-228 TFUE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195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N°18.1–18.2 » (p. 195)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18.3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Code frontières Schengen — règl. 2016/399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196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N°18.3 SCHENGEN (40·53)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18.4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2004/38/CE — libre circulation citoyens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233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N°18.4 DIR. 2004/38 (40)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19.1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Coopération judiciaire pénale — art. 82 TFUE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246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sans onglet : coopération pénale et policière, jamais citée dans tes supports — 59 pages avant « N°19.5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19.2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Coopération policière — art. 87-88 TFUE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247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idem (p. 247)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19.3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Europol — règl. 2016/794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248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idem — Europol (p. 248)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19.4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Eurojust — règl. 2018/1727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285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idem — Eurojust (p. 285), 20 pages avant « N°19.5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19.5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Mandat d'arrêt européen — décision-cadre 2002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305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N°19.5 MANDAT D’ARRÊT EUROPÉEN (43)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19.6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Parquet européen — règl. 2017/1939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317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12 pages après « N°19.5 » — parquet européen, jamais cité</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Libre circulation des travailleurs — art. 45-47 TFUE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322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1 page avant « N°20.2–20.3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Égalité de rémunération H/F — art. 151-161 TFUE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323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N°20.2–20.3 ÉGALITÉ AU TRAVAIL (54·56)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20.3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2000/78/CE — égalité en matière d'emploi</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326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N°20.2–20.3 » (p. 326)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21.1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Contrôles frontières, asile, immigration — art. 77-80 TFUE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331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2 pages avant « N°21.2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21.2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Règlement asile et gestion des migrations — 2024/1351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333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N°21.2 ASILE &amp; MIGRATION (53)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21.3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2003/86/CE — regroupement familial</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361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N°21.3 REGROUPEMENT FAMILIAL (34·53)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21.4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2003/109/CE — résidents longue durée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369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8 pages après « N°21.3 » — jamais citée dans tes fiches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21.5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 retour » 2008/115/CE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380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N°21.5 DIRECTIVE « RETOUR » (43)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RGPD — règl. 2016/679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389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N°22 RGPD art. 1–11 (35)  ·  RGPD art. 12–23 (35)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DUDH 10 décembre 1948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412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N°23 DUDH</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24.1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PIDCP 16 décembre 1966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415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PIDCP art. 1–5 (44·7)  ·  PIDCP art. 6–11 (26·28·29·30)  ·  PIDCP art. 12–16 (40·43·31·32)  ·  PIDCP art. 17–22 (33·36·37·38·39)  ·  PIDCP art. 23–27 (34·42·54·55)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24.2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facultatif PIDCP (communications)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427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N°24.2–24.3 COMITÉ DH (21·26)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24.3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2e Protocole PIDCP — abolition peine de mort (1989)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429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N°24.2–24.3 » (p. 429)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25.1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PIDESC 16 décembre 1966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430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N°25.1 PIDESC art. 6–15 (50·48·51·47)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25.2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facultatif PIDESC (2008)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436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5 pages après « N°25.1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26.1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relative à l'esclavage (Genève 1926)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441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N°26.1–27 ESCLAVAGE &amp; TRAITE ONU (29)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26.2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supplémentaire abolition de l'esclavage (1956)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443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N°26.1–27 » (p. 443)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répression traite et exploitation prostitution d'autrui (1949)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446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N°26.1–27 » (p. 446)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28</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prévention et répression du génocide (1948)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450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N°28–29 GÉNOCIDE · CERD (37·54·21)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29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CERD — élimination discrimination raciale (1965)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451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page suivante de « N°28–29 » (p. 451)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contre la torture ONU (1984)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458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N°30.1 CAT ONU (28·21)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facultatif CAT (2002)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465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N°30.1 CAT ONU » (p. 465)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de Genève — statut des réfugiés (1951)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472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N°31 CONV. GENÈVE (53·43)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statut des apatrides (1954)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480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N°32 APATRIDES (53·55)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33.1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CEDEF / CEDAW (1979)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486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N°33.1 CEDEF (56·54·21)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33.2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facultatif CEDEF (1999)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493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N°33.1 CEDEF » (p. 493)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34.1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CIDE — Convention relative aux droits de l'enfant (1989)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496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N°34.1 CIDE art. 1–12 (34·47·30)  ·  CIDE art. 13–41 (47·30)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34.2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CIDE — enfants dans les conflits armés (2000)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508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CIDE art. 13–41 » (p. 508)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34.3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CIDE — vente, prostitution, pornographie (2000)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510</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CIDE art. 13–41 » (p. 510)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34.4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OIT n°182 — pires formes de travail des enfants (1999)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514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CIDE art. 13–41 » (p. 514) — OIT 182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35.1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de La Haye — adoption internationale (1993)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517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N°35.1–35.2 LA HAYE (34)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35.2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de La Haye — enlèvement international d'enfants (1980)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522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N°35.1–35.2 LA HAYE » (p. 522)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36.1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droits des personnes handicapées (2006)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528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N°36.1 CDPH (55·47·21)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36.2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facultatif CDPH (2006)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544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N°36.1 CDPH » (p. 544)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Statut de Rome — CPI (1998)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546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N°37 STATUT DE ROME — CPI (13)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38.1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Déclaration universelle génome humain (1997)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591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N°38.1–38.2 BIOÉTHIQUE UNESCO (27)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38.2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Déclaration universelle bioéthique (2005)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595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N°38.1–38.2 » (p. 595)</w:t>
            </w:r>
          </w:p>
        </w:tc>
      </w:tr>
    </w:tbl>
    <w:p>
      <w:pPr>
        <w:spacing w:after="60" w:before="140"/>
      </w:pPr>
      <w:r>
        <w:rPr>
          <w:b/>
          <w:bCs/>
          <w:color w:val="1F3864"/>
          <w:sz w:val="22"/>
          <w:szCs w:val="22"/>
        </w:rPr>
        <w:t xml:space="preserve">Conseils de pose pour l’étape 2</w:t>
      </w:r>
    </w:p>
    <w:p>
      <w:pPr>
        <w:spacing w:after="30"/>
        <w:ind w:left="280" w:hanging="200"/>
      </w:pPr>
      <w:r>
        <w:rPr>
          <w:b/>
          <w:bCs/>
          <w:color w:val="1F3864"/>
          <w:sz w:val="16"/>
          <w:szCs w:val="16"/>
        </w:rPr>
        <w:t xml:space="preserve">▪ </w:t>
      </w:r>
      <w:r>
        <w:rPr>
          <w:b/>
          <w:bCs/>
          <w:sz w:val="16"/>
          <w:szCs w:val="16"/>
        </w:rPr>
        <w:t xml:space="preserve">Charte UE : 9 onglets en 8 pages. </w:t>
      </w:r>
      <w:r>
        <w:rPr>
          <w:color w:val="404040"/>
          <w:sz w:val="16"/>
          <w:szCs w:val="16"/>
        </w:rPr>
        <w:t xml:space="preserve">Ils découpent la Charte par titre (Dignité, Libertés en trois groupes, Égalité, Solidarité, Citoyenneté, Justice, Dispositions générales). Avec le TUE et les directives, le bloc L4 tient juste dans C1 (escalier de 4,4 mm). Respecte les positions au demi-millimètre.</w:t>
      </w:r>
    </w:p>
    <w:p>
      <w:pPr>
        <w:spacing w:after="30"/>
        <w:ind w:left="280" w:hanging="200"/>
      </w:pPr>
      <w:r>
        <w:rPr>
          <w:b/>
          <w:bCs/>
          <w:color w:val="1F3864"/>
          <w:sz w:val="16"/>
          <w:szCs w:val="16"/>
        </w:rPr>
        <w:t xml:space="preserve">▪ </w:t>
      </w:r>
      <w:r>
        <w:rPr>
          <w:b/>
          <w:bCs/>
          <w:sz w:val="16"/>
          <w:szCs w:val="16"/>
        </w:rPr>
        <w:t xml:space="preserve">PIDCP : 5 onglets par groupes d’articles. </w:t>
      </w:r>
      <w:r>
        <w:rPr>
          <w:color w:val="404040"/>
          <w:sz w:val="16"/>
          <w:szCs w:val="16"/>
        </w:rPr>
        <w:t xml:space="preserve">Le découpage suit tes fiches : 1-5 (peuples, dérogations), 6-11 (intégrité et sûreté), 12-16 (circulation, procès), 17-22 (libertés de l’esprit et collectives), 23-27 (famille, élections, égalité, minorités).</w:t>
      </w:r>
    </w:p>
    <w:p>
      <w:pPr>
        <w:spacing w:after="30"/>
        <w:ind w:left="280" w:hanging="200"/>
      </w:pPr>
      <w:r>
        <w:rPr>
          <w:b/>
          <w:bCs/>
          <w:color w:val="1F3864"/>
          <w:sz w:val="16"/>
          <w:szCs w:val="16"/>
        </w:rPr>
        <w:t xml:space="preserve">▪ </w:t>
      </w:r>
      <w:r>
        <w:rPr>
          <w:b/>
          <w:bCs/>
          <w:sz w:val="16"/>
          <w:szCs w:val="16"/>
        </w:rPr>
        <w:t xml:space="preserve">Bloc L7 au maximum. </w:t>
      </w:r>
      <w:r>
        <w:rPr>
          <w:color w:val="404040"/>
          <w:sz w:val="16"/>
          <w:szCs w:val="16"/>
        </w:rPr>
        <w:t xml:space="preserve">12 onglets dans C4 avec l’escalier minimal de 4 mm. Les 5 onglets « 2 » (esclavage ONU, apatrides, La Haye, CPI, UNESCO) peuvent être retirés sans déplacer les autres ; l’escalier redeviendrait confortable (≈ 7 mm) si tu recalcules sans eux.</w:t>
      </w:r>
    </w:p>
    <w:sectPr>
      <w:pgSz w:w="16838" w:h="11906" w:orient="landscape"/>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2026-10-10T16:11:29.997Z</dcterms:created>
  <dcterms:modified xsi:type="dcterms:W3CDTF">2026-10-10T16:11:29.997Z</dcterms:modified>
</cp:coreProperties>
</file>

<file path=docProps/custom.xml><?xml version="1.0" encoding="utf-8"?>
<Properties xmlns="http://schemas.openxmlformats.org/officeDocument/2006/custom-properties" xmlns:vt="http://schemas.openxmlformats.org/officeDocument/2006/docPropsVTypes"/>
</file>