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3864"/>
          <w:sz w:val="34"/>
          <w:szCs w:val="34"/>
        </w:rPr>
        <w:t xml:space="preserve">Plan de pose des post-it — Oberdorff, Libertés fondamentales et droits de l’homme</w:t>
      </w:r>
    </w:p>
    <w:p>
      <w:pPr>
        <w:spacing w:after="40"/>
      </w:pPr>
      <w:r>
        <w:rPr>
          <w:i/>
          <w:iCs/>
          <w:color w:val="595959"/>
          <w:sz w:val="19"/>
          <w:szCs w:val="19"/>
        </w:rPr>
        <w:t xml:space="preserve">Recueil LGDJ, examen national 2026 · Grand Oral CRFPA  —  ÉTAPE 3 / 5 : Partie II, sections A à D (N°39.1 à 68.4)</w:t>
      </w:r>
    </w:p>
    <w:p>
      <w:pPr>
        <w:spacing w:after="40"/>
      </w:pPr>
      <w:r>
        <w:rPr>
          <w:color w:val="404040"/>
          <w:sz w:val="16"/>
          <w:szCs w:val="16"/>
        </w:rPr>
        <w:t xml:space="preserve">35 onglets · 4 blocs (L8 à L11) · on entre dans la Partie II d’Oberdorff : le droit français, classé par thème. Même méthode : priorité fondée sur la fréquence réelle de chaque texte dans ton corpus, numéros de fiche vérifiés par script dans tes 56 fiches, décisions citées seulement si elles figurent dans tes supports. Toujours l’arête latérale seule.</w:t>
      </w:r>
    </w:p>
    <w:p>
      <w:pPr>
        <w:spacing w:after="60" w:before="140"/>
      </w:pPr>
      <w:r>
        <w:rPr>
          <w:b/>
          <w:bCs/>
          <w:color w:val="1F3864"/>
          <w:sz w:val="22"/>
          <w:szCs w:val="22"/>
        </w:rPr>
        <w:t xml:space="preserve">Comment la Partie II s’articule avec ce qui est déjà posé</w:t>
      </w:r>
    </w:p>
    <w:p>
      <w:pPr>
        <w:spacing w:after="30"/>
        <w:ind w:left="280" w:hanging="200"/>
      </w:pPr>
      <w:r>
        <w:rPr>
          <w:b/>
          <w:bCs/>
          <w:color w:val="1F3864"/>
          <w:sz w:val="16"/>
          <w:szCs w:val="16"/>
        </w:rPr>
        <w:t xml:space="preserve">▪ </w:t>
      </w:r>
      <w:r>
        <w:rPr>
          <w:b/>
          <w:bCs/>
          <w:sz w:val="16"/>
          <w:szCs w:val="16"/>
        </w:rPr>
        <w:t xml:space="preserve">Nouvelles couleurs. </w:t>
      </w:r>
      <w:r>
        <w:rPr>
          <w:color w:val="404040"/>
          <w:sz w:val="16"/>
          <w:szCs w:val="16"/>
        </w:rPr>
        <w:t xml:space="preserve">Ardoise, fuchsia, sable et vert : aucune n’a servi en Partie I, de sorte qu’un coup d’œil à la couleur suffit pour savoir si tu es dans les sources (Partie I) ou dans le droit français (Partie II).</w:t>
      </w:r>
    </w:p>
    <w:p>
      <w:pPr>
        <w:spacing w:after="30"/>
        <w:ind w:left="280" w:hanging="200"/>
      </w:pPr>
      <w:r>
        <w:rPr>
          <w:b/>
          <w:bCs/>
          <w:color w:val="1F3864"/>
          <w:sz w:val="16"/>
          <w:szCs w:val="16"/>
        </w:rPr>
        <w:t xml:space="preserve">▪ </w:t>
      </w:r>
      <w:r>
        <w:rPr>
          <w:b/>
          <w:bCs/>
          <w:sz w:val="16"/>
          <w:szCs w:val="16"/>
        </w:rPr>
        <w:t xml:space="preserve">Les couloirs repartent de C1. </w:t>
      </w:r>
      <w:r>
        <w:rPr>
          <w:color w:val="404040"/>
          <w:sz w:val="16"/>
          <w:szCs w:val="16"/>
        </w:rPr>
        <w:t xml:space="preserve">L8 (ardoise) en C1, L9 (fuchsia) en C2, L10 (sable) en C3, L11 (vert) en C4. Le bloc violet de la Partie I occupe C4 jusqu’à la p. 591 : le premier bloc de la Partie II l’évite, et C4 n’est repris qu’à la p. 791, à 7,4 mm d’épaisseur de distance.</w:t>
      </w:r>
    </w:p>
    <w:p>
      <w:pPr>
        <w:spacing w:after="30"/>
        <w:ind w:left="280" w:hanging="200"/>
      </w:pPr>
      <w:r>
        <w:rPr>
          <w:b/>
          <w:bCs/>
          <w:color w:val="1F3864"/>
          <w:sz w:val="16"/>
          <w:szCs w:val="16"/>
        </w:rPr>
        <w:t xml:space="preserve">▪ </w:t>
      </w:r>
      <w:r>
        <w:rPr>
          <w:b/>
          <w:bCs/>
          <w:sz w:val="16"/>
          <w:szCs w:val="16"/>
        </w:rPr>
        <w:t xml:space="preserve">Le numéro de fiche relie les deux parties. </w:t>
      </w:r>
      <w:r>
        <w:rPr>
          <w:color w:val="404040"/>
          <w:sz w:val="16"/>
          <w:szCs w:val="16"/>
        </w:rPr>
        <w:t xml:space="preserve">Exemple, fiche 30 (liberté et sûreté) : art. 66 C. et art. 5 CEDH (Partie I) ↔ garde à vue, détention provisoire, rétention de sûreté, soins sans consentement, rétention administrative (Partie II). Exemple, fiche 53 (asile) : al. 4 Préambule, Conv. Genève, Charte art. 18, règlement 2024/1351 ↔ CESEDA asile.</w:t>
      </w:r>
    </w:p>
    <w:p>
      <w:pPr>
        <w:spacing w:after="30"/>
        <w:ind w:left="280" w:hanging="200"/>
      </w:pPr>
      <w:r>
        <w:rPr>
          <w:b/>
          <w:bCs/>
          <w:color w:val="1F3864"/>
          <w:sz w:val="16"/>
          <w:szCs w:val="16"/>
        </w:rPr>
        <w:t xml:space="preserve">▪ </w:t>
      </w:r>
      <w:r>
        <w:rPr>
          <w:b/>
          <w:bCs/>
          <w:sz w:val="16"/>
          <w:szCs w:val="16"/>
        </w:rPr>
        <w:t xml:space="preserve">Gabarit. </w:t>
      </w:r>
      <w:r>
        <w:rPr>
          <w:color w:val="404040"/>
          <w:sz w:val="16"/>
          <w:szCs w:val="16"/>
        </w:rPr>
        <w:t xml:space="preserve">Livre de 16 × 24 × 4,8 cm : hauteur utile 224 mm (8 mm de marge en tête et en pied), 4 couloirs de 56 mm : C1 de 8 à 64 mm, C2 de 64 à 120, C3 de 120 à 176, C4 de 176 à 232 mm du haut. Découpe une bande de carton de 24 cm, reporte les positions de la colonne « Haut de l’onglet » et sers-t’en comme règle pour chaque pose.</w:t>
      </w:r>
    </w:p>
    <w:p>
      <w:pPr>
        <w:spacing w:after="30"/>
        <w:ind w:left="280" w:hanging="200"/>
      </w:pPr>
      <w:r>
        <w:rPr>
          <w:b/>
          <w:bCs/>
          <w:color w:val="1F3864"/>
          <w:sz w:val="16"/>
          <w:szCs w:val="16"/>
        </w:rPr>
        <w:t xml:space="preserve">▪ </w:t>
      </w:r>
      <w:r>
        <w:rPr>
          <w:b/>
          <w:bCs/>
          <w:sz w:val="16"/>
          <w:szCs w:val="16"/>
        </w:rPr>
        <w:t xml:space="preserve">Onglets. </w:t>
      </w:r>
      <w:r>
        <w:rPr>
          <w:color w:val="404040"/>
          <w:sz w:val="16"/>
          <w:szCs w:val="16"/>
        </w:rPr>
        <w:t xml:space="preserve">Calcul fait pour des onglets de 12 mm de large (format Post-it Index étroit). Dépassement : 8 mm pour un onglet normal, 12 mm pour un phare ★. Écris le texte dans les 4 mm hauts : c’est la seule partie visible quand l’onglet suivant le recouvre.</w:t>
      </w:r>
    </w:p>
    <w:p>
      <w:pPr>
        <w:spacing w:after="30"/>
        <w:ind w:left="280" w:hanging="200"/>
      </w:pPr>
      <w:r>
        <w:rPr>
          <w:b/>
          <w:bCs/>
          <w:color w:val="1F3864"/>
          <w:sz w:val="16"/>
          <w:szCs w:val="16"/>
        </w:rPr>
        <w:t xml:space="preserve">▪ </w:t>
      </w:r>
      <w:r>
        <w:rPr>
          <w:b/>
          <w:bCs/>
          <w:sz w:val="16"/>
          <w:szCs w:val="16"/>
        </w:rPr>
        <w:t xml:space="preserve">Réutilisation d’un couloir. </w:t>
      </w:r>
      <w:r>
        <w:rPr>
          <w:color w:val="404040"/>
          <w:sz w:val="16"/>
          <w:szCs w:val="16"/>
        </w:rPr>
        <w:t xml:space="preserve">Un couloir n’est repris par un autre bloc qu’à plus de 5 mm d’épaisseur de distance (≈ 136 pages). Contrôle automatique sur les 156 onglets déjà prévus : 0 chevauchement.</w:t>
      </w:r>
    </w:p>
    <w:p>
      <w:pPr>
        <w:spacing w:after="60" w:before="140"/>
      </w:pPr>
      <w:r>
        <w:rPr>
          <w:b/>
          <w:bCs/>
          <w:color w:val="1F3864"/>
          <w:sz w:val="22"/>
          <w:szCs w:val="22"/>
        </w:rPr>
        <w:t xml:space="preserve">Occupation des couloirs — état après l’étape 3</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1100"/>
        <w:gridCol w:w="1600"/>
        <w:gridCol w:w="2300"/>
        <w:gridCol w:w="1700"/>
        <w:gridCol w:w="1100"/>
        <w:gridCol w:w="1500"/>
        <w:gridCol w:w="1700"/>
        <w:gridCol w:w="4598"/>
      </w:tblGrid>
      <w:tr>
        <w:trPr>
          <w:tblHeader/>
        </w:trPr>
        <w:tc>
          <w:tcPr>
            <w:tcW w:type="dxa" w:w="11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Bloc</w:t>
            </w:r>
          </w:p>
        </w:tc>
        <w:tc>
          <w:tcPr>
            <w:tcW w:type="dxa" w:w="16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Couleur</w:t>
            </w:r>
          </w:p>
        </w:tc>
        <w:tc>
          <w:tcPr>
            <w:tcW w:type="dxa" w:w="23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Pages</w:t>
            </w:r>
          </w:p>
        </w:tc>
        <w:tc>
          <w:tcPr>
            <w:tcW w:type="dxa" w:w="1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Couloir</w:t>
            </w:r>
          </w:p>
        </w:tc>
        <w:tc>
          <w:tcPr>
            <w:tcW w:type="dxa" w:w="11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Onglets</w:t>
            </w:r>
          </w:p>
        </w:tc>
        <w:tc>
          <w:tcPr>
            <w:tcW w:type="dxa" w:w="15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Escalier</w:t>
            </w:r>
          </w:p>
        </w:tc>
        <w:tc>
          <w:tcPr>
            <w:tcW w:type="dxa" w:w="1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Hauteur (mm)</w:t>
            </w:r>
          </w:p>
        </w:tc>
        <w:tc>
          <w:tcPr>
            <w:tcW w:type="dxa" w:w="4598"/>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État</w:t>
            </w:r>
          </w:p>
        </w:tc>
      </w:tr>
      <w:tr>
        <w:tc>
          <w:tcPr>
            <w:tcW w:type="dxa" w:w="110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1F4E79"/>
                <w:sz w:val="15"/>
                <w:szCs w:val="15"/>
              </w:rPr>
              <w:t xml:space="preserve">L1</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BLEU MARINE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3 à 30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10</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4,9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64</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C0504D"/>
                <w:sz w:val="15"/>
                <w:szCs w:val="15"/>
              </w:rPr>
              <w:t xml:space="preserve">L2</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C0504D"/>
                <w:sz w:val="13"/>
                <w:szCs w:val="13"/>
              </w:rPr>
              <w:t xml:space="preserve">ROUGE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31 à 53</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C2 + C3</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17</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64 → 176</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C55A11"/>
                <w:sz w:val="15"/>
                <w:szCs w:val="15"/>
              </w:rPr>
              <w:t xml:space="preserve">L3</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C55A11"/>
                <w:sz w:val="13"/>
                <w:szCs w:val="13"/>
              </w:rPr>
              <w:t xml:space="preserve">ORANGE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54 à 170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C4</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176 → 232</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BF9000"/>
                <w:sz w:val="15"/>
                <w:szCs w:val="15"/>
              </w:rPr>
              <w:t xml:space="preserve">L4</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BF9000"/>
                <w:sz w:val="13"/>
                <w:szCs w:val="13"/>
              </w:rPr>
              <w:t xml:space="preserve">JAUNE / OR</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171 à 193</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11</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4,4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64</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DCE4C8" w:color="auto" w:val="clear"/>
          </w:tcPr>
          <w:p>
            <w:pPr>
              <w:spacing w:after="16" w:before="16"/>
            </w:pPr>
            <w:r>
              <w:rPr>
                <w:b/>
                <w:bCs/>
                <w:i w:val="false"/>
                <w:iCs w:val="false"/>
                <w:color w:val="6B8E23"/>
                <w:sz w:val="15"/>
                <w:szCs w:val="15"/>
              </w:rPr>
              <w:t xml:space="preserve">L5</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6B8E23"/>
                <w:sz w:val="13"/>
                <w:szCs w:val="13"/>
              </w:rPr>
              <w:t xml:space="preserve">OLIVE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194 à 411</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C2</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10</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4,9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64 → 120</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2E938A"/>
                <w:sz w:val="15"/>
                <w:szCs w:val="15"/>
              </w:rPr>
              <w:t xml:space="preserve">L6</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2E938A"/>
                <w:sz w:val="13"/>
                <w:szCs w:val="13"/>
              </w:rPr>
              <w:t xml:space="preserve">TURQUOISE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412 à 440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C3</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120 → 176</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7030A0"/>
                <w:sz w:val="15"/>
                <w:szCs w:val="15"/>
              </w:rPr>
              <w:t xml:space="preserve">L7</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7030A0"/>
                <w:sz w:val="13"/>
                <w:szCs w:val="13"/>
              </w:rPr>
              <w:t xml:space="preserve">VIOLET</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441 à 602</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C4</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12</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176 → 232</w:t>
            </w:r>
          </w:p>
        </w:tc>
        <w:tc>
          <w:tcPr>
            <w:tcW w:type="dxa" w:w="4598"/>
            <w:tcBorders>
              <w:top w:val="single" w:color="BFBFBF" w:sz="2"/>
              <w:left w:val="single" w:color="BFBFBF" w:sz="2"/>
              <w:bottom w:val="single" w:color="BFBFBF" w:sz="2"/>
              <w:right w:val="single" w:color="BFBFBF" w:sz="2"/>
            </w:tcBorders>
          </w:tcPr>
          <w:p>
            <w:pPr>
              <w:spacing w:after="16" w:before="16"/>
            </w:pPr>
            <w:r>
              <w:rPr>
                <w:b/>
                <w:bCs/>
                <w:i w:val="false"/>
                <w:iCs w:val="false"/>
                <w:color w:val="C0504D"/>
                <w:sz w:val="13"/>
                <w:szCs w:val="13"/>
              </w:rPr>
              <w:t xml:space="preserve">plein (escalier minimal de 4 mm) — aucun ajout possible</w:t>
            </w:r>
          </w:p>
        </w:tc>
      </w:tr>
      <w:tr>
        <w:tc>
          <w:tcPr>
            <w:tcW w:type="dxa" w:w="110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5B6270"/>
                <w:sz w:val="15"/>
                <w:szCs w:val="15"/>
              </w:rPr>
              <w:t xml:space="preserve">L8</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5B6270"/>
                <w:sz w:val="13"/>
                <w:szCs w:val="13"/>
              </w:rPr>
              <w:t xml:space="preserve">ARDOISE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605 à 670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C1</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8,8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64</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r>
        <w:tc>
          <w:tcPr>
            <w:tcW w:type="dxa" w:w="110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C0397B"/>
                <w:sz w:val="15"/>
                <w:szCs w:val="15"/>
              </w:rPr>
              <w:t xml:space="preserve">L9</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C0397B"/>
                <w:sz w:val="13"/>
                <w:szCs w:val="13"/>
              </w:rPr>
              <w:t xml:space="preserve">FUCHSIA</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671 à 744</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C2</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10</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4,9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64 → 120</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8B6F31"/>
                <w:sz w:val="15"/>
                <w:szCs w:val="15"/>
              </w:rPr>
              <w:t xml:space="preserve">L10</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8B6F31"/>
                <w:sz w:val="13"/>
                <w:szCs w:val="13"/>
              </w:rPr>
              <w:t xml:space="preserve">SABLE</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745 à 790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C3</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11</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4,4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120 → 176</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dense, encore conforme</w:t>
            </w:r>
          </w:p>
        </w:tc>
      </w:tr>
      <w:tr>
        <w:tc>
          <w:tcPr>
            <w:tcW w:type="dxa" w:w="110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548235"/>
                <w:sz w:val="15"/>
                <w:szCs w:val="15"/>
              </w:rPr>
              <w:t xml:space="preserve">L11</w:t>
            </w:r>
          </w:p>
        </w:tc>
        <w:tc>
          <w:tcPr>
            <w:tcW w:type="dxa" w:w="1600"/>
            <w:tcBorders>
              <w:top w:val="single" w:color="BFBFBF" w:sz="2"/>
              <w:left w:val="single" w:color="BFBFBF" w:sz="2"/>
              <w:bottom w:val="single" w:color="BFBFBF" w:sz="2"/>
              <w:right w:val="single" w:color="BFBFBF" w:sz="2"/>
            </w:tcBorders>
          </w:tcPr>
          <w:p>
            <w:pPr>
              <w:spacing w:after="16" w:before="16"/>
            </w:pPr>
            <w:r>
              <w:rPr>
                <w:b/>
                <w:bCs/>
                <w:i w:val="false"/>
                <w:iCs w:val="false"/>
                <w:color w:val="548235"/>
                <w:sz w:val="13"/>
                <w:szCs w:val="13"/>
              </w:rPr>
              <w:t xml:space="preserve">VERT</w:t>
            </w:r>
          </w:p>
        </w:tc>
        <w:tc>
          <w:tcPr>
            <w:tcW w:type="dxa" w:w="2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 791 à 830</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5"/>
                <w:szCs w:val="15"/>
              </w:rPr>
              <w:t xml:space="preserve">C4</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w:t>
            </w:r>
          </w:p>
        </w:tc>
        <w:tc>
          <w:tcPr>
            <w:tcW w:type="dxa" w:w="15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6,3 mm</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176 → 232</w:t>
            </w:r>
          </w:p>
        </w:tc>
        <w:tc>
          <w:tcPr>
            <w:tcW w:type="dxa" w:w="459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confortable</w:t>
            </w:r>
          </w:p>
        </w:tc>
      </w:tr>
    </w:tbl>
    <w:p>
      <w:pPr>
        <w:spacing w:after="40"/>
      </w:pPr>
      <w:r>
        <w:rPr>
          <w:i/>
          <w:iCs/>
          <w:color w:val="595959"/>
          <w:sz w:val="16"/>
          <w:szCs w:val="16"/>
        </w:rPr>
        <w:t xml:space="preserve">Les quatre couloirs ont encore de la place dans la Partie II. Le bloc L8 n’a que 6 onglets (escalier large de 8,8 mm) : c’est là qu’un ajout serait le plus facile.</w:t>
      </w:r>
    </w:p>
    <w:p>
      <w:pPr>
        <w:spacing w:after="60" w:before="140"/>
      </w:pPr>
      <w:r>
        <w:rPr>
          <w:b/>
          <w:bCs/>
          <w:color w:val="1F3864"/>
          <w:sz w:val="22"/>
          <w:szCs w:val="22"/>
        </w:rPr>
        <w:t xml:space="preserve">Fréquences qui fondent les priorités</w:t>
      </w:r>
    </w:p>
    <w:p>
      <w:pPr>
        <w:spacing w:after="40"/>
      </w:pPr>
      <w:r>
        <w:rPr>
          <w:color w:val="404040"/>
          <w:sz w:val="16"/>
          <w:szCs w:val="16"/>
        </w:rPr>
        <w:t xml:space="preserve">Textes de la Partie II les plus cités dans ton corpus (score pondéré) : garde à vue 312 · asile (OFPRA, CNDA) 226 · Code pénitentiaire et conditions de détention 177 · détention provisoire 158 · expulsion 145 · Défenseur des droits 118 · rétention administrative 114 · CESEDA séjour 106 · extradition 98 · personnes handicapées 89 · justice pénale des mineurs 89 · contrôles d’identité 87 · égalité réelle et parité 81-54 · système prostitutionnel 75 · traite 64 · dissimulation du visage 64. Jamais cités : coopération avec la CPI, réparation de la détention provisoire, action CPC 1263-1, DILCRAH, droits de l’enfant en CASF, journée des droits de l’enfant, HCE, MIPROF, art. 11 et 14 C. civ. — ils sont atteints par l’onglet voisin.</w:t>
      </w:r>
    </w:p>
    <w:p>
      <w:pPr>
        <w:spacing w:after="60" w:before="140"/>
      </w:pPr>
      <w:r>
        <w:rPr>
          <w:b/>
          <w:bCs/>
          <w:color w:val="8A6100"/>
          <w:sz w:val="22"/>
          <w:szCs w:val="22"/>
        </w:rPr>
        <w:t xml:space="preserve">★  Phares — recalibrés sur le livre entier (étape 5)</w:t>
      </w:r>
    </w:p>
    <w:p>
      <w:pPr>
        <w:spacing w:after="40"/>
      </w:pPr>
      <w:r>
        <w:rPr>
          <w:color w:val="404040"/>
          <w:sz w:val="16"/>
          <w:szCs w:val="16"/>
        </w:rPr>
        <w:t xml:space="preserve">14 phares sur 156 onglets, au plus 2 par bloc, textes transversaux ⇄ exclus. Score commun à tout le livre : présence dans les sujets d’annales, entraînements et sujets IEJ (× 2) + nombre de fiches rattachées + détection directe dans tes fiches (× ½) + fréquence dans tout le corpus (échelle logarithmique). Dans cette étape : N°60.1–60.2 HANDICAP &amp; ÂGE (55·47) · N°67.2–67.3 OQTF &amp; EXPULSION (43). Détail du classement dans le document de l’étape 5.</w:t>
      </w:r>
    </w:p>
    <w:p>
      <w:pPr>
        <w:spacing w:after="60" w:before="140"/>
      </w:pPr>
      <w:r>
        <w:rPr>
          <w:b/>
          <w:bCs/>
          <w:color w:val="1F3864"/>
          <w:sz w:val="21"/>
          <w:szCs w:val="21"/>
        </w:rPr>
        <w:t xml:space="preserve">Légende</w:t>
      </w:r>
    </w:p>
    <w:p>
      <w:pPr>
        <w:spacing w:after="20"/>
      </w:pPr>
      <w:r>
        <w:rPr>
          <w:b/>
          <w:bCs/>
          <w:color w:val="6B4E00"/>
          <w:sz w:val="17"/>
          <w:szCs w:val="17"/>
          <w:shd w:fill="FFD24A" w:color="auto" w:val="clear"/>
        </w:rPr>
        <w:t xml:space="preserve"> ★ </w:t>
      </w:r>
      <w:r>
        <w:rPr>
          <w:color w:val="404040"/>
          <w:sz w:val="16"/>
          <w:szCs w:val="16"/>
        </w:rPr>
        <w:t xml:space="preserve">  onglet phare : à faire déborder davantage (les plus cités dans tes supports et annales).</w:t>
      </w:r>
    </w:p>
    <w:p>
      <w:pPr>
        <w:spacing w:after="20"/>
      </w:pPr>
      <w:r>
        <w:rPr>
          <w:b/>
          <w:bCs/>
          <w:color w:val="FFFFFF"/>
          <w:sz w:val="17"/>
          <w:szCs w:val="17"/>
          <w:shd w:fill="C0504D" w:color="auto" w:val="clear"/>
        </w:rPr>
        <w:t xml:space="preserve"> 1 </w:t>
      </w:r>
      <w:r>
        <w:rPr>
          <w:color w:val="404040"/>
          <w:sz w:val="16"/>
          <w:szCs w:val="16"/>
        </w:rPr>
        <w:t xml:space="preserve">  essentiel.</w:t>
      </w:r>
    </w:p>
    <w:p>
      <w:pPr>
        <w:spacing w:after="20"/>
      </w:pPr>
      <w:r>
        <w:rPr>
          <w:b/>
          <w:bCs/>
          <w:color w:val="808080"/>
          <w:sz w:val="17"/>
          <w:szCs w:val="17"/>
          <w:shd w:fill="F2F2F2" w:color="auto" w:val="clear"/>
        </w:rPr>
        <w:t xml:space="preserve"> 2 </w:t>
      </w:r>
      <w:r>
        <w:rPr>
          <w:color w:val="404040"/>
          <w:sz w:val="16"/>
          <w:szCs w:val="16"/>
        </w:rPr>
        <w:t xml:space="preserve">  complémentaire — à retirer en premier si un couloir sature.</w:t>
      </w:r>
    </w:p>
    <w:p>
      <w:pPr>
        <w:spacing w:after="20"/>
      </w:pPr>
      <w:r>
        <w:rPr>
          <w:b/>
          <w:bCs/>
          <w:color w:val="FFFFFF"/>
          <w:sz w:val="17"/>
          <w:szCs w:val="17"/>
          <w:shd w:fill="595959" w:color="auto" w:val="clear"/>
        </w:rPr>
        <w:t xml:space="preserve"> ⇄ </w:t>
      </w:r>
      <w:r>
        <w:rPr>
          <w:color w:val="404040"/>
          <w:sz w:val="16"/>
          <w:szCs w:val="16"/>
        </w:rPr>
        <w:t xml:space="preserve">  texte transversal (toutes libertés) : un seul onglet, sans numéro de fiche.</w:t>
      </w:r>
    </w:p>
    <w:p>
      <w:pPr>
        <w:spacing w:after="40"/>
      </w:pPr>
      <w:r>
        <w:rPr>
          <w:i/>
          <w:iCs/>
          <w:color w:val="595959"/>
          <w:sz w:val="16"/>
          <w:szCs w:val="16"/>
        </w:rPr>
        <w:t xml:space="preserve">« Haut de l’onglet » : distance entre la tête du livre (bord supérieur) et le bord supérieur de l’onglet, mesurée sur l’arête latérale ; (#n) = rang dans l’escalier du bloc. « ≈ p. » : page estimée d’un article à l’intérieur de son document ; pose l’onglet sur la page où l’article commence.</w:t>
      </w:r>
    </w:p>
    <w:p>
      <w:pPr>
        <w:spacing w:after="8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DDE1E7" w:color="auto" w:val="clear"/>
          </w:tcPr>
          <w:p>
            <w:pPr>
              <w:spacing w:after="20" w:before="50"/>
            </w:pPr>
            <w:r>
              <w:rPr>
                <w:b/>
                <w:bCs/>
                <w:color w:val="5B6270"/>
                <w:sz w:val="22"/>
                <w:szCs w:val="22"/>
              </w:rPr>
              <w:t xml:space="preserve">BLOC L8 — DÉFENSE DES DROITS, JUSTICE, POLICE (sections A et B.1 à B.6)</w:t>
            </w:r>
            <w:r>
              <w:rPr>
                <w:b/>
                <w:bCs/>
                <w:color w:val="5B6270"/>
                <w:sz w:val="15"/>
                <w:szCs w:val="15"/>
              </w:rPr>
              <w:t xml:space="preserve">     ■ ARDOISE  ·  p. 605 à 670  ·  6 onglets  ·  couloir C1 (8 à 64 mm du haut)  ·  escalier de 8,8 mm</w:t>
            </w:r>
          </w:p>
          <w:p>
            <w:pPr>
              <w:spacing w:after="40"/>
            </w:pPr>
            <w:r>
              <w:rPr>
                <w:i/>
                <w:iCs/>
                <w:color w:val="5B6270"/>
                <w:sz w:val="15"/>
                <w:szCs w:val="15"/>
              </w:rPr>
              <w:t xml:space="preserve">↳ Manuel OB, Partie IV — fiches 17 et 20 (protection juridictionnelle et administrative), relais fiches 30, 31, 32, 40</w:t>
            </w:r>
          </w:p>
        </w:tc>
      </w:tr>
      <w:tr>
        <w:trPr>
          <w:tblHeader/>
        </w:trPr>
        <w:tc>
          <w:tcPr>
            <w:tcW w:type="dxa" w:w="46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N°39.1–39.2 CNCDH &amp; DDD (20)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N°39.1 · p. 605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4"/>
                <w:szCs w:val="14"/>
              </w:rPr>
              <w:t xml:space="preserve">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CNCDH (loi 2007-292) · Défenseur des droits (LO 2011-333, N°39.2 p. 606)</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4"/>
                <w:szCs w:val="14"/>
              </w:rPr>
              <w:t xml:space="preserve">20 · 54 · 25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71-1 C. (N°3.1) · CGLPL (N°52.5) · DILCRAH (N°59.5)</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Défenseur des droits : seule autorité administrative indépendante prévue par la Constitution (art. 71-1, 2008), héritier de la HALDE, du Défenseur des enfants, de la CNDS et du Médiateur. Ses recommandations, même générales, ne sont pas des décisions faisant grief (CE, 22 mai 2019). CNCDH : rapporteur national sur le racisme et la traite.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N°40–42 MAGISTRATURE &amp; JURIDICTIONS (31·17·18)</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N°40 · p. 619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4"/>
                <w:szCs w:val="14"/>
              </w:rPr>
              <w:t xml:space="preserve">16,8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Statut de la magistrature (ord. 58-1270) · CSM (LO 94-100, N°41 p. 631) · indépendance de la juridiction administrative (CJA, N°42 p. 640)</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4"/>
                <w:szCs w:val="14"/>
              </w:rPr>
              <w:t xml:space="preserve">31 · 17 · 18 · 9</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64-66 C. (N°3.1) · art. 6 CEDH (N°4.1) · Charte UE art. 47</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Inamovibilité des magistrats du siège ; le parquet n’est pas une « autorité judiciaire » au sens de l’art. 5 CEDH (Moulin, 2010). Indépendance de la juridiction administrative : PFRLR (80-119 DC, validations législatives) ; apparences d’impartialité : Kress (2001).</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N°43–44 POLICE &amp; SÉCURITÉ (30·28)</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N°43 · p. 643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4"/>
                <w:szCs w:val="14"/>
              </w:rPr>
              <w:t xml:space="preserve">25,6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Déontologie de la police et de la gendarmerie (CSI R.434-1 s.) · droit à la sécurité (CSI L.111-1, N°44 p. 649)</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4"/>
                <w:szCs w:val="14"/>
              </w:rPr>
              <w:t xml:space="preserve">30 · 28 · 26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2 et 3 CEDH · art. 12 DDHC (force publique)</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Usage de la force strictement nécessaire et proportionné ; McCann (1995) et Fraisse et a. c. France (2025, maintien de l’ordre, fiche 26). La sécurité est un objectif à concilier avec les libertés, non un droit opposable.</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N°45 AIDE JURIDICTIONNELLE (31)</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N°45 · p. 650</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4"/>
                <w:szCs w:val="14"/>
              </w:rPr>
              <w:t xml:space="preserve">34,4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Aide juridictionnelle et aide à l’accès au droit — loi n° 91-647 du 10 juillet 1991</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4"/>
                <w:szCs w:val="14"/>
              </w:rPr>
              <w:t xml:space="preserve">31 · 22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6 § 3 c CEDH · art. 47 § 3 Charte UE · art. 16 DDHC</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Airey c. Irlande (1979) : l’accès effectif au tribunal peut exiger une assistance gratuite. Droit à un recours juridictionnel effectif (art. 16 DDHC).</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N°46–47 PRÉSOMPTION D’INNOCENCE (32·37)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N°47 · p. 662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4"/>
                <w:szCs w:val="14"/>
              </w:rPr>
              <w:t xml:space="preserve">43,2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Art. 9-1 C. civ. — coopération avec la CPI (CPP 627 s., N°46 p. 656) juste avant</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4"/>
                <w:szCs w:val="14"/>
              </w:rPr>
              <w:t xml:space="preserve">32 · 37 · 30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9 DDHC · art. 6 § 2 CEDH · art. 48 Charte UE · secret de l’instruction (N°50)</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Action civile contre la présentation publique d’une personne comme coupable avant toute condamnation ; déclarations des autorités : Allenet de Ribemont c. France (1995). Mise en balance avec la liberté d’expression (fiche 37).</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N°48.3 CONTRÔLES D’IDENTITÉ (40·20)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N°48.3 · p. 664</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4"/>
                <w:szCs w:val="14"/>
              </w:rPr>
              <w:t xml:space="preserve">52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Contrôles et vérifications d’identité — CPP 78-1 à 78-6 (identité : loi 2012-410 et CNI, N°48.1-48.2 p. 662-663)</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4"/>
                <w:szCs w:val="14"/>
              </w:rPr>
              <w:t xml:space="preserve">40 · 20 · 7 · 54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 4 art. 2 (N°4.3) · art. 2 et 4 DDHC · art. 14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93-323 DC : pas de contrôles généralisés et discrétionnaires ; 2016-606/607 QPC ; sous état d’urgence : 2017-677 QPC. Contrôles discriminatoires : CE Ass., 11 octobre 2023, Amnesty International France (refus d’enjoindre une réforme). Fichier biométrique : 2012-652 DC (N°48.1).</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FADCE6" w:color="auto" w:val="clear"/>
          </w:tcPr>
          <w:p>
            <w:pPr>
              <w:spacing w:after="20" w:before="50"/>
            </w:pPr>
            <w:r>
              <w:rPr>
                <w:b/>
                <w:bCs/>
                <w:color w:val="C0397B"/>
                <w:sz w:val="22"/>
                <w:szCs w:val="22"/>
              </w:rPr>
              <w:t xml:space="preserve">BLOC L9 — PRIVATION DE LIBERTÉ (sections B.7 à B.12)</w:t>
            </w:r>
            <w:r>
              <w:rPr>
                <w:b/>
                <w:bCs/>
                <w:color w:val="C0397B"/>
                <w:sz w:val="15"/>
                <w:szCs w:val="15"/>
              </w:rPr>
              <w:t xml:space="preserve">     ■ FUCHSIA  ·  p. 671 à 744  ·  10 onglets  ·  couloir C2 (64 à 120 mm du haut)  ·  escalier de 4,9 mm</w:t>
            </w:r>
          </w:p>
          <w:p>
            <w:pPr>
              <w:spacing w:after="40"/>
            </w:pPr>
            <w:r>
              <w:rPr>
                <w:i/>
                <w:iCs/>
                <w:color w:val="C0397B"/>
                <w:sz w:val="15"/>
                <w:szCs w:val="15"/>
              </w:rPr>
              <w:t xml:space="preserve">↳ Manuel OB, Partie VI — fiches 30 (liberté et sûreté), 28 (conditions de détention), 32 (garanties pénales), relais 17</w:t>
            </w:r>
          </w:p>
        </w:tc>
      </w:tr>
      <w:tr>
        <w:trPr>
          <w:tblHeader/>
        </w:trPr>
        <w:tc>
          <w:tcPr>
            <w:tcW w:type="dxa" w:w="46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N°49.1 GARDE À VUE (30·32)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N°49.1 · p. 671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64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GAV pour crimes et délits flagrants — CPP 62-2 à 64-1</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30 · 32 · 28</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66 C. · art. 5 et 6 CEDH · art. 9 DDHC · art. 6 et 48 Charte UE</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2010-14/22 QPC (30 juillet 2010) : censure du régime de droit commun ; Brusco c. France (2010) ; Cass. ass. plén., 15 avril 2011 : application immédiate de l’assistance de l’avocat ; loi du 14 avril 2011. Selmouni (1999) : torture en GAV.</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N°49.2–50 PRÉLIMINAIRE · SECRET (32·37)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N°49.2 · p. 680</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68,9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GAV en enquête préliminaire (CPP 77-78) et sur commission rogatoire (154, N°49.3) · secret de l’instruction (C. pén. 226-13, CPP 11, N°50 p. 684)</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32 · 37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présomption d’innocence (N°47) · art. 10 CEDH (Goodwin, secret des sources)</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11 CPP : secret de l’enquête et de l’instruction, communication du procureur pour éviter la diffusion d’informations parcellaires ; conflit avec la liberté de la presse (fiche 37).</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N°51.1 LIBERTÉ, CJ, ARSE (30)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N°51.1 · p. 686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73,8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CPP 137 à 137-4 : la liberté est le principe · contrôle judiciaire (N°51.2, p. 688) · ARSE (N°51.3, p. 695)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30 · 32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5 § 3 CEDH · art. 9 DDHC · art. 66 C.</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137 CPP : la personne mise en examen, présumée innocente, demeure libre ; gradation liberté → contrôle judiciaire → ARSE → détention provisoire.</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N°51.4 DÉTENTION PROVISOIRE (30·28)</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N°51.4 · p. 698</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78,7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Détention provisoire — CPP 143-1 à 148-8 · réparation (149-150, N°51.5 p. 706) · exécution (714-716, N°51.6 p. 707)</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30 · 32 · 28</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5 § 3-4 CEDH (délai raisonnable) · art. 3 CEDH · Code pénitentiaire (N°52.2)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Critères limitatifs de l’art. 144 CPP ; recours contre des conditions indignes de détention (art. 803-8 CPP, issu de J.M.B. c. France et des QPC 2020-858/859) ; réparation du préjudice en cas de non-lieu, relaxe ou acquittement (art. 149).</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N°52.1 EXÉCUTION DES PEINES (28·32)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N°52.1 · p. 708</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83,6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Exécution des peines privatives de liberté — CPP 716-1 à 721-3</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28 · 32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Code pénitentiaire (N°52.2) · art. 8 DDHC (nécessité des peines)</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Individualisation et aménagement des peines ; finalité de réinsertion.</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N°52.2 CODE PÉNITENTIAIRE (28)</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N°52.2 · p. 718</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88,4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Droits et obligations des personnes détenues — Code pénitentiaire</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28 · 17 · 30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3 et 8 CEDH · CGLPL (N°52.5) · CAT et CPT (N°30.1, N°7)</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J.M.B. c. France (2020) → 2020-858/859 QPC → art. 803-8 CPP (recours préventif) ; fouilles intégrales strictement encadrées ; dignité de la personne détenue (2023-1064 QPC, fiche 30).</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N°52.4 RÉTENTION DE SÛRETÉ (30)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N°52.4 · p. 731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93,3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Rétention et surveillance de sûreté — CPP 706-53-13 s. (placement sous surveillance électronique, N°52.3 p. 729, juste avant)</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30 · 32 · 20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8 DDHC · art. 5 et 7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2008-562 DC : mesure de sûreté et non peine, mais non rétroactive en raison de sa nature privative de liberté ; M. c. Allemagne (2009) : la détention de sûreté est une « peine » au sens de l’art. 7 CEDH.</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N°52.5 CGLPL (28·20)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N°52.5 · p. 732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98,2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Contrôleur général des lieux de privation de liberté — loi n° 2007-1545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28 · 20 · 32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CAT (N°30.2) · CPT (N°7) · Défenseur des droits (N°39.2)</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Mécanisme national de prévention au sens du protocole facultatif à la Convention contre la torture ; visites inopinées, recommandations publiques, procédure d’urgence.</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N°53 SOINS SANS CONSENTEMENT (30)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N°53 · p. 736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103,1 mm  (#9)</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Soins psychiatriques sans consentement — CSP L.3211-1 s. et L.3213-1 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30 · 17 · 55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66 C. · art. 5 § 1 e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2010-71 QPC (Danielle S.) : intervention systématique du juge judiciaire au-delà d’un délai bref ; isolement et contention : 2020-844 QPC → contrôle du juge des libertés.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N°54 ATTEINTES PAR AUTORITÉ PUBLIQUE (17·19)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N°54 · p. 743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108 mm  (#10)</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Atteintes à la liberté individuelle par une personne dépositaire de l’autorité publique — C. pén. 432-4 à 432-6</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4"/>
                <w:szCs w:val="14"/>
              </w:rPr>
              <w:t xml:space="preserve">17 · 19 · 30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66 C. · art. 7 DDHC</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Répression pénale de la détention arbitraire ; pendant civil et administratif : voie de fait (TC Bergoend, 2013) et compétence judiciaire (fiche 19).</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EDE3D3" w:color="auto" w:val="clear"/>
          </w:tcPr>
          <w:p>
            <w:pPr>
              <w:spacing w:after="20" w:before="50"/>
            </w:pPr>
            <w:r>
              <w:rPr>
                <w:b/>
                <w:bCs/>
                <w:color w:val="8B6F31"/>
                <w:sz w:val="22"/>
                <w:szCs w:val="22"/>
              </w:rPr>
              <w:t xml:space="preserve">BLOC L10 — TRAITE, MÉMOIRE ET ÉGALITÉ (sections C et D.1 à D.5)</w:t>
            </w:r>
            <w:r>
              <w:rPr>
                <w:b/>
                <w:bCs/>
                <w:color w:val="8B6F31"/>
                <w:sz w:val="15"/>
                <w:szCs w:val="15"/>
              </w:rPr>
              <w:t xml:space="preserve">     ■ SABLE  ·  p. 745 à 790  ·  11 onglets  ·  couloir C3 (120 à 176 mm du haut)  ·  escalier de 4,4 mm</w:t>
            </w:r>
          </w:p>
          <w:p>
            <w:pPr>
              <w:spacing w:after="40"/>
            </w:pPr>
            <w:r>
              <w:rPr>
                <w:i/>
                <w:iCs/>
                <w:color w:val="8B6F31"/>
                <w:sz w:val="15"/>
                <w:szCs w:val="15"/>
              </w:rPr>
              <w:t xml:space="preserve">↳ Manuel OB, Partie VIII — fiches 54 à 56 (égalité), relais fiches 29 (traite), 37 (lois mémorielles), 55 (vulnérabilités)</w:t>
            </w:r>
          </w:p>
        </w:tc>
      </w:tr>
      <w:tr>
        <w:trPr>
          <w:tblHeader/>
        </w:trPr>
        <w:tc>
          <w:tcPr>
            <w:tcW w:type="dxa" w:w="46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N°55.1–57 MÉMOIRE &amp; CRIMES CONTRE L’HUMANITÉ (37·29)</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N°55.1 · p. 745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120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Loi Taubira (2001-434) · commémoration de l’abolition (83-550) · génocide arménien (2001-70, N°56) · génocide et crimes contre l’humanité (C. pén. 211-1 s., N°57)</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37 · 29 · 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génocide (N°28) · Statut de Rome (N°37) · Conv. imprescriptibilité (N°8)</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Lois mémorielles : la loi Gayssot est validée (2015-512 QPC), la pénalisation de la contestation des génocides « reconnus par la loi » est censurée (2012-647 DC) ; Perinçek (2015).</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N°58.1–58.2 TRAITE &amp; PROSTITUTION (29·55)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N°58.1 · p. 747</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124,4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Traite des êtres humains (C. pén. 225-4-1 à 225-4-9) · loi n° 2016-444 contre le système prostitutionnel (N°58.2 p. 748)</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29 · 55 · 27</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EDH art. 4 · Conv. Varsovie (N°9) · dir. 2011/36 (N°17.5) · Conv. 1949 (N°27)</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Siliadin (2005) et C.N. et V. (2012) → loi du 5 août 2013. Pénalisation des clients : 2018-761 QPC (Médecins du monde) ; M.A. et autres c. France (2024) : non-violation de l’art. 8.</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N°59.1 LOI DU 27 MAI 2008 (54)</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N°59.1 · p. 753</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128,8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Lutte contre les discriminations — loi n° 2008-496 (discrimination directe et indirecte, harcèlement, preuve)</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54 · 56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14 CEDH · Charte UE art. 21 · dir. 2000/43 et 2000/78 (N°17.4, 20.3) · art. 1er C.</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Transposition des directives : discrimination indirecte (D.H. c. Rép. tchèque, 2007), aménagement de la charge de la preuve ; saisine du Défenseur des droits (N°39.2).</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N°59.2–59.5 TRAVAIL · PÉNAL · ACTION (54·36)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N°59.2 · p. 755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133,2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 trav. L.1132-1 s. · C. pén. 225-1 à 225-4 et 432-7 (N°59.3) · action en justice, CPC 1263-1 (N°59.4) · DILCRAH (N°59.5)</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54 · 36 · 50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2008-496 (N°59.1) · CERD (N°29) · dir. 2000/78 (N°20.3)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Liste des critères prohibés (art. 225-1 C. pén., L.1132-1 C. trav.) ; neutralité religieuse dans l’entreprise : Baby Loup, Achbita, WABE (fiche 36).</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N°60.1–60.2 HANDICAP &amp; ÂGE (55·47)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N°60.1 · p. 760</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8B6F31"/>
                <w:sz w:val="14"/>
                <w:szCs w:val="14"/>
              </w:rPr>
              <w:t xml:space="preserve">137,6 mm  (#5)</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Solidarité envers les personnes handicapées (CASF L.114 s.) et les personnes âgées (L.113-1 s., N°60.2 p. 764)</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8B6F31"/>
                <w:sz w:val="14"/>
                <w:szCs w:val="14"/>
              </w:rPr>
              <w:t xml:space="preserve">55 · 47 · 13 · 21</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CDPH (N°36.1) · Charte UE art. 25-26 · dir. 2000/78 (N°20.3)</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Loi du 11 février 2005 (définition du handicap, compensation, accessibilité) ; scolarisation : CE, Laruelle (2009), obligation de résultat de l’État.</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N°61.3 JUSTICE PÉNALE DES MINEURS (32·55)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N°61.3 · p. 768</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142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Code de la justice pénale des mineurs (L.11-1 s.) — droits de l’enfant et politique familiale (CASF, N°61.1 p. 766) juste avant</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32 · 55 · 30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CIDE art. 37 et 40 (N°34.1) · Charte UE art. 24</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PFRLR de la justice des mineurs : atténuation de la responsabilité selon l’âge, recherche du relèvement éducatif, juridiction spécialisée ou procédure appropriée (2002-461 DC).</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N°62.1–62.2 PARITÉ &amp; ÉGALITÉ RÉELLE (56·42)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N°62.1 · p. 774</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146,4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Parité (art. 1er al. 2 C.) · égalité réelle entre les femmes et les hommes (loi 2014-873, N°62.2 même page)</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56 · 42 · 54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al. 3 Préambule 1946 · CEDEF (N°33.1) · Charte UE art. 23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82-146 DC (quotas par sexe censurés) → révisions constitutionnelles de 1999 et 2008 ; 2006-533 DC. La parité s’est imposée par le pouvoir constituant contre le juge.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N°62.3–62.7 ÉGALITÉ PROFESSIONNELLE (56·54)</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N°62.3 · p. 775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150,8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 trav. L.1142-1 s. et L.3221-1 s. (N°62.4) · fonction publique (N°62.5) · Haut Conseil à l’égalité (N°62.6) · délégations parlementaires (N°62.7)</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56 · 54 · 50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157 TFUE (N°20.2) · Charte UE art. 23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Égalité de rémunération pour un travail de valeur égale.</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N°63.2 ORDONNANCE DE PROTECTION (55·27)</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N°63.2 · p. 785</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155,2 mm  (#9)</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Ordonnance de protection des victimes de violences — C. civ. 515-9 à 515-13 · loi 2010-769 (MIPROF, N°63.1 p. 783)</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55 · 27 · 34</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Istanbul (N°13) · art. 3 et 8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Délivrée en urgence par le juge aux affaires familiales ; obligations positives de l’État face aux violences (fiche 27 : L. et a. c. France, 2025).</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N°63.3 DISSIMULATION DU VISAGE (36·6)</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N°63.3 · p. 788</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159,6 mm  (#10)</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Interdiction de la dissimulation du visage dans l’espace public — loi n° 2010-1192 · C. pén. 225-4-10</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36 · 6 · 11 · 21</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9 CEDH · art. 18 PIDCP · Charte UE art. 10</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2010-613 DC (exigences minimales de la vie en société, réserve des lieux de culte) ; S.A.S. c. France (2014, « vivre ensemble ») ; Comité des droits de l’homme, Hebbadj et Yaker (2018), en sens contraire.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N°64 PAUVRETÉ &amp; RSA (48·55)</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N°64 · p. 789</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164 mm  (#11)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Lutte contre la pauvreté et les exclusions — loi 2008-1249 (RSA) · CASF L.115-1 s.</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4"/>
                <w:szCs w:val="14"/>
              </w:rPr>
              <w:t xml:space="preserve">48 · 55 · 3</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al. 10-11 Préambule 1946 (N°2) · PIDESC art. 9-11 · Charte sociale (N°14)</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Al. 11 : droit d’obtenir de la collectivité des moyens convenables d’existence ; solidarité nationale (fiche 48).</w:t>
            </w:r>
          </w:p>
        </w:tc>
      </w:tr>
    </w:tbl>
    <w:p>
      <w:pPr>
        <w:spacing w:after="140"/>
      </w:pPr>
    </w:p>
    <w:tbl>
      <w:tblPr>
        <w:tblW w:type="dxa" w:w="15600"/>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1930"/>
        <w:gridCol w:w="680"/>
        <w:gridCol w:w="760"/>
        <w:gridCol w:w="2050"/>
        <w:gridCol w:w="850"/>
        <w:gridCol w:w="3290"/>
        <w:gridCol w:w="5580"/>
      </w:tblGrid>
      <w:tr>
        <w:tc>
          <w:tcPr>
            <w:gridSpan w:val="8"/>
            <w:tcBorders>
              <w:top w:val="single" w:color="BFBFBF" w:sz="2"/>
              <w:left w:val="single" w:color="BFBFBF" w:sz="2"/>
              <w:bottom w:val="single" w:color="BFBFBF" w:sz="2"/>
              <w:right w:val="single" w:color="BFBFBF" w:sz="2"/>
            </w:tcBorders>
            <w:shd w:fill="E2EFDA" w:color="auto" w:val="clear"/>
          </w:tcPr>
          <w:p>
            <w:pPr>
              <w:spacing w:after="20" w:before="50"/>
            </w:pPr>
            <w:r>
              <w:rPr>
                <w:b/>
                <w:bCs/>
                <w:color w:val="548235"/>
                <w:sz w:val="22"/>
                <w:szCs w:val="22"/>
              </w:rPr>
              <w:t xml:space="preserve">BLOC L11 — ÉTRANGERS ET CITOYENS DE L’UNION (section D.6)</w:t>
            </w:r>
            <w:r>
              <w:rPr>
                <w:b/>
                <w:bCs/>
                <w:color w:val="548235"/>
                <w:sz w:val="15"/>
                <w:szCs w:val="15"/>
              </w:rPr>
              <w:t xml:space="preserve">     ■ VERT  ·  p. 791 à 830  ·  8 onglets  ·  couloir C4 (176 à 232 mm du haut)  ·  escalier de 6,3 mm</w:t>
            </w:r>
          </w:p>
          <w:p>
            <w:pPr>
              <w:spacing w:after="40"/>
            </w:pPr>
            <w:r>
              <w:rPr>
                <w:i/>
                <w:iCs/>
                <w:color w:val="548235"/>
                <w:sz w:val="15"/>
                <w:szCs w:val="15"/>
              </w:rPr>
              <w:t xml:space="preserve">↳ Manuel OB, Partie VI — fiches 43 (éloignement), 53 (asile), 40 (aller et venir), 34 (vie familiale)</w:t>
            </w:r>
          </w:p>
        </w:tc>
      </w:tr>
      <w:tr>
        <w:trPr>
          <w:tblHeader/>
        </w:trPr>
        <w:tc>
          <w:tcPr>
            <w:tcW w:type="dxa" w:w="46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P</w:t>
            </w:r>
          </w:p>
        </w:tc>
        <w:tc>
          <w:tcPr>
            <w:tcW w:type="dxa" w:w="193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À écrire sur l’onglet</w:t>
            </w:r>
          </w:p>
        </w:tc>
        <w:tc>
          <w:tcPr>
            <w:tcW w:type="dxa" w:w="68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N° · p.</w:t>
            </w:r>
          </w:p>
        </w:tc>
        <w:tc>
          <w:tcPr>
            <w:tcW w:type="dxa" w:w="76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Haut de l’onglet</w:t>
            </w:r>
          </w:p>
        </w:tc>
        <w:tc>
          <w:tcPr>
            <w:tcW w:type="dxa" w:w="205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Intitulé</w:t>
            </w:r>
          </w:p>
        </w:tc>
        <w:tc>
          <w:tcPr>
            <w:tcW w:type="dxa" w:w="85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Fiche(s)</w:t>
            </w:r>
          </w:p>
        </w:tc>
        <w:tc>
          <w:tcPr>
            <w:tcW w:type="dxa" w:w="329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Correspondances dans le recueil (N° Oberdorff)</w:t>
            </w:r>
          </w:p>
        </w:tc>
        <w:tc>
          <w:tcPr>
            <w:tcW w:type="dxa" w:w="558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N°65 ART. 11 &amp; 14 C. CIV. (43)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N°65 · p. 791</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176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Jouissance des droits civils par l’étranger (art. 11) · compétence des juridictions françaises (art. 14)</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43 · 12</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CESEDA (N°67) · art. 14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11 : condition de réciprocité, aujourd’hui très largement neutralisée par la jurisprudence au profit de l’égalité des droits civils.</w:t>
            </w:r>
          </w:p>
        </w:tc>
      </w:tr>
      <w:tr>
        <w:tc>
          <w:tcPr>
            <w:tcW w:type="dxa" w:w="460"/>
            <w:tcBorders>
              <w:top w:val="single" w:color="BFBFBF" w:sz="2"/>
              <w:left w:val="single" w:color="BFBFBF" w:sz="2"/>
              <w:bottom w:val="single" w:color="BFBFBF" w:sz="2"/>
              <w:right w:val="single" w:color="BFBFBF" w:sz="2"/>
            </w:tcBorders>
            <w:shd w:fill="548235"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N°66 EXTRADITION (43)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N°66 · p. 792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182,3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Extradition des étrangers — CPP 696 à 696-41</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43 · 9 · 26</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 européenne d’extradition (N°5) · MAE (N°19.5) · art. 3 CEDH</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Contrôle entier du décret d’extradition ; CE, Koné (1996) : PFRLR interdisant l’extradition demandée dans un but politique ; Soering (1989) ; causes légales de refus (art. 696-4 CPP).</w:t>
            </w:r>
          </w:p>
        </w:tc>
      </w:tr>
      <w:tr>
        <w:tc>
          <w:tcPr>
            <w:tcW w:type="dxa" w:w="460"/>
            <w:tcBorders>
              <w:top w:val="single" w:color="BFBFBF" w:sz="2"/>
              <w:left w:val="single" w:color="BFBFBF" w:sz="2"/>
              <w:bottom w:val="single" w:color="BFBFBF" w:sz="2"/>
              <w:right w:val="single" w:color="BFBFBF" w:sz="2"/>
            </w:tcBorders>
            <w:shd w:fill="548235"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N°67.1 ENTRÉE &amp; SÉJOUR (43·34·53)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N°67.1 · p. 802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188,6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Conditions d’entrée et de séjour des étrangers en France — CESEDA</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43 · 34 · 53 · 55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8 CEDH · al. 10 Préambule · dir. 2003/86 (N°21.3)</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93-325 DC : pas de droit général et absolu d’accès au territoire, mais l’étranger bénéficie de la liberté individuelle, du droit de mener une vie familiale normale ; contrôle de proportionnalité (CE, Belgacem et Babas, 1991).</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193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5"/>
                <w:szCs w:val="15"/>
              </w:rPr>
              <w:t xml:space="preserve">N°67.2–67.3 OQTF &amp; EXPULSION (43)  ★</w:t>
            </w:r>
          </w:p>
        </w:tc>
        <w:tc>
          <w:tcPr>
            <w:tcW w:type="dxa" w:w="6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3"/>
                <w:szCs w:val="13"/>
              </w:rPr>
              <w:t xml:space="preserve">N°67.2 · p. 808</w:t>
            </w:r>
          </w:p>
        </w:tc>
        <w:tc>
          <w:tcPr>
            <w:tcW w:type="dxa" w:w="76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548235"/>
                <w:sz w:val="14"/>
                <w:szCs w:val="14"/>
              </w:rPr>
              <w:t xml:space="preserve">194,9 mm  (#4)</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4"/>
                <w:szCs w:val="14"/>
              </w:rPr>
              <w:t xml:space="preserve">OQTF et interdiction de retour (N°67.2) · OQTF et expulsion (N°67.3, p. 810) — CESEDA</w:t>
            </w:r>
          </w:p>
        </w:tc>
        <w:tc>
          <w:tcPr>
            <w:tcW w:type="dxa" w:w="8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548235"/>
                <w:sz w:val="14"/>
                <w:szCs w:val="14"/>
              </w:rPr>
              <w:t xml:space="preserve">43 · 30 · 34</w:t>
            </w:r>
          </w:p>
        </w:tc>
        <w:tc>
          <w:tcPr>
            <w:tcW w:type="dxa" w:w="329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Prot. 4 art. 4 et Prot. 7 art. 1er (N°4.3, 4.5) · art. 8 CEDH · directive retour (N°21.5)</w:t>
            </w:r>
          </w:p>
        </w:tc>
        <w:tc>
          <w:tcPr>
            <w:tcW w:type="dxa" w:w="558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2011-631 DC (loi du 16 juin 2011 : OQTF, rétention, intervention du juge) ; protections contre l’expulsion (attaches familiales, état de santé) ; proportionnalité au regard de l’art. 8.</w:t>
            </w:r>
          </w:p>
        </w:tc>
      </w:tr>
      <w:tr>
        <w:tc>
          <w:tcPr>
            <w:tcW w:type="dxa" w:w="460"/>
            <w:tcBorders>
              <w:top w:val="single" w:color="BFBFBF" w:sz="2"/>
              <w:left w:val="single" w:color="BFBFBF" w:sz="2"/>
              <w:bottom w:val="single" w:color="BFBFBF" w:sz="2"/>
              <w:right w:val="single" w:color="BFBFBF" w:sz="2"/>
            </w:tcBorders>
            <w:shd w:fill="548235"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N°67.4 RÉTENTION ADMINISTRATIVE (30·43)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N°67.4 · p. 812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201,1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OQTF, assignation à résidence et rétention administrative — CESEDA</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30 · 43 · 40</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66 C. · art. 5 CEDH · directive retour (N°21.5)</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Contrôle du juge judiciaire sur la privation de liberté (2011-631 DC) ; enfants en rétention : Popov c. France (2012), puis M.D. et A.D. c. France (2021) — violations des art. 3, 5 et 8.</w:t>
            </w:r>
          </w:p>
        </w:tc>
      </w:tr>
      <w:tr>
        <w:tc>
          <w:tcPr>
            <w:tcW w:type="dxa" w:w="460"/>
            <w:tcBorders>
              <w:top w:val="single" w:color="BFBFBF" w:sz="2"/>
              <w:left w:val="single" w:color="BFBFBF" w:sz="2"/>
              <w:bottom w:val="single" w:color="BFBFBF" w:sz="2"/>
              <w:right w:val="single" w:color="BFBFBF" w:sz="2"/>
            </w:tcBorders>
            <w:shd w:fill="548235" w:color="auto" w:val="clear"/>
          </w:tcPr>
          <w:p>
            <w:pPr>
              <w:spacing w:after="16" w:before="16"/>
              <w:jc w:val="center"/>
            </w:pPr>
            <w:r>
              <w:rPr>
                <w:b/>
                <w:bCs/>
                <w:i w:val="false"/>
                <w:iCs w:val="false"/>
                <w:color w:val="FFFFFF"/>
                <w:sz w:val="16"/>
                <w:szCs w:val="16"/>
              </w:rPr>
              <w:t xml:space="preserve">1</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N°67.5 ASILE — CESEDA (53)</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N°67.5 · p. 816</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207,4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Droit d’asile et qualité de réfugié — CESEDA (OFPRA, CNDA)</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53 · 55 · 18</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al. 4 Préambule · art. 53-1 C. · Conv. Genève (N°31) · règl. 2024/1351 (N°21.2) · Charte UE art. 18</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93-325 DC : l’asile constitutionnel ; principe de fraternité et liberté d’aider autrui dans un but humanitaire, « délit de solidarité » (2018-717/718 QPC).</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N°68.1 CITOYENS DE L’UE — SÉJOUR (40)</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N°68.1 · p. 822</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213,7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Entrée et séjour des citoyens de l’Union, de l’EEE, des Suisses et de leur famille — CESEDA (fonction publique, N°68.2 p. 826)</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40 · 15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dir. 2004/38 (N°18.4) · art. 21 TFUE (N°18.1)</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de circulation et de séjour ; limites tenant à l’ordre public et aux ressources.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193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5"/>
                <w:szCs w:val="15"/>
              </w:rPr>
              <w:t xml:space="preserve">N°68.3–68.4 VOTE DES CITOYENS UE (42)</w:t>
            </w:r>
          </w:p>
        </w:tc>
        <w:tc>
          <w:tcPr>
            <w:tcW w:type="dxa" w:w="6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3"/>
                <w:szCs w:val="13"/>
              </w:rPr>
              <w:t xml:space="preserve">N°68.3 · p. 827</w:t>
            </w:r>
          </w:p>
        </w:tc>
        <w:tc>
          <w:tcPr>
            <w:tcW w:type="dxa" w:w="76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220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Droit de vote et d’éligibilité aux élections européennes (loi 77-729) et municipales (C. élect., CGCT)</w:t>
            </w:r>
          </w:p>
        </w:tc>
        <w:tc>
          <w:tcPr>
            <w:tcW w:type="dxa" w:w="8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4"/>
                <w:szCs w:val="14"/>
              </w:rPr>
              <w:t xml:space="preserve">42 · 15</w:t>
            </w:r>
          </w:p>
        </w:tc>
        <w:tc>
          <w:tcPr>
            <w:tcW w:type="dxa" w:w="329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88-3 C. (N°3.1) · Charte UE art. 39-40 · art. 22 TFUE</w:t>
            </w:r>
          </w:p>
        </w:tc>
        <w:tc>
          <w:tcPr>
            <w:tcW w:type="dxa" w:w="558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92-308 DC (Maastricht) : révision constitutionnelle préalable → art. 88-3 C. ; les citoyens de l’Union ne peuvent être ni maire ni adjoint, ni participer à l’élection des sénateurs.</w:t>
            </w:r>
          </w:p>
        </w:tc>
      </w:tr>
    </w:tbl>
    <w:p>
      <w:pPr>
        <w:spacing w:after="140"/>
      </w:pPr>
    </w:p>
    <w:p>
      <w:pPr>
        <w:spacing w:after="60" w:before="140"/>
      </w:pPr>
      <w:r>
        <w:rPr>
          <w:b/>
          <w:bCs/>
          <w:color w:val="1F3864"/>
          <w:sz w:val="22"/>
          <w:szCs w:val="22"/>
        </w:rPr>
        <w:t xml:space="preserve">Couverture exhaustive des N°39.1 à 68.4</w:t>
      </w:r>
    </w:p>
    <w:p>
      <w:pPr>
        <w:spacing w:after="40"/>
      </w:pPr>
      <w:r>
        <w:rPr>
          <w:color w:val="404040"/>
          <w:sz w:val="16"/>
          <w:szCs w:val="16"/>
        </w:rPr>
        <w:t xml:space="preserve">74 documents : 35 portent un onglet, 39 sont atteints par l’onglet voisin indiqué.</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900"/>
        <w:gridCol w:w="7300"/>
        <w:gridCol w:w="700"/>
        <w:gridCol w:w="6698"/>
      </w:tblGrid>
      <w:tr>
        <w:trPr>
          <w:tblHeader/>
        </w:trPr>
        <w:tc>
          <w:tcPr>
            <w:tcW w:type="dxa" w:w="9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N°</w:t>
            </w:r>
          </w:p>
        </w:tc>
        <w:tc>
          <w:tcPr>
            <w:tcW w:type="dxa" w:w="73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Document</w:t>
            </w:r>
          </w:p>
        </w:tc>
        <w:tc>
          <w:tcPr>
            <w:tcW w:type="dxa" w:w="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p.</w:t>
            </w:r>
          </w:p>
        </w:tc>
        <w:tc>
          <w:tcPr>
            <w:tcW w:type="dxa" w:w="6698"/>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Onglet(s)</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39.1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CNCDH — loi n°2007-292 du 5 mars 2007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605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N°39.1–39.2 CNCDH &amp; DDD (20)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39.2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Défenseur des droits — LO n°2011-333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606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N°39.1–39.2 CNCDH &amp; DDD » (p. 606)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40</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Statut de la magistrature — ord. 58-1270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619</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N°40–42 MAGISTRATURE &amp; JURIDICTIONS (31·17·18)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CSM — LO 94-100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631</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N°40–42 » (p. 631)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Indépendance juridiction administrative — CJA L.131-2 s., L.231-1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640</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N°40–42 » (p. 640)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Déontologie police/gendarmerie — CSI R.434-1 à R.434-33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643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N°43–44 POLICE &amp; SÉCURITÉ (30·28)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à la sécurité — CSI L.111-1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649</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N°43–44 POLICE &amp; SÉCURITÉ » (p. 649)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Aide juridictionnelle — loi 91-647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650</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N°45 AIDE JURIDICTIONNELLE (31)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Coopération CPI — CPP 627 à 627-20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656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6 pages avant « N°46–47 PRÉSOMPTION D’INNOCENCE » — jamais cité dans tes supports</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47</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9-1 C. civ.</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662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N°46–47 PRÉSOMPTION D’INNOCENCE (32·37)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48.1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Protection de l'identité — loi 2012-410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662</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2 pages avant « N°48.3 CONTRÔLES D’IDENTITÉ » (même page que N°47)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48.2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Carte nationale d'identité — décret 55-1397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663</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1 page avant « N°48.3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48.3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Contrôles d'identité — CPP 78-1 à 78-6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664</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N°48.3 CONTRÔLES D’IDENTITÉ (40·20)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49.1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GAV crimes et flagrance — CPP 62-2 à 64-1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671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N°49.1 GARDE À VUE (30·32)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49.2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GAV enquête préliminaire — CPP 77 à 78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680</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N°49.2–50 PRÉLIMINAIRE · SECRET (32·37)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49.3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GAV commission rogatoire — CPP 154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684</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N°49.2–50 » (p. 684)</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50</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Secret de l'instruction — C. pén. 226-13/14, CPP 11 et 11-1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684</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N°49.2–50 » (p. 684)</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51.1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CPP 137 à 137-4 — principes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686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N°51.1 LIBERTÉ, CJ, ARSE (30)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51.2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Contrôle judiciaire — CPP 138 à 142-4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688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N°51.1 LIBERTÉ, CJ, ARSE » (p. 688)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51.3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ARSE — CPP 142-5 à 142-8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695</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N°51.1 » (p. 695)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51.4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Détention provisoire — CPP 143-1 à 148-8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698</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N°51.4 DÉTENTION PROVISOIRE (30·28)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51.5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Réparation de la détention provisoire — CPP 149 à 150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706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N°51.4 DÉTENTION PROVISOIRE » (p. 706)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51.6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Exécution de la détention provisoire — CPP 714 à 716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707</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N°51.4 » (p. 707)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52.1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Exécution des peines — CPP 716-1 à 721-3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708</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N°52.1 EXÉCUTION DES PEINES (28·32)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52.2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Droits et obligations des détenus — Code pénitentiaire</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718</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N°52.2 CODE PÉNITENTIAIRE (28)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52.3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Surveillance électronique — CPP 723-7 à 723-13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729</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2 pages avant « N°52.4 RÉTENTION DE SÛRETÉ » (p. 729)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52.4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Rétention et surveillance de sûreté — CPP 706-53-13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731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N°52.4 RÉTENTION DE SÛRETÉ (30)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52.5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CGLPL — loi 2007-1545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732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N°52.5 CGLPL (28·20)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CSP L.3211-1 s., L.3213-1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736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N°53 SOINS SANS CONSENTEMENT (30)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 pén. 432-4 à 432-6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743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N°54 ATTEINTES PAR AUTORITÉ PUBLIQUE (17·19)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55.1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Taubira 2001-434 — traite et esclavage crime contre l'humanité</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745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N°55.1–57 MÉMOIRE &amp; CRIMES CONTRE L’HUMANITÉ (37·29)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55.2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Commémoration abolition de l'esclavage — loi 83-550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746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N°55.1–57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Reconnaissance du génocide arménien — loi 2001-70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746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N°55.1–57 » (p. 746)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57</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Génocide et crimes contre l'humanité — C. pén. 211-1 s., 212-1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746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N°55.1–57 » (p. 746)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58.1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Traite des êtres humains — C. pén. 225-4-1 à 225-4-9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747</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N°58.1–58.2 TRAITE &amp; PROSTITUTION (29·55)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58.2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Système prostitutionnel — loi 2016-444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748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N°58.1–58.2 » (p. 748)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59.1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Lutte contre les discriminations — loi 2008-496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753</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N°59.1 LOI DU 27 MAI 2008 (54)</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59.2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Non-discrimination en droit du travail — C. trav. L.1132-1 à L.1132-4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755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N°59.2–59.5 TRAVAIL · PÉNAL · ACTION (54·36)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59.3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Répression de la discrimination — C. pén. 225-1 à 225-4, 432-7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756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N°59.2–59.5 » (p. 756)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59.4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Actions en matière de discrimination — CPC 1263-1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759</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N°59.2–59.5 » (p. 759)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59.5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DILCRAH — décret 2003-1164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759</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N°59.2–59.5 » (p. 759)</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60.1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Solidarité personnes handicapées — CASF L.114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760</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N°60.1–60.2 HANDICAP &amp; ÂGE (55·47)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60.2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Solidarité personnes âgées — CASF L.113-1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764</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N°60.1–60.2 » (p. 764)</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61.1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Droits de l'enfant et politique familiale — CASF L.112-1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766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2 pages avant « N°61.3 JUSTICE PÉNALE DES MINEURS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61.2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à l'image des enfants — C. civ. 372-1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767</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1 page avant « N°61.3 » (art. 372-1 C. civ.)</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61.3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Justice pénale des mineurs — CJPM L.11-1 à L.13-4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768</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N°61.3 JUSTICE PÉNALE DES MINEURS (32·55)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61.4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Mesures éducatives — CJPM L.111-1 à L.111-6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770</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2 pages après « N°61.3 » (mesures éducatives)</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61.5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Observatoire national protection de l'enfance — CASF L.226-6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771</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3 pages après « N°61.3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61.6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Journée nationale des droits de l'enfant — loi 96-296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771</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3 pages après « N°61.3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61.7</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Adoption internationale — C. civ. 370-2 à 370-5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772</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4 pages après « N°61.3 » — adoption internationale (voir aussi La Haye, N°35.1)</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61.8</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Droits de l'enfant / fournitures scolaires — loi 99-478, C. éduc. L.216-10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772</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2 pages avant « N°62.1–62.2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61.9</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Enseignement moral et civique — C. éduc. L.312-15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773</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1 page avant « N°62.1–62.2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62.1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Parité — art. 1er Constitution</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774</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N°62.1–62.2 PARITÉ &amp; ÉGALITÉ RÉELLE (56·42)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62.2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Égalité réelle F/H — loi 2014-873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774</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N°62.1–62.2 » (même page)</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62.3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Égalité professionnelle — C. trav. L.1142-1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775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N°62.3–62.7 ÉGALITÉ PROFESSIONNELLE (56·54)</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62.4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Égalité de rémunération — C. trav. L.3221-1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777</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N°62.3–62.7 » (p. 777)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62.5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Discriminations liées au sexe — CGFP L.131-2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778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N°62.3–62.7 » (p. 778)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62.6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Haut Conseil à l'égalité — décret 2021-921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778</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N°62.3–62.7 » (p. 778)</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62.7</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Délégations parlementaires droits des femmes — ord. 58-1100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782</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N°62.3–62.7 » (p. 782)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63.1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MIPROF — décret 2013-7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783</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2 pages avant « N°63.2 ORDONNANCE DE PROTECTION »</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63.2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Ordonnance de protection — C. civ. 515-9 à 515-13, loi 2010-769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785</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N°63.2 ORDONNANCE DE PROTECTION (55·27)</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63.3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Dissimulation du visage — loi 2010-1192, C. pén. 225-4-10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788</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N°63.3 DISSIMULATION DU VISAGE (36·6)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RSA / lutte contre les exclusions — loi 2008-1249, CASF L.115-1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789</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N°64 PAUVRETÉ &amp; RSA (48·55)</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11 et 14 C. civ.</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791</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N°65 ART. 11 &amp; 14 C. CIV. (43)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66</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Extradition — CPP 696 à 696-41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792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N°66 EXTRADITION (43)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67.1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Entrée et séjour des étrangers — CESEDA</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802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N°67.1 ENTRÉE &amp; SÉJOUR (43·34·53)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67.2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OQTF et interdiction de retour — CESEDA</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808</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N°67.2–67.3 OQTF &amp; EXPULSION (43)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67.3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OQTF et expulsion — CESEDA</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810</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N°67.2–67.3 OQTF &amp; EXPULSION » (p. 810)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67.4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OQTF, assignation à résidence, rétention administrative — CESEDA</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812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N°67.4 RÉTENTION ADMINISTRATIVE (30·43)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67.5</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d'asile et qualité de réfugié — CESEDA</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816</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N°67.5 ASILE — CESEDA (53)</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68.1</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Entrée et séjour des citoyens UE/EEE/suisses — CESEDA</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822</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N°68.1 CITOYENS DE L’UE — SÉJOUR (40)</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68.2</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Fonction publique ouverte aux citoyens UE — CGFP L.321-2 s.</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826</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N°68.1 » (p. 826)</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68.3</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Vote des citoyens UE aux européennes — loi 77-729 art. 2-1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827</w:t>
            </w:r>
          </w:p>
        </w:tc>
        <w:tc>
          <w:tcPr>
            <w:tcW w:type="dxa" w:w="6698"/>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N°68.3–68.4 VOTE DES CITOYENS UE (42)</w:t>
            </w:r>
          </w:p>
        </w:tc>
      </w:tr>
      <w:tr>
        <w:tc>
          <w:tcPr>
            <w:tcW w:type="dxa" w:w="9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3"/>
                <w:szCs w:val="13"/>
              </w:rPr>
              <w:t xml:space="preserve">68.4</w:t>
            </w:r>
          </w:p>
        </w:tc>
        <w:tc>
          <w:tcPr>
            <w:tcW w:type="dxa" w:w="73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Vote des citoyens UE aux municipales — C. élect., CGCT</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827</w:t>
            </w:r>
          </w:p>
        </w:tc>
        <w:tc>
          <w:tcPr>
            <w:tcW w:type="dxa" w:w="6698"/>
            <w:tcBorders>
              <w:top w:val="single" w:color="BFBFBF" w:sz="2"/>
              <w:left w:val="single" w:color="BFBFBF" w:sz="2"/>
              <w:bottom w:val="single" w:color="BFBFBF" w:sz="2"/>
              <w:right w:val="single" w:color="BFBFBF" w:sz="2"/>
            </w:tcBorders>
          </w:tcPr>
          <w:p>
            <w:pPr>
              <w:spacing w:after="16" w:before="16"/>
            </w:pPr>
            <w:r>
              <w:rPr>
                <w:b w:val="false"/>
                <w:bCs w:val="false"/>
                <w:i/>
                <w:iCs/>
                <w:color w:val="7F7F7F"/>
                <w:sz w:val="13"/>
                <w:szCs w:val="13"/>
              </w:rPr>
              <w:t xml:space="preserve">rattaché à « N°68.3–68.4 » (même page)</w:t>
            </w:r>
          </w:p>
        </w:tc>
      </w:tr>
    </w:tbl>
    <w:p>
      <w:pPr>
        <w:spacing w:after="60" w:before="140"/>
      </w:pPr>
      <w:r>
        <w:rPr>
          <w:b/>
          <w:bCs/>
          <w:color w:val="1F3864"/>
          <w:sz w:val="22"/>
          <w:szCs w:val="22"/>
        </w:rPr>
        <w:t xml:space="preserve">Conseils de pose pour l’étape 3</w:t>
      </w:r>
    </w:p>
    <w:p>
      <w:pPr>
        <w:spacing w:after="30"/>
        <w:ind w:left="280" w:hanging="200"/>
      </w:pPr>
      <w:r>
        <w:rPr>
          <w:b/>
          <w:bCs/>
          <w:color w:val="1F3864"/>
          <w:sz w:val="16"/>
          <w:szCs w:val="16"/>
        </w:rPr>
        <w:t xml:space="preserve">▪ </w:t>
      </w:r>
      <w:r>
        <w:rPr>
          <w:b/>
          <w:bCs/>
          <w:sz w:val="16"/>
          <w:szCs w:val="16"/>
        </w:rPr>
        <w:t xml:space="preserve">Les blocs de la Partie II sont plus aérés. </w:t>
      </w:r>
      <w:r>
        <w:rPr>
          <w:color w:val="404040"/>
          <w:sz w:val="16"/>
          <w:szCs w:val="16"/>
        </w:rPr>
        <w:t xml:space="preserve">Les textes y sont plus longs (lois, codes) : les onglets sont espacés de plusieurs pages, et les escaliers vont de 4,4 à 8,8 mm. La pose est plus simple qu’en Partie I.</w:t>
      </w:r>
    </w:p>
    <w:p>
      <w:pPr>
        <w:spacing w:after="30"/>
        <w:ind w:left="280" w:hanging="200"/>
      </w:pPr>
      <w:r>
        <w:rPr>
          <w:b/>
          <w:bCs/>
          <w:color w:val="1F3864"/>
          <w:sz w:val="16"/>
          <w:szCs w:val="16"/>
        </w:rPr>
        <w:t xml:space="preserve">▪ </w:t>
      </w:r>
      <w:r>
        <w:rPr>
          <w:b/>
          <w:bCs/>
          <w:sz w:val="16"/>
          <w:szCs w:val="16"/>
        </w:rPr>
        <w:t xml:space="preserve">Les onglets groupés couvrent plusieurs documents consécutifs. </w:t>
      </w:r>
      <w:r>
        <w:rPr>
          <w:color w:val="404040"/>
          <w:sz w:val="16"/>
          <w:szCs w:val="16"/>
        </w:rPr>
        <w:t xml:space="preserve">Exemple : « N°58.1–58.2 TRAITE &amp; PROSTITUTION » se pose sur le N°58.1 ; le N°58.2 est la page suivante. Le tableau de couverture indique, pour chaque document sans onglet, l’onglet qui y mène et la distance en pages.</w:t>
      </w:r>
    </w:p>
    <w:p>
      <w:pPr>
        <w:spacing w:after="30"/>
        <w:ind w:left="280" w:hanging="200"/>
      </w:pPr>
      <w:r>
        <w:rPr>
          <w:b/>
          <w:bCs/>
          <w:color w:val="1F3864"/>
          <w:sz w:val="16"/>
          <w:szCs w:val="16"/>
        </w:rPr>
        <w:t xml:space="preserve">▪ </w:t>
      </w:r>
      <w:r>
        <w:rPr>
          <w:b/>
          <w:bCs/>
          <w:sz w:val="16"/>
          <w:szCs w:val="16"/>
        </w:rPr>
        <w:t xml:space="preserve">Onglets « 2 » facultatifs. </w:t>
      </w:r>
      <w:r>
        <w:rPr>
          <w:color w:val="404040"/>
          <w:sz w:val="16"/>
          <w:szCs w:val="16"/>
        </w:rPr>
        <w:t xml:space="preserve">Magistrature et juridictions, police et sécurité, enquête préliminaire et secret de l’instruction, exécution des peines, atteintes par autorité publique, égalité professionnelle, RSA, art. 11 et 14 C. civ., citoyens de l’UE : à retirer en premier si tu veux alléger, sans déplacer les autres.</w:t>
      </w:r>
    </w:p>
    <w:sectPr>
      <w:pgSz w:w="16838" w:h="11906" w:orient="landscape"/>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2026-10-10T16:11:30.117Z</dcterms:created>
  <dcterms:modified xsi:type="dcterms:W3CDTF">2026-10-10T16:11:30.117Z</dcterms:modified>
</cp:coreProperties>
</file>

<file path=docProps/custom.xml><?xml version="1.0" encoding="utf-8"?>
<Properties xmlns="http://schemas.openxmlformats.org/officeDocument/2006/custom-properties" xmlns:vt="http://schemas.openxmlformats.org/officeDocument/2006/docPropsVTypes"/>
</file>