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3864"/>
          <w:sz w:val="34"/>
          <w:szCs w:val="34"/>
        </w:rPr>
        <w:t xml:space="preserve">Plan de pose des post-it — Oberdorff, Libertés fondamentales et droits de l’homme</w:t>
      </w:r>
    </w:p>
    <w:p>
      <w:pPr>
        <w:spacing w:after="40"/>
      </w:pPr>
      <w:r>
        <w:rPr>
          <w:i/>
          <w:iCs/>
          <w:color w:val="595959"/>
          <w:sz w:val="19"/>
          <w:szCs w:val="19"/>
        </w:rPr>
        <w:t xml:space="preserve">Recueil LGDJ, examen national 2026 · Grand Oral CRFPA  —  ÉTAPE 4 / 5 : Partie II, sections E à M (N°69.1 à 117)</w:t>
      </w:r>
    </w:p>
    <w:p>
      <w:pPr>
        <w:spacing w:after="40"/>
      </w:pPr>
      <w:r>
        <w:rPr>
          <w:color w:val="404040"/>
          <w:sz w:val="16"/>
          <w:szCs w:val="16"/>
        </w:rPr>
        <w:t xml:space="preserve">45 onglets · 6 blocs (L12 à L17) · fin du recueil. Même méthode : priorité fondée sur la fréquence réelle de chaque texte dans ton corpus, numéros de fiche vérifiés par script dans tes 56 fiches, décisions citées seulement si elles figurent dans tes supports. Toujours l’arête latérale seule.</w:t>
      </w:r>
    </w:p>
    <w:p>
      <w:pPr>
        <w:spacing w:after="60" w:before="140"/>
      </w:pPr>
      <w:r>
        <w:rPr>
          <w:b/>
          <w:bCs/>
          <w:color w:val="1F3864"/>
          <w:sz w:val="22"/>
          <w:szCs w:val="22"/>
        </w:rPr>
        <w:t xml:space="preserve">Bilan du livre entier</w:t>
      </w:r>
    </w:p>
    <w:p>
      <w:pPr>
        <w:spacing w:after="40"/>
      </w:pPr>
      <w:r>
        <w:rPr>
          <w:b/>
          <w:bCs/>
          <w:color w:val="1F3864"/>
          <w:sz w:val="16"/>
          <w:szCs w:val="16"/>
        </w:rPr>
        <w:t xml:space="preserve">156 onglets en 17 blocs, tous sur l’arête latérale : 14 phares, 100 essentiels, 39 complémentaires, 3 textes transversaux. Contrôle automatique : 0 chevauchement, aucun couloir saturé. L’arête haute n’est pas nécessaire. Sans les 39 onglets « 2 », le livre en compterait 117, et tous les documents resteraient atteints par un onglet voisin.</w:t>
      </w: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1100"/>
        <w:gridCol w:w="1600"/>
        <w:gridCol w:w="2300"/>
        <w:gridCol w:w="1700"/>
        <w:gridCol w:w="1100"/>
        <w:gridCol w:w="1500"/>
        <w:gridCol w:w="1700"/>
        <w:gridCol w:w="4598"/>
      </w:tblGrid>
      <w:tr>
        <w:trPr>
          <w:tblHeader/>
        </w:trPr>
        <w:tc>
          <w:tcPr>
            <w:tcW w:type="dxa" w:w="11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Bloc</w:t>
            </w:r>
          </w:p>
        </w:tc>
        <w:tc>
          <w:tcPr>
            <w:tcW w:type="dxa" w:w="16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Couleur</w:t>
            </w:r>
          </w:p>
        </w:tc>
        <w:tc>
          <w:tcPr>
            <w:tcW w:type="dxa" w:w="23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Pages</w:t>
            </w:r>
          </w:p>
        </w:tc>
        <w:tc>
          <w:tcPr>
            <w:tcW w:type="dxa" w:w="17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Couloir</w:t>
            </w:r>
          </w:p>
        </w:tc>
        <w:tc>
          <w:tcPr>
            <w:tcW w:type="dxa" w:w="11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Onglets</w:t>
            </w:r>
          </w:p>
        </w:tc>
        <w:tc>
          <w:tcPr>
            <w:tcW w:type="dxa" w:w="15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Escalier</w:t>
            </w:r>
          </w:p>
        </w:tc>
        <w:tc>
          <w:tcPr>
            <w:tcW w:type="dxa" w:w="17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Hauteur (mm)</w:t>
            </w:r>
          </w:p>
        </w:tc>
        <w:tc>
          <w:tcPr>
            <w:tcW w:type="dxa" w:w="4598"/>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État</w:t>
            </w:r>
          </w:p>
        </w:tc>
      </w:tr>
      <w:tr>
        <w:tc>
          <w:tcPr>
            <w:tcW w:type="dxa" w:w="110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1F4E79"/>
                <w:sz w:val="15"/>
                <w:szCs w:val="15"/>
              </w:rPr>
              <w:t xml:space="preserve">L1</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BLEU MARINE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3 à 30</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C1</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10</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4,9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8 → 64</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dense, encore conforme</w:t>
            </w:r>
          </w:p>
        </w:tc>
      </w:tr>
      <w:tr>
        <w:tc>
          <w:tcPr>
            <w:tcW w:type="dxa" w:w="110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C0504D"/>
                <w:sz w:val="15"/>
                <w:szCs w:val="15"/>
              </w:rPr>
              <w:t xml:space="preserve">L2</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C0504D"/>
                <w:sz w:val="13"/>
                <w:szCs w:val="13"/>
              </w:rPr>
              <w:t xml:space="preserve">ROUGE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31 à 53</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C2 + C3</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17</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6,3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64 → 176</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r>
        <w:tc>
          <w:tcPr>
            <w:tcW w:type="dxa" w:w="110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C55A11"/>
                <w:sz w:val="15"/>
                <w:szCs w:val="15"/>
              </w:rPr>
              <w:t xml:space="preserve">L3</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C55A11"/>
                <w:sz w:val="13"/>
                <w:szCs w:val="13"/>
              </w:rPr>
              <w:t xml:space="preserve">ORANGE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54 à 170</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C4</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8</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6,3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176 → 232</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r>
        <w:tc>
          <w:tcPr>
            <w:tcW w:type="dxa" w:w="110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BF9000"/>
                <w:sz w:val="15"/>
                <w:szCs w:val="15"/>
              </w:rPr>
              <w:t xml:space="preserve">L4</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BF9000"/>
                <w:sz w:val="13"/>
                <w:szCs w:val="13"/>
              </w:rPr>
              <w:t xml:space="preserve">JAUNE / OR</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171 à 193</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C1</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11</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4,4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8 → 64</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dense, encore conforme</w:t>
            </w:r>
          </w:p>
        </w:tc>
      </w:tr>
      <w:tr>
        <w:tc>
          <w:tcPr>
            <w:tcW w:type="dxa" w:w="1100"/>
            <w:tcBorders>
              <w:top w:val="single" w:color="BFBFBF" w:sz="2"/>
              <w:left w:val="single" w:color="BFBFBF" w:sz="2"/>
              <w:bottom w:val="single" w:color="BFBFBF" w:sz="2"/>
              <w:right w:val="single" w:color="BFBFBF" w:sz="2"/>
            </w:tcBorders>
            <w:shd w:fill="DCE4C8" w:color="auto" w:val="clear"/>
          </w:tcPr>
          <w:p>
            <w:pPr>
              <w:spacing w:after="16" w:before="16"/>
            </w:pPr>
            <w:r>
              <w:rPr>
                <w:b/>
                <w:bCs/>
                <w:i w:val="false"/>
                <w:iCs w:val="false"/>
                <w:color w:val="6B8E23"/>
                <w:sz w:val="15"/>
                <w:szCs w:val="15"/>
              </w:rPr>
              <w:t xml:space="preserve">L5</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6B8E23"/>
                <w:sz w:val="13"/>
                <w:szCs w:val="13"/>
              </w:rPr>
              <w:t xml:space="preserve">OLIVE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194 à 411</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C2</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10</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4,9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64 → 120</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dense, encore conforme</w:t>
            </w:r>
          </w:p>
        </w:tc>
      </w:tr>
      <w:tr>
        <w:tc>
          <w:tcPr>
            <w:tcW w:type="dxa" w:w="110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2E938A"/>
                <w:sz w:val="15"/>
                <w:szCs w:val="15"/>
              </w:rPr>
              <w:t xml:space="preserve">L6</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2E938A"/>
                <w:sz w:val="13"/>
                <w:szCs w:val="13"/>
              </w:rPr>
              <w:t xml:space="preserve">TURQUOISE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412 à 440</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C3</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8</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6,3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120 → 176</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r>
        <w:tc>
          <w:tcPr>
            <w:tcW w:type="dxa" w:w="110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7030A0"/>
                <w:sz w:val="15"/>
                <w:szCs w:val="15"/>
              </w:rPr>
              <w:t xml:space="preserve">L7</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7030A0"/>
                <w:sz w:val="13"/>
                <w:szCs w:val="13"/>
              </w:rPr>
              <w:t xml:space="preserve">VIOLET</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441 à 602</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C4</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12</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4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176 → 232</w:t>
            </w:r>
          </w:p>
        </w:tc>
        <w:tc>
          <w:tcPr>
            <w:tcW w:type="dxa" w:w="4598"/>
            <w:tcBorders>
              <w:top w:val="single" w:color="BFBFBF" w:sz="2"/>
              <w:left w:val="single" w:color="BFBFBF" w:sz="2"/>
              <w:bottom w:val="single" w:color="BFBFBF" w:sz="2"/>
              <w:right w:val="single" w:color="BFBFBF" w:sz="2"/>
            </w:tcBorders>
          </w:tcPr>
          <w:p>
            <w:pPr>
              <w:spacing w:after="16" w:before="16"/>
            </w:pPr>
            <w:r>
              <w:rPr>
                <w:b/>
                <w:bCs/>
                <w:i w:val="false"/>
                <w:iCs w:val="false"/>
                <w:color w:val="C0504D"/>
                <w:sz w:val="13"/>
                <w:szCs w:val="13"/>
              </w:rPr>
              <w:t xml:space="preserve">plein (escalier minimal de 4 mm) — aucun ajout possible</w:t>
            </w:r>
          </w:p>
        </w:tc>
      </w:tr>
      <w:tr>
        <w:tc>
          <w:tcPr>
            <w:tcW w:type="dxa" w:w="1100"/>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5B6270"/>
                <w:sz w:val="15"/>
                <w:szCs w:val="15"/>
              </w:rPr>
              <w:t xml:space="preserve">L8</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5B6270"/>
                <w:sz w:val="13"/>
                <w:szCs w:val="13"/>
              </w:rPr>
              <w:t xml:space="preserve">ARDOISE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605 à 670</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C1</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8,8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8 → 64</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r>
        <w:tc>
          <w:tcPr>
            <w:tcW w:type="dxa" w:w="1100"/>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C0397B"/>
                <w:sz w:val="15"/>
                <w:szCs w:val="15"/>
              </w:rPr>
              <w:t xml:space="preserve">L9</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C0397B"/>
                <w:sz w:val="13"/>
                <w:szCs w:val="13"/>
              </w:rPr>
              <w:t xml:space="preserve">FUCHSIA</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671 à 744</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C2</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10</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4,9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64 → 120</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dense, encore conforme</w:t>
            </w:r>
          </w:p>
        </w:tc>
      </w:tr>
      <w:tr>
        <w:tc>
          <w:tcPr>
            <w:tcW w:type="dxa" w:w="1100"/>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8B6F31"/>
                <w:sz w:val="15"/>
                <w:szCs w:val="15"/>
              </w:rPr>
              <w:t xml:space="preserve">L10</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8B6F31"/>
                <w:sz w:val="13"/>
                <w:szCs w:val="13"/>
              </w:rPr>
              <w:t xml:space="preserve">SABLE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745 à 790</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C3</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11</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4,4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120 → 176</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dense, encore conforme</w:t>
            </w:r>
          </w:p>
        </w:tc>
      </w:tr>
      <w:tr>
        <w:tc>
          <w:tcPr>
            <w:tcW w:type="dxa" w:w="1100"/>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548235"/>
                <w:sz w:val="15"/>
                <w:szCs w:val="15"/>
              </w:rPr>
              <w:t xml:space="preserve">L11</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548235"/>
                <w:sz w:val="13"/>
                <w:szCs w:val="13"/>
              </w:rPr>
              <w:t xml:space="preserve">VERT</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791 à 830</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C4</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8</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6,3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176 → 232</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r>
        <w:tc>
          <w:tcPr>
            <w:tcW w:type="dxa" w:w="1100"/>
            <w:tcBorders>
              <w:top w:val="single" w:color="BFBFBF" w:sz="2"/>
              <w:left w:val="single" w:color="BFBFBF" w:sz="2"/>
              <w:bottom w:val="single" w:color="BFBFBF" w:sz="2"/>
              <w:right w:val="single" w:color="BFBFBF" w:sz="2"/>
            </w:tcBorders>
            <w:shd w:fill="D9EEF8" w:color="auto" w:val="clear"/>
          </w:tcPr>
          <w:p>
            <w:pPr>
              <w:spacing w:after="16" w:before="16"/>
            </w:pPr>
            <w:r>
              <w:rPr>
                <w:b/>
                <w:bCs/>
                <w:i w:val="false"/>
                <w:iCs w:val="false"/>
                <w:color w:val="3B8CC4"/>
                <w:sz w:val="15"/>
                <w:szCs w:val="15"/>
              </w:rPr>
              <w:t xml:space="preserve">L12</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3B8CC4"/>
                <w:sz w:val="13"/>
                <w:szCs w:val="13"/>
              </w:rPr>
              <w:t xml:space="preserve">BLEU CIEL</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831 à 940</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C1</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8</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6,3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8 → 64</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r>
        <w:tc>
          <w:tcPr>
            <w:tcW w:type="dxa" w:w="1100"/>
            <w:tcBorders>
              <w:top w:val="single" w:color="BFBFBF" w:sz="2"/>
              <w:left w:val="single" w:color="BFBFBF" w:sz="2"/>
              <w:bottom w:val="single" w:color="BFBFBF" w:sz="2"/>
              <w:right w:val="single" w:color="BFBFBF" w:sz="2"/>
            </w:tcBorders>
            <w:shd w:fill="ECE6F5" w:color="auto" w:val="clear"/>
          </w:tcPr>
          <w:p>
            <w:pPr>
              <w:spacing w:after="16" w:before="16"/>
            </w:pPr>
            <w:r>
              <w:rPr>
                <w:b/>
                <w:bCs/>
                <w:i w:val="false"/>
                <w:iCs w:val="false"/>
                <w:color w:val="8E7CC3"/>
                <w:sz w:val="15"/>
                <w:szCs w:val="15"/>
              </w:rPr>
              <w:t xml:space="preserve">L13</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8E7CC3"/>
                <w:sz w:val="13"/>
                <w:szCs w:val="13"/>
              </w:rPr>
              <w:t xml:space="preserve">LAVANDE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941 à 972</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C2</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8,8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64 → 120</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r>
        <w:tc>
          <w:tcPr>
            <w:tcW w:type="dxa" w:w="1100"/>
            <w:tcBorders>
              <w:top w:val="single" w:color="BFBFBF" w:sz="2"/>
              <w:left w:val="single" w:color="BFBFBF" w:sz="2"/>
              <w:bottom w:val="single" w:color="BFBFBF" w:sz="2"/>
              <w:right w:val="single" w:color="BFBFBF" w:sz="2"/>
            </w:tcBorders>
            <w:shd w:fill="FCE1DA" w:color="auto" w:val="clear"/>
          </w:tcPr>
          <w:p>
            <w:pPr>
              <w:spacing w:after="16" w:before="16"/>
            </w:pPr>
            <w:r>
              <w:rPr>
                <w:b/>
                <w:bCs/>
                <w:i w:val="false"/>
                <w:iCs w:val="false"/>
                <w:color w:val="E0684B"/>
                <w:sz w:val="15"/>
                <w:szCs w:val="15"/>
              </w:rPr>
              <w:t xml:space="preserve">L14</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E0684B"/>
                <w:sz w:val="13"/>
                <w:szCs w:val="13"/>
              </w:rPr>
              <w:t xml:space="preserve">CORAIL</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973 à 1038</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C3</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8</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6,3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120 → 176</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r>
        <w:tc>
          <w:tcPr>
            <w:tcW w:type="dxa" w:w="1100"/>
            <w:tcBorders>
              <w:top w:val="single" w:color="BFBFBF" w:sz="2"/>
              <w:left w:val="single" w:color="BFBFBF" w:sz="2"/>
              <w:bottom w:val="single" w:color="BFBFBF" w:sz="2"/>
              <w:right w:val="single" w:color="BFBFBF" w:sz="2"/>
            </w:tcBorders>
            <w:shd w:fill="EADFD6" w:color="auto" w:val="clear"/>
          </w:tcPr>
          <w:p>
            <w:pPr>
              <w:spacing w:after="16" w:before="16"/>
            </w:pPr>
            <w:r>
              <w:rPr>
                <w:b/>
                <w:bCs/>
                <w:i w:val="false"/>
                <w:iCs w:val="false"/>
                <w:color w:val="7F5539"/>
                <w:sz w:val="15"/>
                <w:szCs w:val="15"/>
              </w:rPr>
              <w:t xml:space="preserve">L15</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7F5539"/>
                <w:sz w:val="13"/>
                <w:szCs w:val="13"/>
              </w:rPr>
              <w:t xml:space="preserve">BRUN</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1039 à 1156</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C4</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9</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5,5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176 → 232</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r>
        <w:tc>
          <w:tcPr>
            <w:tcW w:type="dxa" w:w="1100"/>
            <w:tcBorders>
              <w:top w:val="single" w:color="BFBFBF" w:sz="2"/>
              <w:left w:val="single" w:color="BFBFBF" w:sz="2"/>
              <w:bottom w:val="single" w:color="BFBFBF" w:sz="2"/>
              <w:right w:val="single" w:color="BFBFBF" w:sz="2"/>
            </w:tcBorders>
            <w:shd w:fill="EDEDED" w:color="auto" w:val="clear"/>
          </w:tcPr>
          <w:p>
            <w:pPr>
              <w:spacing w:after="16" w:before="16"/>
            </w:pPr>
            <w:r>
              <w:rPr>
                <w:b/>
                <w:bCs/>
                <w:i w:val="false"/>
                <w:iCs w:val="false"/>
                <w:color w:val="6E6E6E"/>
                <w:sz w:val="15"/>
                <w:szCs w:val="15"/>
              </w:rPr>
              <w:t xml:space="preserve">L16</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6E6E6E"/>
                <w:sz w:val="13"/>
                <w:szCs w:val="13"/>
              </w:rPr>
              <w:t xml:space="preserve">GRIS</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1157 à 1188</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C1</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9</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5,5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8 → 64</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r>
        <w:tc>
          <w:tcPr>
            <w:tcW w:type="dxa" w:w="1100"/>
            <w:tcBorders>
              <w:top w:val="single" w:color="BFBFBF" w:sz="2"/>
              <w:left w:val="single" w:color="BFBFBF" w:sz="2"/>
              <w:bottom w:val="single" w:color="BFBFBF" w:sz="2"/>
              <w:right w:val="single" w:color="BFBFBF" w:sz="2"/>
            </w:tcBorders>
            <w:shd w:fill="DFF3EC" w:color="auto" w:val="clear"/>
          </w:tcPr>
          <w:p>
            <w:pPr>
              <w:spacing w:after="16" w:before="16"/>
            </w:pPr>
            <w:r>
              <w:rPr>
                <w:b/>
                <w:bCs/>
                <w:i w:val="false"/>
                <w:iCs w:val="false"/>
                <w:color w:val="3AA68B"/>
                <w:sz w:val="15"/>
                <w:szCs w:val="15"/>
              </w:rPr>
              <w:t xml:space="preserve">L17</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3AA68B"/>
                <w:sz w:val="13"/>
                <w:szCs w:val="13"/>
              </w:rPr>
              <w:t xml:space="preserve">MENTHE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1189 à 1206</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C2</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5</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9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64 → 120</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bl>
    <w:p>
      <w:pPr>
        <w:spacing w:after="40"/>
      </w:pPr>
      <w:r>
        <w:rPr>
          <w:i/>
          <w:iCs/>
          <w:color w:val="595959"/>
          <w:sz w:val="16"/>
          <w:szCs w:val="16"/>
        </w:rPr>
        <w:t xml:space="preserve">Le seul couloir plein reste C4 dans le bloc L7 (ONU spécialisé, Partie I). Partout ailleurs, l’escalier va de 4,4 à 9 mm.</w:t>
      </w:r>
    </w:p>
    <w:p>
      <w:pPr>
        <w:spacing w:after="60" w:before="140"/>
      </w:pPr>
      <w:r>
        <w:rPr>
          <w:b/>
          <w:bCs/>
          <w:color w:val="1F3864"/>
          <w:sz w:val="22"/>
          <w:szCs w:val="22"/>
        </w:rPr>
        <w:t xml:space="preserve">Les 6 derniers blocs</w:t>
      </w:r>
    </w:p>
    <w:p>
      <w:pPr>
        <w:spacing w:after="30"/>
        <w:ind w:left="280" w:hanging="200"/>
      </w:pPr>
      <w:r>
        <w:rPr>
          <w:b/>
          <w:bCs/>
          <w:color w:val="1F3864"/>
          <w:sz w:val="16"/>
          <w:szCs w:val="16"/>
        </w:rPr>
        <w:t xml:space="preserve">▪ </w:t>
      </w:r>
      <w:r>
        <w:rPr>
          <w:b/>
          <w:bCs/>
          <w:sz w:val="16"/>
          <w:szCs w:val="16"/>
        </w:rPr>
        <w:t xml:space="preserve">Couleurs. </w:t>
      </w:r>
      <w:r>
        <w:rPr>
          <w:color w:val="404040"/>
          <w:sz w:val="16"/>
          <w:szCs w:val="16"/>
        </w:rPr>
        <w:t xml:space="preserve">Bleu ciel, lavande, corail, brun, gris, menthe : des teintes claires, distinctes des couleurs franches de la Partie I (bleu marine, rouge, orange, jaune, olive, turquoise, violet). Si tu ne trouves pas ces teintes en Post-it, garde au minimum une couleur différente de celle du bloc voisin, la position en millimètres fait le reste.</w:t>
      </w:r>
    </w:p>
    <w:p>
      <w:pPr>
        <w:spacing w:after="30"/>
        <w:ind w:left="280" w:hanging="200"/>
      </w:pPr>
      <w:r>
        <w:rPr>
          <w:b/>
          <w:bCs/>
          <w:color w:val="1F3864"/>
          <w:sz w:val="16"/>
          <w:szCs w:val="16"/>
        </w:rPr>
        <w:t xml:space="preserve">▪ </w:t>
      </w:r>
      <w:r>
        <w:rPr>
          <w:b/>
          <w:bCs/>
          <w:sz w:val="16"/>
          <w:szCs w:val="16"/>
        </w:rPr>
        <w:t xml:space="preserve">Couloirs. </w:t>
      </w:r>
      <w:r>
        <w:rPr>
          <w:color w:val="404040"/>
          <w:sz w:val="16"/>
          <w:szCs w:val="16"/>
        </w:rPr>
        <w:t xml:space="preserve">L12 en C1, L13 en C2, L14 en C3, L15 en C4, puis L16 en C1 et L17 en C2. Chaque reprise d’un couloir se fait à plus de 6 mm d’épaisseur du bloc précédent qui l’occupait.</w:t>
      </w:r>
    </w:p>
    <w:p>
      <w:pPr>
        <w:spacing w:after="30"/>
        <w:ind w:left="280" w:hanging="200"/>
      </w:pPr>
      <w:r>
        <w:rPr>
          <w:b/>
          <w:bCs/>
          <w:color w:val="1F3864"/>
          <w:sz w:val="16"/>
          <w:szCs w:val="16"/>
        </w:rPr>
        <w:t xml:space="preserve">▪ </w:t>
      </w:r>
      <w:r>
        <w:rPr>
          <w:b/>
          <w:bCs/>
          <w:sz w:val="16"/>
          <w:szCs w:val="16"/>
        </w:rPr>
        <w:t xml:space="preserve">Textes longs découpés. </w:t>
      </w:r>
      <w:r>
        <w:rPr>
          <w:color w:val="404040"/>
          <w:sz w:val="16"/>
          <w:szCs w:val="16"/>
        </w:rPr>
        <w:t xml:space="preserve">Loi de 1905 (2 onglets : principes, police des cultes), loi de 1881 (4 onglets : principes, provocation et haine, diffamation et injure, responsabilité et procédure), loi de 1986 (2 onglets : principes et ARCOM, autorisations et sanctions).</w:t>
      </w:r>
    </w:p>
    <w:p>
      <w:pPr>
        <w:spacing w:after="30"/>
        <w:ind w:left="280" w:hanging="200"/>
      </w:pPr>
      <w:r>
        <w:rPr>
          <w:b/>
          <w:bCs/>
          <w:color w:val="1F3864"/>
          <w:sz w:val="16"/>
          <w:szCs w:val="16"/>
        </w:rPr>
        <w:t xml:space="preserve">▪ </w:t>
      </w:r>
      <w:r>
        <w:rPr>
          <w:b/>
          <w:bCs/>
          <w:sz w:val="16"/>
          <w:szCs w:val="16"/>
        </w:rPr>
        <w:t xml:space="preserve">Mise à jour postérieure au recueil. </w:t>
      </w:r>
      <w:r>
        <w:rPr>
          <w:color w:val="404040"/>
          <w:sz w:val="16"/>
          <w:szCs w:val="16"/>
        </w:rPr>
        <w:t xml:space="preserve">Tes supports intègrent la loi n° 2026-794 du 18 août 2026 relative au droit à l’aide à mourir (validée par 2026-910 DC) et la loi du 26 mai 2026 sur les soins palliatifs. Le recueil, imprimé en mai 2026, ne les contient pas : l’onglet N°92 (droits des malades, fin de vie) est le point d’entrée pour en parler.</w:t>
      </w:r>
    </w:p>
    <w:p>
      <w:pPr>
        <w:spacing w:after="30"/>
        <w:ind w:left="280" w:hanging="200"/>
      </w:pPr>
      <w:r>
        <w:rPr>
          <w:b/>
          <w:bCs/>
          <w:color w:val="1F3864"/>
          <w:sz w:val="16"/>
          <w:szCs w:val="16"/>
        </w:rPr>
        <w:t xml:space="preserve">▪ </w:t>
      </w:r>
      <w:r>
        <w:rPr>
          <w:b/>
          <w:bCs/>
          <w:sz w:val="16"/>
          <w:szCs w:val="16"/>
        </w:rPr>
        <w:t xml:space="preserve">Gabarit. </w:t>
      </w:r>
      <w:r>
        <w:rPr>
          <w:color w:val="404040"/>
          <w:sz w:val="16"/>
          <w:szCs w:val="16"/>
        </w:rPr>
        <w:t xml:space="preserve">Livre de 16 × 24 × 4,8 cm : hauteur utile 224 mm (8 mm de marge en tête et en pied), 4 couloirs de 56 mm : C1 de 8 à 64 mm, C2 de 64 à 120, C3 de 120 à 176, C4 de 176 à 232 mm du haut. Découpe une bande de carton de 24 cm, reporte les positions de la colonne « Haut de l’onglet » et sers-t’en comme règle pour chaque pose.</w:t>
      </w:r>
    </w:p>
    <w:p>
      <w:pPr>
        <w:spacing w:after="30"/>
        <w:ind w:left="280" w:hanging="200"/>
      </w:pPr>
      <w:r>
        <w:rPr>
          <w:b/>
          <w:bCs/>
          <w:color w:val="1F3864"/>
          <w:sz w:val="16"/>
          <w:szCs w:val="16"/>
        </w:rPr>
        <w:t xml:space="preserve">▪ </w:t>
      </w:r>
      <w:r>
        <w:rPr>
          <w:b/>
          <w:bCs/>
          <w:sz w:val="16"/>
          <w:szCs w:val="16"/>
        </w:rPr>
        <w:t xml:space="preserve">Onglets. </w:t>
      </w:r>
      <w:r>
        <w:rPr>
          <w:color w:val="404040"/>
          <w:sz w:val="16"/>
          <w:szCs w:val="16"/>
        </w:rPr>
        <w:t xml:space="preserve">Calcul fait pour des onglets de 12 mm de large (format Post-it Index étroit). Dépassement : 8 mm pour un onglet normal, 12 mm pour un phare ★. Écris le texte dans les 4 mm hauts : c’est la seule partie visible quand l’onglet suivant le recouvre.</w:t>
      </w:r>
    </w:p>
    <w:p>
      <w:pPr>
        <w:spacing w:after="30"/>
        <w:ind w:left="280" w:hanging="200"/>
      </w:pPr>
      <w:r>
        <w:rPr>
          <w:b/>
          <w:bCs/>
          <w:color w:val="1F3864"/>
          <w:sz w:val="16"/>
          <w:szCs w:val="16"/>
        </w:rPr>
        <w:t xml:space="preserve">▪ </w:t>
      </w:r>
      <w:r>
        <w:rPr>
          <w:b/>
          <w:bCs/>
          <w:sz w:val="16"/>
          <w:szCs w:val="16"/>
        </w:rPr>
        <w:t xml:space="preserve">Réutilisation d’un couloir. </w:t>
      </w:r>
      <w:r>
        <w:rPr>
          <w:color w:val="404040"/>
          <w:sz w:val="16"/>
          <w:szCs w:val="16"/>
        </w:rPr>
        <w:t xml:space="preserve">Un couloir n’est repris par un autre bloc qu’à plus de 5 mm d’épaisseur de distance (≈ 136 pages). Contrôle automatique sur les 156 onglets déjà prévus : 0 chevauchement.</w:t>
      </w:r>
    </w:p>
    <w:p>
      <w:pPr>
        <w:spacing w:after="60" w:before="140"/>
      </w:pPr>
      <w:r>
        <w:rPr>
          <w:b/>
          <w:bCs/>
          <w:color w:val="1F3864"/>
          <w:sz w:val="22"/>
          <w:szCs w:val="22"/>
        </w:rPr>
        <w:t xml:space="preserve">Fréquences qui fondent les priorités</w:t>
      </w:r>
    </w:p>
    <w:p>
      <w:pPr>
        <w:spacing w:after="40"/>
      </w:pPr>
      <w:r>
        <w:rPr>
          <w:color w:val="404040"/>
          <w:sz w:val="16"/>
          <w:szCs w:val="16"/>
        </w:rPr>
        <w:t xml:space="preserve">Textes les plus cités dans ton corpus (score pondéré) : manifestations (CSI) 1 873 · vie privée, art. 9 C. civ. 1 269 · droits des malades et fin de vie 1 098 · loi de 1901 739 · état d’urgence 510 · état d’urgence sanitaire 413 · droit au logement 323 · loi de 1881 301 · laïcité 294 · dissolution d’associations 294 · liberté du commerce et de l’industrie 227 · perquisitions 225 · liberté de l’enseignement 205 · environnement 189 · réunions publiques 185 · loi de 1978 et CNIL 175 · IVG 161. Jamais cités : captation de données, atteintes aux fichiers (C. pén. 226-16 s.), publications destinées à la jeunesse, accès des mineurs à certains établissements, droit à la mobilité — atteints par l’onglet voisin.</w:t>
      </w:r>
    </w:p>
    <w:p>
      <w:pPr>
        <w:spacing w:after="60" w:before="140"/>
      </w:pPr>
      <w:r>
        <w:rPr>
          <w:b/>
          <w:bCs/>
          <w:color w:val="8A6100"/>
          <w:sz w:val="22"/>
          <w:szCs w:val="22"/>
        </w:rPr>
        <w:t xml:space="preserve">★  Phares — recalibrés sur le livre entier (étape 5)</w:t>
      </w:r>
    </w:p>
    <w:p>
      <w:pPr>
        <w:spacing w:after="40"/>
      </w:pPr>
      <w:r>
        <w:rPr>
          <w:color w:val="404040"/>
          <w:sz w:val="16"/>
          <w:szCs w:val="16"/>
        </w:rPr>
        <w:t xml:space="preserve">14 phares sur 156 onglets, au plus 2 par bloc, textes transversaux ⇄ exclus. Score commun à tout le livre : présence dans les sujets d’annales, entraînements et sujets IEJ (× 2) + nombre de fiches rattachées + détection directe dans tes fiches (× ½) + fréquence dans tout le corpus (échelle logarithmique). Dans cette étape : N°69.1–69.3 VIE PRIVÉE (33·34) · N°70–71 DOMICILE &amp; PERQUISITIONS (33·17) · N°85–87 CORPS HUMAIN — C. CIV. 16 s. (27·5) · N°92 DROITS DES MALADES — FIN DE VIE (26·48) · N°104 MANIFESTATIONS (38·6) · N°106–108 SYNDICAT &amp; GRÈVE (50) · N°116 ÉTAT D’URGENCE (7·40) · N°117 ÉTAT D’URGENCE SANITAIRE (7·40·48). Détail du classement dans le document de l’étape 5.</w:t>
      </w:r>
    </w:p>
    <w:p>
      <w:pPr>
        <w:spacing w:after="60" w:before="140"/>
      </w:pPr>
      <w:r>
        <w:rPr>
          <w:b/>
          <w:bCs/>
          <w:color w:val="1F3864"/>
          <w:sz w:val="21"/>
          <w:szCs w:val="21"/>
        </w:rPr>
        <w:t xml:space="preserve">Légende</w:t>
      </w:r>
    </w:p>
    <w:p>
      <w:pPr>
        <w:spacing w:after="20"/>
      </w:pPr>
      <w:r>
        <w:rPr>
          <w:b/>
          <w:bCs/>
          <w:color w:val="6B4E00"/>
          <w:sz w:val="17"/>
          <w:szCs w:val="17"/>
          <w:shd w:fill="FFD24A" w:color="auto" w:val="clear"/>
        </w:rPr>
        <w:t xml:space="preserve"> ★ </w:t>
      </w:r>
      <w:r>
        <w:rPr>
          <w:color w:val="404040"/>
          <w:sz w:val="16"/>
          <w:szCs w:val="16"/>
        </w:rPr>
        <w:t xml:space="preserve">  onglet phare : à faire déborder davantage (les plus cités dans tes supports et annales).</w:t>
      </w:r>
    </w:p>
    <w:p>
      <w:pPr>
        <w:spacing w:after="20"/>
      </w:pPr>
      <w:r>
        <w:rPr>
          <w:b/>
          <w:bCs/>
          <w:color w:val="FFFFFF"/>
          <w:sz w:val="17"/>
          <w:szCs w:val="17"/>
          <w:shd w:fill="C0504D" w:color="auto" w:val="clear"/>
        </w:rPr>
        <w:t xml:space="preserve"> 1 </w:t>
      </w:r>
      <w:r>
        <w:rPr>
          <w:color w:val="404040"/>
          <w:sz w:val="16"/>
          <w:szCs w:val="16"/>
        </w:rPr>
        <w:t xml:space="preserve">  essentiel.</w:t>
      </w:r>
    </w:p>
    <w:p>
      <w:pPr>
        <w:spacing w:after="20"/>
      </w:pPr>
      <w:r>
        <w:rPr>
          <w:b/>
          <w:bCs/>
          <w:color w:val="808080"/>
          <w:sz w:val="17"/>
          <w:szCs w:val="17"/>
          <w:shd w:fill="F2F2F2" w:color="auto" w:val="clear"/>
        </w:rPr>
        <w:t xml:space="preserve"> 2 </w:t>
      </w:r>
      <w:r>
        <w:rPr>
          <w:color w:val="404040"/>
          <w:sz w:val="16"/>
          <w:szCs w:val="16"/>
        </w:rPr>
        <w:t xml:space="preserve">  complémentaire — à retirer en premier si un couloir sature.</w:t>
      </w:r>
    </w:p>
    <w:p>
      <w:pPr>
        <w:spacing w:after="20"/>
      </w:pPr>
      <w:r>
        <w:rPr>
          <w:b/>
          <w:bCs/>
          <w:color w:val="FFFFFF"/>
          <w:sz w:val="17"/>
          <w:szCs w:val="17"/>
          <w:shd w:fill="595959" w:color="auto" w:val="clear"/>
        </w:rPr>
        <w:t xml:space="preserve"> ⇄ </w:t>
      </w:r>
      <w:r>
        <w:rPr>
          <w:color w:val="404040"/>
          <w:sz w:val="16"/>
          <w:szCs w:val="16"/>
        </w:rPr>
        <w:t xml:space="preserve">  texte transversal (toutes libertés) : un seul onglet, sans numéro de fiche.</w:t>
      </w:r>
    </w:p>
    <w:p>
      <w:pPr>
        <w:spacing w:after="40"/>
      </w:pPr>
      <w:r>
        <w:rPr>
          <w:i/>
          <w:iCs/>
          <w:color w:val="595959"/>
          <w:sz w:val="16"/>
          <w:szCs w:val="16"/>
        </w:rPr>
        <w:t xml:space="preserve">« Haut de l’onglet » : distance entre la tête du livre (bord supérieur) et le bord supérieur de l’onglet, mesurée sur l’arête latérale ; (#n) = rang dans l’escalier du bloc. « ≈ p. » : page estimée d’un article à l’intérieur de son document ; pose l’onglet sur la page où l’article commence.</w:t>
      </w:r>
    </w:p>
    <w:p>
      <w:pPr>
        <w:spacing w:after="80"/>
      </w:pPr>
    </w:p>
    <w:tbl>
      <w:tblPr>
        <w:tblW w:type="dxa" w:w="15600"/>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1930"/>
        <w:gridCol w:w="680"/>
        <w:gridCol w:w="760"/>
        <w:gridCol w:w="2050"/>
        <w:gridCol w:w="850"/>
        <w:gridCol w:w="3290"/>
        <w:gridCol w:w="5580"/>
      </w:tblGrid>
      <w:tr>
        <w:tc>
          <w:tcPr>
            <w:gridSpan w:val="8"/>
            <w:tcBorders>
              <w:top w:val="single" w:color="BFBFBF" w:sz="2"/>
              <w:left w:val="single" w:color="BFBFBF" w:sz="2"/>
              <w:bottom w:val="single" w:color="BFBFBF" w:sz="2"/>
              <w:right w:val="single" w:color="BFBFBF" w:sz="2"/>
            </w:tcBorders>
            <w:shd w:fill="D9EEF8" w:color="auto" w:val="clear"/>
          </w:tcPr>
          <w:p>
            <w:pPr>
              <w:spacing w:after="20" w:before="50"/>
            </w:pPr>
            <w:r>
              <w:rPr>
                <w:b/>
                <w:bCs/>
                <w:color w:val="3B8CC4"/>
                <w:sz w:val="22"/>
                <w:szCs w:val="22"/>
              </w:rPr>
              <w:t xml:space="preserve">BLOC L12 — VIE PRIVÉE, DOMICILE, CORRESPONDANCES, DONNÉES, CIRCULATION (section E)</w:t>
            </w:r>
            <w:r>
              <w:rPr>
                <w:b/>
                <w:bCs/>
                <w:color w:val="3B8CC4"/>
                <w:sz w:val="15"/>
                <w:szCs w:val="15"/>
              </w:rPr>
              <w:t xml:space="preserve">     ■ BLEU CIEL  ·  p. 831 à 940  ·  8 onglets  ·  couloir C1 (8 à 64 mm du haut)  ·  escalier de 6,3 mm</w:t>
            </w:r>
          </w:p>
          <w:p>
            <w:pPr>
              <w:spacing w:after="40"/>
            </w:pPr>
            <w:r>
              <w:rPr>
                <w:i/>
                <w:iCs/>
                <w:color w:val="3B8CC4"/>
                <w:sz w:val="15"/>
                <w:szCs w:val="15"/>
              </w:rPr>
              <w:t xml:space="preserve">↳ Manuel OB, Partie VI — fiches 33 (vie privée), 35 (données), 40 (aller et venir), relais 34 (vie familiale)</w:t>
            </w:r>
          </w:p>
        </w:tc>
      </w:tr>
      <w:tr>
        <w:trPr>
          <w:tblHeader/>
        </w:trPr>
        <w:tc>
          <w:tcPr>
            <w:tcW w:type="dxa" w:w="460"/>
            <w:tcBorders>
              <w:top w:val="single" w:color="BFBFBF" w:sz="2"/>
              <w:left w:val="single" w:color="BFBFBF" w:sz="2"/>
              <w:bottom w:val="single" w:color="BFBFBF" w:sz="2"/>
              <w:right w:val="single" w:color="BFBFBF" w:sz="2"/>
            </w:tcBorders>
            <w:shd w:fill="D9EEF8" w:color="auto" w:val="clear"/>
          </w:tcPr>
          <w:p>
            <w:pPr>
              <w:spacing w:after="16" w:before="16"/>
            </w:pPr>
            <w:r>
              <w:rPr>
                <w:b/>
                <w:bCs/>
                <w:i w:val="false"/>
                <w:iCs w:val="false"/>
                <w:color w:val="404040"/>
                <w:sz w:val="13"/>
                <w:szCs w:val="13"/>
              </w:rPr>
              <w:t xml:space="preserve">P</w:t>
            </w:r>
          </w:p>
        </w:tc>
        <w:tc>
          <w:tcPr>
            <w:tcW w:type="dxa" w:w="1930"/>
            <w:tcBorders>
              <w:top w:val="single" w:color="BFBFBF" w:sz="2"/>
              <w:left w:val="single" w:color="BFBFBF" w:sz="2"/>
              <w:bottom w:val="single" w:color="BFBFBF" w:sz="2"/>
              <w:right w:val="single" w:color="BFBFBF" w:sz="2"/>
            </w:tcBorders>
            <w:shd w:fill="D9EEF8" w:color="auto" w:val="clear"/>
          </w:tcPr>
          <w:p>
            <w:pPr>
              <w:spacing w:after="16" w:before="16"/>
            </w:pPr>
            <w:r>
              <w:rPr>
                <w:b/>
                <w:bCs/>
                <w:i w:val="false"/>
                <w:iCs w:val="false"/>
                <w:color w:val="404040"/>
                <w:sz w:val="13"/>
                <w:szCs w:val="13"/>
              </w:rPr>
              <w:t xml:space="preserve">À écrire sur l’onglet</w:t>
            </w:r>
          </w:p>
        </w:tc>
        <w:tc>
          <w:tcPr>
            <w:tcW w:type="dxa" w:w="680"/>
            <w:tcBorders>
              <w:top w:val="single" w:color="BFBFBF" w:sz="2"/>
              <w:left w:val="single" w:color="BFBFBF" w:sz="2"/>
              <w:bottom w:val="single" w:color="BFBFBF" w:sz="2"/>
              <w:right w:val="single" w:color="BFBFBF" w:sz="2"/>
            </w:tcBorders>
            <w:shd w:fill="D9EEF8" w:color="auto" w:val="clear"/>
          </w:tcPr>
          <w:p>
            <w:pPr>
              <w:spacing w:after="16" w:before="16"/>
            </w:pPr>
            <w:r>
              <w:rPr>
                <w:b/>
                <w:bCs/>
                <w:i w:val="false"/>
                <w:iCs w:val="false"/>
                <w:color w:val="404040"/>
                <w:sz w:val="13"/>
                <w:szCs w:val="13"/>
              </w:rPr>
              <w:t xml:space="preserve">N° · p.</w:t>
            </w:r>
          </w:p>
        </w:tc>
        <w:tc>
          <w:tcPr>
            <w:tcW w:type="dxa" w:w="760"/>
            <w:tcBorders>
              <w:top w:val="single" w:color="BFBFBF" w:sz="2"/>
              <w:left w:val="single" w:color="BFBFBF" w:sz="2"/>
              <w:bottom w:val="single" w:color="BFBFBF" w:sz="2"/>
              <w:right w:val="single" w:color="BFBFBF" w:sz="2"/>
            </w:tcBorders>
            <w:shd w:fill="D9EEF8" w:color="auto" w:val="clear"/>
          </w:tcPr>
          <w:p>
            <w:pPr>
              <w:spacing w:after="16" w:before="16"/>
            </w:pPr>
            <w:r>
              <w:rPr>
                <w:b/>
                <w:bCs/>
                <w:i w:val="false"/>
                <w:iCs w:val="false"/>
                <w:color w:val="404040"/>
                <w:sz w:val="13"/>
                <w:szCs w:val="13"/>
              </w:rPr>
              <w:t xml:space="preserve">Haut de l’onglet</w:t>
            </w:r>
          </w:p>
        </w:tc>
        <w:tc>
          <w:tcPr>
            <w:tcW w:type="dxa" w:w="2050"/>
            <w:tcBorders>
              <w:top w:val="single" w:color="BFBFBF" w:sz="2"/>
              <w:left w:val="single" w:color="BFBFBF" w:sz="2"/>
              <w:bottom w:val="single" w:color="BFBFBF" w:sz="2"/>
              <w:right w:val="single" w:color="BFBFBF" w:sz="2"/>
            </w:tcBorders>
            <w:shd w:fill="D9EEF8" w:color="auto" w:val="clear"/>
          </w:tcPr>
          <w:p>
            <w:pPr>
              <w:spacing w:after="16" w:before="16"/>
            </w:pPr>
            <w:r>
              <w:rPr>
                <w:b/>
                <w:bCs/>
                <w:i w:val="false"/>
                <w:iCs w:val="false"/>
                <w:color w:val="404040"/>
                <w:sz w:val="13"/>
                <w:szCs w:val="13"/>
              </w:rPr>
              <w:t xml:space="preserve">Intitulé</w:t>
            </w:r>
          </w:p>
        </w:tc>
        <w:tc>
          <w:tcPr>
            <w:tcW w:type="dxa" w:w="850"/>
            <w:tcBorders>
              <w:top w:val="single" w:color="BFBFBF" w:sz="2"/>
              <w:left w:val="single" w:color="BFBFBF" w:sz="2"/>
              <w:bottom w:val="single" w:color="BFBFBF" w:sz="2"/>
              <w:right w:val="single" w:color="BFBFBF" w:sz="2"/>
            </w:tcBorders>
            <w:shd w:fill="D9EEF8" w:color="auto" w:val="clear"/>
          </w:tcPr>
          <w:p>
            <w:pPr>
              <w:spacing w:after="16" w:before="16"/>
            </w:pPr>
            <w:r>
              <w:rPr>
                <w:b/>
                <w:bCs/>
                <w:i w:val="false"/>
                <w:iCs w:val="false"/>
                <w:color w:val="404040"/>
                <w:sz w:val="13"/>
                <w:szCs w:val="13"/>
              </w:rPr>
              <w:t xml:space="preserve">Fiche(s)</w:t>
            </w:r>
          </w:p>
        </w:tc>
        <w:tc>
          <w:tcPr>
            <w:tcW w:type="dxa" w:w="3290"/>
            <w:tcBorders>
              <w:top w:val="single" w:color="BFBFBF" w:sz="2"/>
              <w:left w:val="single" w:color="BFBFBF" w:sz="2"/>
              <w:bottom w:val="single" w:color="BFBFBF" w:sz="2"/>
              <w:right w:val="single" w:color="BFBFBF" w:sz="2"/>
            </w:tcBorders>
            <w:shd w:fill="D9EEF8" w:color="auto" w:val="clear"/>
          </w:tcPr>
          <w:p>
            <w:pPr>
              <w:spacing w:after="16" w:before="16"/>
            </w:pPr>
            <w:r>
              <w:rPr>
                <w:b/>
                <w:bCs/>
                <w:i w:val="false"/>
                <w:iCs w:val="false"/>
                <w:color w:val="404040"/>
                <w:sz w:val="13"/>
                <w:szCs w:val="13"/>
              </w:rPr>
              <w:t xml:space="preserve">Correspondances dans le recueil (N° Oberdorff)</w:t>
            </w:r>
          </w:p>
        </w:tc>
        <w:tc>
          <w:tcPr>
            <w:tcW w:type="dxa" w:w="5580"/>
            <w:tcBorders>
              <w:top w:val="single" w:color="BFBFBF" w:sz="2"/>
              <w:left w:val="single" w:color="BFBFBF" w:sz="2"/>
              <w:bottom w:val="single" w:color="BFBFBF" w:sz="2"/>
              <w:right w:val="single" w:color="BFBFBF" w:sz="2"/>
            </w:tcBorders>
            <w:shd w:fill="D9EEF8"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193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5"/>
                <w:szCs w:val="15"/>
              </w:rPr>
              <w:t xml:space="preserve">N°69.1–69.3 VIE PRIVÉE (33·34)  ★</w:t>
            </w:r>
          </w:p>
        </w:tc>
        <w:tc>
          <w:tcPr>
            <w:tcW w:type="dxa" w:w="6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3"/>
                <w:szCs w:val="13"/>
              </w:rPr>
              <w:t xml:space="preserve">N°69.1 · p. 831</w:t>
            </w:r>
          </w:p>
        </w:tc>
        <w:tc>
          <w:tcPr>
            <w:tcW w:type="dxa" w:w="76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3B8CC4"/>
                <w:sz w:val="14"/>
                <w:szCs w:val="14"/>
              </w:rPr>
              <w:t xml:space="preserve">8 mm  (#1)</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4"/>
                <w:szCs w:val="14"/>
              </w:rPr>
              <w:t xml:space="preserve">Art. 9 C. civ. · mariage pour tous, art. 143 C. civ. (N°69.2) · atteintes à la vie privée, C. pén. 226-1 s. (N°69.3) — trois documents sur la même page</w:t>
            </w:r>
          </w:p>
        </w:tc>
        <w:tc>
          <w:tcPr>
            <w:tcW w:type="dxa" w:w="8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3B8CC4"/>
                <w:sz w:val="14"/>
                <w:szCs w:val="14"/>
              </w:rPr>
              <w:t xml:space="preserve">33 · 34 · 37</w:t>
            </w:r>
          </w:p>
        </w:tc>
        <w:tc>
          <w:tcPr>
            <w:tcW w:type="dxa" w:w="329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art. 8 CEDH (N°4.1) · art. 2 DDHC · Charte UE art. 7 · art. 17 PIDCP</w:t>
            </w:r>
          </w:p>
        </w:tc>
        <w:tc>
          <w:tcPr>
            <w:tcW w:type="dxa" w:w="55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Vie privée rattachée à l’art. 2 DDHC (99-416 DC) ; Von Hannover 1 et 2 ; mise en balance avec l’art. 10 (fiche 37). Mariage pour tous : 2013-669 DC ; Schalk et Kopf (2010).</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193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5"/>
                <w:szCs w:val="15"/>
              </w:rPr>
              <w:t xml:space="preserve">N°70–71 DOMICILE &amp; PERQUISITIONS (33·17)  ★</w:t>
            </w:r>
          </w:p>
        </w:tc>
        <w:tc>
          <w:tcPr>
            <w:tcW w:type="dxa" w:w="6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3"/>
                <w:szCs w:val="13"/>
              </w:rPr>
              <w:t xml:space="preserve">N°70.1 · p. 836</w:t>
            </w:r>
          </w:p>
        </w:tc>
        <w:tc>
          <w:tcPr>
            <w:tcW w:type="dxa" w:w="76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3B8CC4"/>
                <w:sz w:val="14"/>
                <w:szCs w:val="14"/>
              </w:rPr>
              <w:t xml:space="preserve">14,3 mm  (#2)</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4"/>
                <w:szCs w:val="14"/>
              </w:rPr>
              <w:t xml:space="preserve">Violation de domicile (C. pén. 226-4, 432-8) · perquisitions en flagrance (CPP 56-59, N°71.1), en préliminaire (76), en instruction (93-97), captation de données (N°71.4)</w:t>
            </w:r>
          </w:p>
        </w:tc>
        <w:tc>
          <w:tcPr>
            <w:tcW w:type="dxa" w:w="8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3B8CC4"/>
                <w:sz w:val="14"/>
                <w:szCs w:val="14"/>
              </w:rPr>
              <w:t xml:space="preserve">33 · 17 · 7</w:t>
            </w:r>
          </w:p>
        </w:tc>
        <w:tc>
          <w:tcPr>
            <w:tcW w:type="dxa" w:w="329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art. 8 CEDH · art. 66 C. · état d’urgence (N°116)</w:t>
            </w:r>
          </w:p>
        </w:tc>
        <w:tc>
          <w:tcPr>
            <w:tcW w:type="dxa" w:w="55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Inviolabilité du domicile, composante de la vie privée ; perquisitions administratives de l’état d’urgence (2015-527 QPC, fiche 7) ; Domenjoud c. France (2024).</w:t>
            </w:r>
          </w:p>
        </w:tc>
      </w:tr>
      <w:tr>
        <w:tc>
          <w:tcPr>
            <w:tcW w:type="dxa" w:w="460"/>
            <w:tcBorders>
              <w:top w:val="single" w:color="BFBFBF" w:sz="2"/>
              <w:left w:val="single" w:color="BFBFBF" w:sz="2"/>
              <w:bottom w:val="single" w:color="BFBFBF" w:sz="2"/>
              <w:right w:val="single" w:color="BFBFBF" w:sz="2"/>
            </w:tcBorders>
            <w:shd w:fill="3B8CC4"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N°72.1–72.2 CORRESPONDANCES (33)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N°72.1 · p. 848</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4"/>
                <w:szCs w:val="14"/>
              </w:rPr>
              <w:t xml:space="preserve">20,6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Secret des correspondances (C. pén. 226-15, 432-9) · interceptions judiciaires (CPP 100 à 100-7, N°72.2)</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4"/>
                <w:szCs w:val="14"/>
              </w:rPr>
              <w:t xml:space="preserve">33 · 35</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8 CEDH · Charte UE art. 7</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Kruslin et Huvig c. France (1990) → loi du 10 juillet 1991 sur les écoutes ; prévisibilité et garanties contre l’arbitraire.</w:t>
            </w:r>
          </w:p>
        </w:tc>
      </w:tr>
      <w:tr>
        <w:tc>
          <w:tcPr>
            <w:tcW w:type="dxa" w:w="460"/>
            <w:tcBorders>
              <w:top w:val="single" w:color="BFBFBF" w:sz="2"/>
              <w:left w:val="single" w:color="BFBFBF" w:sz="2"/>
              <w:bottom w:val="single" w:color="BFBFBF" w:sz="2"/>
              <w:right w:val="single" w:color="BFBFBF" w:sz="2"/>
            </w:tcBorders>
            <w:shd w:fill="3B8CC4"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N°72.3 RENSEIGNEMENT (33·35)</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N°72.3 · p. 850</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4"/>
                <w:szCs w:val="14"/>
              </w:rPr>
              <w:t xml:space="preserve">26,9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Techniques de recueil de renseignement — CSI L.811-1 à L.854-9 (principe : CSI L.801-1, N°69.4 p. 835)</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4"/>
                <w:szCs w:val="14"/>
              </w:rPr>
              <w:t xml:space="preserve">33 · 35 · 7</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8 CEDH · Charte UE art. 7-8 · RGPD (N°22)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du 24 juillet 2015 et contrôle de la CNCTR : 2015-713 DC ; surveillance de masse : Big Brother Watch (2021) ; conservation des données : CE Ass., French Data Network (2021).</w:t>
            </w:r>
          </w:p>
        </w:tc>
      </w:tr>
      <w:tr>
        <w:tc>
          <w:tcPr>
            <w:tcW w:type="dxa" w:w="460"/>
            <w:tcBorders>
              <w:top w:val="single" w:color="BFBFBF" w:sz="2"/>
              <w:left w:val="single" w:color="BFBFBF" w:sz="2"/>
              <w:bottom w:val="single" w:color="BFBFBF" w:sz="2"/>
              <w:right w:val="single" w:color="BFBFBF" w:sz="2"/>
            </w:tcBorders>
            <w:shd w:fill="3B8CC4"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N°73.1 LOI INFORMATIQUE ET LIBERTÉS (35·20)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N°73.1 · p. 869</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4"/>
                <w:szCs w:val="14"/>
              </w:rPr>
              <w:t xml:space="preserve">33,1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Loi n° 78-17 du 6 janvier 1978 relative à l’informatique, aux fichiers et aux libertés (CNIL)</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4"/>
                <w:szCs w:val="14"/>
              </w:rPr>
              <w:t xml:space="preserve">35 · 20 · 33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RGPD (N°22) · Conv. 108 (N°15.1) · Charte UE art. 8</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 L’informatique doit être au service de chaque citoyen » (art. 1er) ; la CNIL, autorité administrative indépendante (fiche 20) ; articulation avec le RGPD depuis 2018.</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N°73.2–73.3 FICHIERS (35)</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N°73.2 · p. 922</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4"/>
                <w:szCs w:val="14"/>
              </w:rPr>
              <w:t xml:space="preserve">39,4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Traitements de données et enquêtes administratives (CSI) · atteintes résultant des fichiers (C. pén. 226-16 s., N°73.3 p. 928)</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4"/>
                <w:szCs w:val="14"/>
              </w:rPr>
              <w:t xml:space="preserve">35 · 7</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 et Marper (art. 8 CEDH) · loi 1978 (N°73.1)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Conservation des données de personnes non condamnées : S. et Marper c. RU (2008).</w:t>
            </w:r>
          </w:p>
        </w:tc>
      </w:tr>
      <w:tr>
        <w:tc>
          <w:tcPr>
            <w:tcW w:type="dxa" w:w="460"/>
            <w:tcBorders>
              <w:top w:val="single" w:color="BFBFBF" w:sz="2"/>
              <w:left w:val="single" w:color="BFBFBF" w:sz="2"/>
              <w:bottom w:val="single" w:color="BFBFBF" w:sz="2"/>
              <w:right w:val="single" w:color="BFBFBF" w:sz="2"/>
            </w:tcBorders>
            <w:shd w:fill="3B8CC4"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N°74.1 ALLER ET VENIR (40)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N°74.1 · p. 932</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4"/>
                <w:szCs w:val="14"/>
              </w:rPr>
              <w:t xml:space="preserve">45,7 mm  (#7)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Liberté d’aller et venir et ses limites — Prot. 4 art. 1-2 et CSI L.224-1 (interdiction de sortie du territoire)</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4"/>
                <w:szCs w:val="14"/>
              </w:rPr>
              <w:t xml:space="preserve">40 · 7 · 43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 4 (N°4.3) · art. 2 et 4 DDHC · contrôles d’identité (N°48.3) · état d’urgence (N°116)</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Liberté fondamentale au sens du référé-liberté (CE, Deperthes, 2001) ; privation ou restriction : Guzzardi (1980) ; 2015-527 QPC (assignation à résidence) ; interdiction de sortie du territoire : 2015-490 QPC.</w:t>
            </w:r>
          </w:p>
        </w:tc>
      </w:tr>
      <w:tr>
        <w:tc>
          <w:tcPr>
            <w:tcW w:type="dxa" w:w="460"/>
            <w:tcBorders>
              <w:top w:val="single" w:color="BFBFBF" w:sz="2"/>
              <w:left w:val="single" w:color="BFBFBF" w:sz="2"/>
              <w:bottom w:val="single" w:color="BFBFBF" w:sz="2"/>
              <w:right w:val="single" w:color="BFBFBF" w:sz="2"/>
            </w:tcBorders>
            <w:shd w:fill="3B8CC4"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N°74.2–74.3 VIDÉO &amp; GÉOLOCALISATION (33·35)</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N°74.2 · p. 933</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4"/>
                <w:szCs w:val="14"/>
              </w:rPr>
              <w:t xml:space="preserve">52 mm  (#8)</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Vidéoprotection (CSI L.251-1 s.) · géolocalisation (CPP 230-32 s., N°74.3 p. 938)</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4"/>
                <w:szCs w:val="14"/>
              </w:rPr>
              <w:t xml:space="preserve">33 · 35 · 7</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8 CEDH · RGPD (N°22) · loi 1978 (N°73.1)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Vidéosurveillance : 94-352 DC ; caméras « augmentées » des Jeux olympiques validées sous réserves, sans reconnaissance faciale (2023-850 DC) ; géolocalisation : 2014-693 DC.</w:t>
            </w:r>
          </w:p>
        </w:tc>
      </w:tr>
    </w:tbl>
    <w:p>
      <w:pPr>
        <w:spacing w:after="140"/>
      </w:pPr>
    </w:p>
    <w:tbl>
      <w:tblPr>
        <w:tblW w:type="dxa" w:w="15600"/>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1930"/>
        <w:gridCol w:w="680"/>
        <w:gridCol w:w="760"/>
        <w:gridCol w:w="2050"/>
        <w:gridCol w:w="850"/>
        <w:gridCol w:w="3290"/>
        <w:gridCol w:w="5580"/>
      </w:tblGrid>
      <w:tr>
        <w:tc>
          <w:tcPr>
            <w:gridSpan w:val="8"/>
            <w:tcBorders>
              <w:top w:val="single" w:color="BFBFBF" w:sz="2"/>
              <w:left w:val="single" w:color="BFBFBF" w:sz="2"/>
              <w:bottom w:val="single" w:color="BFBFBF" w:sz="2"/>
              <w:right w:val="single" w:color="BFBFBF" w:sz="2"/>
            </w:tcBorders>
            <w:shd w:fill="ECE6F5" w:color="auto" w:val="clear"/>
          </w:tcPr>
          <w:p>
            <w:pPr>
              <w:spacing w:after="20" w:before="50"/>
            </w:pPr>
            <w:r>
              <w:rPr>
                <w:b/>
                <w:bCs/>
                <w:color w:val="8E7CC3"/>
                <w:sz w:val="22"/>
                <w:szCs w:val="22"/>
              </w:rPr>
              <w:t xml:space="preserve">BLOC L13 — CONSCIENCE, LAÏCITÉ, ENSEIGNEMENT (sections F et G)</w:t>
            </w:r>
            <w:r>
              <w:rPr>
                <w:b/>
                <w:bCs/>
                <w:color w:val="8E7CC3"/>
                <w:sz w:val="15"/>
                <w:szCs w:val="15"/>
              </w:rPr>
              <w:t xml:space="preserve">     ■ LAVANDE  ·  p. 941 à 972  ·  6 onglets  ·  couloir C2 (64 à 120 mm du haut)  ·  escalier de 8,8 mm</w:t>
            </w:r>
          </w:p>
          <w:p>
            <w:pPr>
              <w:spacing w:after="40"/>
            </w:pPr>
            <w:r>
              <w:rPr>
                <w:i/>
                <w:iCs/>
                <w:color w:val="8E7CC3"/>
                <w:sz w:val="15"/>
                <w:szCs w:val="15"/>
              </w:rPr>
              <w:t xml:space="preserve">↳ Manuel OB, Partie VI — fiches 36 (pensée, conscience, religion) et 41 (enseignement), relais 47 (éducation)</w:t>
            </w:r>
          </w:p>
        </w:tc>
      </w:tr>
      <w:tr>
        <w:trPr>
          <w:tblHeader/>
        </w:trPr>
        <w:tc>
          <w:tcPr>
            <w:tcW w:type="dxa" w:w="460"/>
            <w:tcBorders>
              <w:top w:val="single" w:color="BFBFBF" w:sz="2"/>
              <w:left w:val="single" w:color="BFBFBF" w:sz="2"/>
              <w:bottom w:val="single" w:color="BFBFBF" w:sz="2"/>
              <w:right w:val="single" w:color="BFBFBF" w:sz="2"/>
            </w:tcBorders>
            <w:shd w:fill="ECE6F5" w:color="auto" w:val="clear"/>
          </w:tcPr>
          <w:p>
            <w:pPr>
              <w:spacing w:after="16" w:before="16"/>
            </w:pPr>
            <w:r>
              <w:rPr>
                <w:b/>
                <w:bCs/>
                <w:i w:val="false"/>
                <w:iCs w:val="false"/>
                <w:color w:val="404040"/>
                <w:sz w:val="13"/>
                <w:szCs w:val="13"/>
              </w:rPr>
              <w:t xml:space="preserve">P</w:t>
            </w:r>
          </w:p>
        </w:tc>
        <w:tc>
          <w:tcPr>
            <w:tcW w:type="dxa" w:w="1930"/>
            <w:tcBorders>
              <w:top w:val="single" w:color="BFBFBF" w:sz="2"/>
              <w:left w:val="single" w:color="BFBFBF" w:sz="2"/>
              <w:bottom w:val="single" w:color="BFBFBF" w:sz="2"/>
              <w:right w:val="single" w:color="BFBFBF" w:sz="2"/>
            </w:tcBorders>
            <w:shd w:fill="ECE6F5" w:color="auto" w:val="clear"/>
          </w:tcPr>
          <w:p>
            <w:pPr>
              <w:spacing w:after="16" w:before="16"/>
            </w:pPr>
            <w:r>
              <w:rPr>
                <w:b/>
                <w:bCs/>
                <w:i w:val="false"/>
                <w:iCs w:val="false"/>
                <w:color w:val="404040"/>
                <w:sz w:val="13"/>
                <w:szCs w:val="13"/>
              </w:rPr>
              <w:t xml:space="preserve">À écrire sur l’onglet</w:t>
            </w:r>
          </w:p>
        </w:tc>
        <w:tc>
          <w:tcPr>
            <w:tcW w:type="dxa" w:w="680"/>
            <w:tcBorders>
              <w:top w:val="single" w:color="BFBFBF" w:sz="2"/>
              <w:left w:val="single" w:color="BFBFBF" w:sz="2"/>
              <w:bottom w:val="single" w:color="BFBFBF" w:sz="2"/>
              <w:right w:val="single" w:color="BFBFBF" w:sz="2"/>
            </w:tcBorders>
            <w:shd w:fill="ECE6F5" w:color="auto" w:val="clear"/>
          </w:tcPr>
          <w:p>
            <w:pPr>
              <w:spacing w:after="16" w:before="16"/>
            </w:pPr>
            <w:r>
              <w:rPr>
                <w:b/>
                <w:bCs/>
                <w:i w:val="false"/>
                <w:iCs w:val="false"/>
                <w:color w:val="404040"/>
                <w:sz w:val="13"/>
                <w:szCs w:val="13"/>
              </w:rPr>
              <w:t xml:space="preserve">N° · p.</w:t>
            </w:r>
          </w:p>
        </w:tc>
        <w:tc>
          <w:tcPr>
            <w:tcW w:type="dxa" w:w="760"/>
            <w:tcBorders>
              <w:top w:val="single" w:color="BFBFBF" w:sz="2"/>
              <w:left w:val="single" w:color="BFBFBF" w:sz="2"/>
              <w:bottom w:val="single" w:color="BFBFBF" w:sz="2"/>
              <w:right w:val="single" w:color="BFBFBF" w:sz="2"/>
            </w:tcBorders>
            <w:shd w:fill="ECE6F5" w:color="auto" w:val="clear"/>
          </w:tcPr>
          <w:p>
            <w:pPr>
              <w:spacing w:after="16" w:before="16"/>
            </w:pPr>
            <w:r>
              <w:rPr>
                <w:b/>
                <w:bCs/>
                <w:i w:val="false"/>
                <w:iCs w:val="false"/>
                <w:color w:val="404040"/>
                <w:sz w:val="13"/>
                <w:szCs w:val="13"/>
              </w:rPr>
              <w:t xml:space="preserve">Haut de l’onglet</w:t>
            </w:r>
          </w:p>
        </w:tc>
        <w:tc>
          <w:tcPr>
            <w:tcW w:type="dxa" w:w="2050"/>
            <w:tcBorders>
              <w:top w:val="single" w:color="BFBFBF" w:sz="2"/>
              <w:left w:val="single" w:color="BFBFBF" w:sz="2"/>
              <w:bottom w:val="single" w:color="BFBFBF" w:sz="2"/>
              <w:right w:val="single" w:color="BFBFBF" w:sz="2"/>
            </w:tcBorders>
            <w:shd w:fill="ECE6F5" w:color="auto" w:val="clear"/>
          </w:tcPr>
          <w:p>
            <w:pPr>
              <w:spacing w:after="16" w:before="16"/>
            </w:pPr>
            <w:r>
              <w:rPr>
                <w:b/>
                <w:bCs/>
                <w:i w:val="false"/>
                <w:iCs w:val="false"/>
                <w:color w:val="404040"/>
                <w:sz w:val="13"/>
                <w:szCs w:val="13"/>
              </w:rPr>
              <w:t xml:space="preserve">Intitulé</w:t>
            </w:r>
          </w:p>
        </w:tc>
        <w:tc>
          <w:tcPr>
            <w:tcW w:type="dxa" w:w="850"/>
            <w:tcBorders>
              <w:top w:val="single" w:color="BFBFBF" w:sz="2"/>
              <w:left w:val="single" w:color="BFBFBF" w:sz="2"/>
              <w:bottom w:val="single" w:color="BFBFBF" w:sz="2"/>
              <w:right w:val="single" w:color="BFBFBF" w:sz="2"/>
            </w:tcBorders>
            <w:shd w:fill="ECE6F5" w:color="auto" w:val="clear"/>
          </w:tcPr>
          <w:p>
            <w:pPr>
              <w:spacing w:after="16" w:before="16"/>
            </w:pPr>
            <w:r>
              <w:rPr>
                <w:b/>
                <w:bCs/>
                <w:i w:val="false"/>
                <w:iCs w:val="false"/>
                <w:color w:val="404040"/>
                <w:sz w:val="13"/>
                <w:szCs w:val="13"/>
              </w:rPr>
              <w:t xml:space="preserve">Fiche(s)</w:t>
            </w:r>
          </w:p>
        </w:tc>
        <w:tc>
          <w:tcPr>
            <w:tcW w:type="dxa" w:w="3290"/>
            <w:tcBorders>
              <w:top w:val="single" w:color="BFBFBF" w:sz="2"/>
              <w:left w:val="single" w:color="BFBFBF" w:sz="2"/>
              <w:bottom w:val="single" w:color="BFBFBF" w:sz="2"/>
              <w:right w:val="single" w:color="BFBFBF" w:sz="2"/>
            </w:tcBorders>
            <w:shd w:fill="ECE6F5" w:color="auto" w:val="clear"/>
          </w:tcPr>
          <w:p>
            <w:pPr>
              <w:spacing w:after="16" w:before="16"/>
            </w:pPr>
            <w:r>
              <w:rPr>
                <w:b/>
                <w:bCs/>
                <w:i w:val="false"/>
                <w:iCs w:val="false"/>
                <w:color w:val="404040"/>
                <w:sz w:val="13"/>
                <w:szCs w:val="13"/>
              </w:rPr>
              <w:t xml:space="preserve">Correspondances dans le recueil (N° Oberdorff)</w:t>
            </w:r>
          </w:p>
        </w:tc>
        <w:tc>
          <w:tcPr>
            <w:tcW w:type="dxa" w:w="5580"/>
            <w:tcBorders>
              <w:top w:val="single" w:color="BFBFBF" w:sz="2"/>
              <w:left w:val="single" w:color="BFBFBF" w:sz="2"/>
              <w:bottom w:val="single" w:color="BFBFBF" w:sz="2"/>
              <w:right w:val="single" w:color="BFBFBF" w:sz="2"/>
            </w:tcBorders>
            <w:shd w:fill="ECE6F5"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8E7CC3"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N°75.1 LOI 1905 art. 1–2 (36)</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N°75.1 · p. 941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E7CC3"/>
                <w:sz w:val="14"/>
                <w:szCs w:val="14"/>
              </w:rPr>
              <w:t xml:space="preserve">64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Loi du 9 décembre 1905 : liberté de conscience et libre exercice des cultes (art. 1er), non-reconnaissance et non-subventionnement (art. 2)</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E7CC3"/>
                <w:sz w:val="14"/>
                <w:szCs w:val="14"/>
              </w:rPr>
              <w:t xml:space="preserve">36 · 41 · 9</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10 DDHC · art. 1er C. (N°77.1) · art. 9 CEDH · Charte UE art. 10 · art. 18 PIDCP</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2012-297 QPC (APPEL) : les quatre composantes de la laïcité ; Kokkinakis (1993). Loi du 24 août 2021 (principes de la République) : 2021-823 DC.</w:t>
            </w:r>
          </w:p>
        </w:tc>
      </w:tr>
      <w:tr>
        <w:tc>
          <w:tcPr>
            <w:tcW w:type="dxa" w:w="460"/>
            <w:tcBorders>
              <w:top w:val="single" w:color="BFBFBF" w:sz="2"/>
              <w:left w:val="single" w:color="BFBFBF" w:sz="2"/>
              <w:bottom w:val="single" w:color="BFBFBF" w:sz="2"/>
              <w:right w:val="single" w:color="BFBFBF" w:sz="2"/>
            </w:tcBorders>
            <w:shd w:fill="8E7CC3"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LOI 1905 art. 25–36 (36)</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N°75.1 · ≈ p. 949</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E7CC3"/>
                <w:sz w:val="14"/>
                <w:szCs w:val="14"/>
              </w:rPr>
              <w:t xml:space="preserve">72,8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Police des cultes : réunions cultuelles, signes et emblèmes religieux sur les emplacements publics (art. 28), délits</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E7CC3"/>
                <w:sz w:val="14"/>
                <w:szCs w:val="14"/>
              </w:rPr>
              <w:t xml:space="preserve">36 · 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1907 (N°75.2) · art. 9 CEDH</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28 : crèches de Noël admises si elles présentent un caractère culturel, artistique ou festif, sans revendication religieuse (CE Ass., 9 novembre 2016, Fédération de la libre pensée de Vendée).</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N°75.2–76.2 CULTES &amp; DÉRIVES SECTAIRES (36·55)</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N°75.2 · p. 956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E7CC3"/>
                <w:sz w:val="14"/>
                <w:szCs w:val="14"/>
              </w:rPr>
              <w:t xml:space="preserve">81,6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Exercice des cultes (loi du 2 janvier 1907) · dérives sectaires (loi About-Picard 2001-504, C. pén. 223-15-2 s., N°76.1 p. 958) · MIVILUDES (N°76.2)</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E7CC3"/>
                <w:sz w:val="14"/>
                <w:szCs w:val="14"/>
              </w:rPr>
              <w:t xml:space="preserve">36 · 55</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9 CEDH · vulnérabilité (fiche 55)</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Abus frauduleux de l’état d’ignorance ou de faiblesse (art. 223-15-2 C. pén.) : protection des personnes vulnérables sans atteinte à la liberté religieuse.</w:t>
            </w:r>
          </w:p>
        </w:tc>
      </w:tr>
      <w:tr>
        <w:tc>
          <w:tcPr>
            <w:tcW w:type="dxa" w:w="460"/>
            <w:tcBorders>
              <w:top w:val="single" w:color="BFBFBF" w:sz="2"/>
              <w:left w:val="single" w:color="BFBFBF" w:sz="2"/>
              <w:bottom w:val="single" w:color="BFBFBF" w:sz="2"/>
              <w:right w:val="single" w:color="BFBFBF" w:sz="2"/>
            </w:tcBorders>
            <w:shd w:fill="8E7CC3"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N°77.1–77.3 LAÏCITÉ (36·41)</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N°77.1 · p. 962</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E7CC3"/>
                <w:sz w:val="14"/>
                <w:szCs w:val="14"/>
              </w:rPr>
              <w:t xml:space="preserve">90,4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Caractère laïc de la République (art. 1er C.) · laïcité de l’enseignement public, C. éduc. L.141-1 s. (N°77.2) · comité interministériel (N°77.3)</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E7CC3"/>
                <w:sz w:val="14"/>
                <w:szCs w:val="14"/>
              </w:rPr>
              <w:t xml:space="preserve">36 · 41 · 47</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1er C. (N°3.1) · loi 1905 (N°75.1) · art. 9 CEDH · Prot. 1 art. 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du 15 mars 2004 sur les signes religieux à l’école ; Dogru c. France (2008) ; abaya et qamis : CE, ord., 7 septembre 2023, Action droits des musulmans. 2012-297 QPC.</w:t>
            </w:r>
          </w:p>
        </w:tc>
      </w:tr>
      <w:tr>
        <w:tc>
          <w:tcPr>
            <w:tcW w:type="dxa" w:w="460"/>
            <w:tcBorders>
              <w:top w:val="single" w:color="BFBFBF" w:sz="2"/>
              <w:left w:val="single" w:color="BFBFBF" w:sz="2"/>
              <w:bottom w:val="single" w:color="BFBFBF" w:sz="2"/>
              <w:right w:val="single" w:color="BFBFBF" w:sz="2"/>
            </w:tcBorders>
            <w:shd w:fill="8E7CC3"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N°78.1–78.2 DROIT À L’ÉDUCATION (47)</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N°78.1 · p. 965</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E7CC3"/>
                <w:sz w:val="14"/>
                <w:szCs w:val="14"/>
              </w:rPr>
              <w:t xml:space="preserve">99,2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Droit à l’éducation et service public de l’enseignement (C. éduc. L.111-1 s.) · missions (L.121-1 s., N°78.2 p. 967)</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E7CC3"/>
                <w:sz w:val="14"/>
                <w:szCs w:val="14"/>
              </w:rPr>
              <w:t xml:space="preserve">47 · 55</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al. 13 Préambule (N°2) · Prot. 1 art. 2 (N°4.2) · PIDESC art. 13 · CIDE art. 28 · Charte UE art. 14</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Gratuité de l’enseignement supérieur public, droits d’inscription modiques : 2019-809 QPC ; scolarisation des enfants handicapés : CE, Laruelle (2009).</w:t>
            </w:r>
          </w:p>
        </w:tc>
      </w:tr>
      <w:tr>
        <w:tc>
          <w:tcPr>
            <w:tcW w:type="dxa" w:w="460"/>
            <w:tcBorders>
              <w:top w:val="single" w:color="BFBFBF" w:sz="2"/>
              <w:left w:val="single" w:color="BFBFBF" w:sz="2"/>
              <w:bottom w:val="single" w:color="BFBFBF" w:sz="2"/>
              <w:right w:val="single" w:color="BFBFBF" w:sz="2"/>
            </w:tcBorders>
            <w:shd w:fill="8E7CC3"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N°79–81 LIBERTÉ DE L’ENSEIGNEMENT (41)</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N°79 · p. 971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E7CC3"/>
                <w:sz w:val="14"/>
                <w:szCs w:val="14"/>
              </w:rPr>
              <w:t xml:space="preserve">108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Liberté de l’enseignement (C. éduc. L.151-1 s.) · enseignement supérieur (L.151-6, N°80) · indépendance des enseignants-chercheurs (L.952-2, N°81 p. 972)</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E7CC3"/>
                <w:sz w:val="14"/>
                <w:szCs w:val="14"/>
              </w:rPr>
              <w:t xml:space="preserve">41 · 47 · 36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 1 art. 2 · Charte UE art. 14 § 3 · art. 13 PIDESC</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PFRLR : 77-87 DC (caractère propre des établissements sous contrat) ; loi Bayrou : 93-329 DC ; indépendance des professeurs d’université, PFRLR : 83-165 DC ; instruction en famille soumise à autorisation : 2021-823 DC.</w:t>
            </w:r>
          </w:p>
        </w:tc>
      </w:tr>
    </w:tbl>
    <w:p>
      <w:pPr>
        <w:spacing w:after="140"/>
      </w:pPr>
    </w:p>
    <w:tbl>
      <w:tblPr>
        <w:tblW w:type="dxa" w:w="15600"/>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1930"/>
        <w:gridCol w:w="680"/>
        <w:gridCol w:w="760"/>
        <w:gridCol w:w="2050"/>
        <w:gridCol w:w="850"/>
        <w:gridCol w:w="3290"/>
        <w:gridCol w:w="5580"/>
      </w:tblGrid>
      <w:tr>
        <w:tc>
          <w:tcPr>
            <w:gridSpan w:val="8"/>
            <w:tcBorders>
              <w:top w:val="single" w:color="BFBFBF" w:sz="2"/>
              <w:left w:val="single" w:color="BFBFBF" w:sz="2"/>
              <w:bottom w:val="single" w:color="BFBFBF" w:sz="2"/>
              <w:right w:val="single" w:color="BFBFBF" w:sz="2"/>
            </w:tcBorders>
            <w:shd w:fill="FCE1DA" w:color="auto" w:val="clear"/>
          </w:tcPr>
          <w:p>
            <w:pPr>
              <w:spacing w:after="20" w:before="50"/>
            </w:pPr>
            <w:r>
              <w:rPr>
                <w:b/>
                <w:bCs/>
                <w:color w:val="E0684B"/>
                <w:sz w:val="22"/>
                <w:szCs w:val="22"/>
              </w:rPr>
              <w:t xml:space="preserve">BLOC L14 — DIGNITÉ, CORPS HUMAIN, SCIENCES DE LA VIE (section H)</w:t>
            </w:r>
            <w:r>
              <w:rPr>
                <w:b/>
                <w:bCs/>
                <w:color w:val="E0684B"/>
                <w:sz w:val="15"/>
                <w:szCs w:val="15"/>
              </w:rPr>
              <w:t xml:space="preserve">     ■ CORAIL  ·  p. 973 à 1038  ·  8 onglets  ·  couloir C3 (120 à 176 mm du haut)  ·  escalier de 6,3 mm</w:t>
            </w:r>
          </w:p>
          <w:p>
            <w:pPr>
              <w:spacing w:after="40"/>
            </w:pPr>
            <w:r>
              <w:rPr>
                <w:i/>
                <w:iCs/>
                <w:color w:val="E0684B"/>
                <w:sz w:val="15"/>
                <w:szCs w:val="15"/>
              </w:rPr>
              <w:t xml:space="preserve">↳ Manuel OB, Partie VI — fiches 26 (vie) et 27 (intégrité), relais 5 (dignité), 34 (filiation, PMA), 48 (santé)</w:t>
            </w:r>
          </w:p>
        </w:tc>
      </w:tr>
      <w:tr>
        <w:trPr>
          <w:tblHeader/>
        </w:trPr>
        <w:tc>
          <w:tcPr>
            <w:tcW w:type="dxa" w:w="460"/>
            <w:tcBorders>
              <w:top w:val="single" w:color="BFBFBF" w:sz="2"/>
              <w:left w:val="single" w:color="BFBFBF" w:sz="2"/>
              <w:bottom w:val="single" w:color="BFBFBF" w:sz="2"/>
              <w:right w:val="single" w:color="BFBFBF" w:sz="2"/>
            </w:tcBorders>
            <w:shd w:fill="FCE1DA" w:color="auto" w:val="clear"/>
          </w:tcPr>
          <w:p>
            <w:pPr>
              <w:spacing w:after="16" w:before="16"/>
            </w:pPr>
            <w:r>
              <w:rPr>
                <w:b/>
                <w:bCs/>
                <w:i w:val="false"/>
                <w:iCs w:val="false"/>
                <w:color w:val="404040"/>
                <w:sz w:val="13"/>
                <w:szCs w:val="13"/>
              </w:rPr>
              <w:t xml:space="preserve">P</w:t>
            </w:r>
          </w:p>
        </w:tc>
        <w:tc>
          <w:tcPr>
            <w:tcW w:type="dxa" w:w="1930"/>
            <w:tcBorders>
              <w:top w:val="single" w:color="BFBFBF" w:sz="2"/>
              <w:left w:val="single" w:color="BFBFBF" w:sz="2"/>
              <w:bottom w:val="single" w:color="BFBFBF" w:sz="2"/>
              <w:right w:val="single" w:color="BFBFBF" w:sz="2"/>
            </w:tcBorders>
            <w:shd w:fill="FCE1DA" w:color="auto" w:val="clear"/>
          </w:tcPr>
          <w:p>
            <w:pPr>
              <w:spacing w:after="16" w:before="16"/>
            </w:pPr>
            <w:r>
              <w:rPr>
                <w:b/>
                <w:bCs/>
                <w:i w:val="false"/>
                <w:iCs w:val="false"/>
                <w:color w:val="404040"/>
                <w:sz w:val="13"/>
                <w:szCs w:val="13"/>
              </w:rPr>
              <w:t xml:space="preserve">À écrire sur l’onglet</w:t>
            </w:r>
          </w:p>
        </w:tc>
        <w:tc>
          <w:tcPr>
            <w:tcW w:type="dxa" w:w="680"/>
            <w:tcBorders>
              <w:top w:val="single" w:color="BFBFBF" w:sz="2"/>
              <w:left w:val="single" w:color="BFBFBF" w:sz="2"/>
              <w:bottom w:val="single" w:color="BFBFBF" w:sz="2"/>
              <w:right w:val="single" w:color="BFBFBF" w:sz="2"/>
            </w:tcBorders>
            <w:shd w:fill="FCE1DA" w:color="auto" w:val="clear"/>
          </w:tcPr>
          <w:p>
            <w:pPr>
              <w:spacing w:after="16" w:before="16"/>
            </w:pPr>
            <w:r>
              <w:rPr>
                <w:b/>
                <w:bCs/>
                <w:i w:val="false"/>
                <w:iCs w:val="false"/>
                <w:color w:val="404040"/>
                <w:sz w:val="13"/>
                <w:szCs w:val="13"/>
              </w:rPr>
              <w:t xml:space="preserve">N° · p.</w:t>
            </w:r>
          </w:p>
        </w:tc>
        <w:tc>
          <w:tcPr>
            <w:tcW w:type="dxa" w:w="760"/>
            <w:tcBorders>
              <w:top w:val="single" w:color="BFBFBF" w:sz="2"/>
              <w:left w:val="single" w:color="BFBFBF" w:sz="2"/>
              <w:bottom w:val="single" w:color="BFBFBF" w:sz="2"/>
              <w:right w:val="single" w:color="BFBFBF" w:sz="2"/>
            </w:tcBorders>
            <w:shd w:fill="FCE1DA" w:color="auto" w:val="clear"/>
          </w:tcPr>
          <w:p>
            <w:pPr>
              <w:spacing w:after="16" w:before="16"/>
            </w:pPr>
            <w:r>
              <w:rPr>
                <w:b/>
                <w:bCs/>
                <w:i w:val="false"/>
                <w:iCs w:val="false"/>
                <w:color w:val="404040"/>
                <w:sz w:val="13"/>
                <w:szCs w:val="13"/>
              </w:rPr>
              <w:t xml:space="preserve">Haut de l’onglet</w:t>
            </w:r>
          </w:p>
        </w:tc>
        <w:tc>
          <w:tcPr>
            <w:tcW w:type="dxa" w:w="2050"/>
            <w:tcBorders>
              <w:top w:val="single" w:color="BFBFBF" w:sz="2"/>
              <w:left w:val="single" w:color="BFBFBF" w:sz="2"/>
              <w:bottom w:val="single" w:color="BFBFBF" w:sz="2"/>
              <w:right w:val="single" w:color="BFBFBF" w:sz="2"/>
            </w:tcBorders>
            <w:shd w:fill="FCE1DA" w:color="auto" w:val="clear"/>
          </w:tcPr>
          <w:p>
            <w:pPr>
              <w:spacing w:after="16" w:before="16"/>
            </w:pPr>
            <w:r>
              <w:rPr>
                <w:b/>
                <w:bCs/>
                <w:i w:val="false"/>
                <w:iCs w:val="false"/>
                <w:color w:val="404040"/>
                <w:sz w:val="13"/>
                <w:szCs w:val="13"/>
              </w:rPr>
              <w:t xml:space="preserve">Intitulé</w:t>
            </w:r>
          </w:p>
        </w:tc>
        <w:tc>
          <w:tcPr>
            <w:tcW w:type="dxa" w:w="850"/>
            <w:tcBorders>
              <w:top w:val="single" w:color="BFBFBF" w:sz="2"/>
              <w:left w:val="single" w:color="BFBFBF" w:sz="2"/>
              <w:bottom w:val="single" w:color="BFBFBF" w:sz="2"/>
              <w:right w:val="single" w:color="BFBFBF" w:sz="2"/>
            </w:tcBorders>
            <w:shd w:fill="FCE1DA" w:color="auto" w:val="clear"/>
          </w:tcPr>
          <w:p>
            <w:pPr>
              <w:spacing w:after="16" w:before="16"/>
            </w:pPr>
            <w:r>
              <w:rPr>
                <w:b/>
                <w:bCs/>
                <w:i w:val="false"/>
                <w:iCs w:val="false"/>
                <w:color w:val="404040"/>
                <w:sz w:val="13"/>
                <w:szCs w:val="13"/>
              </w:rPr>
              <w:t xml:space="preserve">Fiche(s)</w:t>
            </w:r>
          </w:p>
        </w:tc>
        <w:tc>
          <w:tcPr>
            <w:tcW w:type="dxa" w:w="3290"/>
            <w:tcBorders>
              <w:top w:val="single" w:color="BFBFBF" w:sz="2"/>
              <w:left w:val="single" w:color="BFBFBF" w:sz="2"/>
              <w:bottom w:val="single" w:color="BFBFBF" w:sz="2"/>
              <w:right w:val="single" w:color="BFBFBF" w:sz="2"/>
            </w:tcBorders>
            <w:shd w:fill="FCE1DA" w:color="auto" w:val="clear"/>
          </w:tcPr>
          <w:p>
            <w:pPr>
              <w:spacing w:after="16" w:before="16"/>
            </w:pPr>
            <w:r>
              <w:rPr>
                <w:b/>
                <w:bCs/>
                <w:i w:val="false"/>
                <w:iCs w:val="false"/>
                <w:color w:val="404040"/>
                <w:sz w:val="13"/>
                <w:szCs w:val="13"/>
              </w:rPr>
              <w:t xml:space="preserve">Correspondances dans le recueil (N° Oberdorff)</w:t>
            </w:r>
          </w:p>
        </w:tc>
        <w:tc>
          <w:tcPr>
            <w:tcW w:type="dxa" w:w="5580"/>
            <w:tcBorders>
              <w:top w:val="single" w:color="BFBFBF" w:sz="2"/>
              <w:left w:val="single" w:color="BFBFBF" w:sz="2"/>
              <w:bottom w:val="single" w:color="BFBFBF" w:sz="2"/>
              <w:right w:val="single" w:color="BFBFBF" w:sz="2"/>
            </w:tcBorders>
            <w:shd w:fill="FCE1DA"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N°82.1–83 DÉONTOLOGIE MÉDICALE &amp; CCNE (27·48)</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N°82.1 · p. 973</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4"/>
                <w:szCs w:val="14"/>
              </w:rPr>
              <w:t xml:space="preserve">120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Devoirs des médecins (CSP) · Comité consultatif national d’éthique (CSP L.1412-1 s., N°83 p. 981)</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4"/>
                <w:szCs w:val="14"/>
              </w:rPr>
              <w:t xml:space="preserve">27 · 48</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Oviedo (N°16.1) · droits des malades (N°92)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Consentement libre et éclairé ; le CCNE éclaire le législateur avant chaque révision bioéthique.</w:t>
            </w:r>
          </w:p>
        </w:tc>
      </w:tr>
      <w:tr>
        <w:tc>
          <w:tcPr>
            <w:tcW w:type="dxa" w:w="460"/>
            <w:tcBorders>
              <w:top w:val="single" w:color="BFBFBF" w:sz="2"/>
              <w:left w:val="single" w:color="BFBFBF" w:sz="2"/>
              <w:bottom w:val="single" w:color="BFBFBF" w:sz="2"/>
              <w:right w:val="single" w:color="BFBFBF" w:sz="2"/>
            </w:tcBorders>
            <w:shd w:fill="E0684B"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N°84 IVG (26·27)</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N°84 · p. 983</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4"/>
                <w:szCs w:val="14"/>
              </w:rPr>
              <w:t xml:space="preserve">126,3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Interruption volontaire de grossesse — CSP L.2211-1 s. et L.2223-1-2</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4"/>
                <w:szCs w:val="14"/>
              </w:rPr>
              <w:t xml:space="preserve">26 · 27 · 16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2 DDHC · art. 34 C. (liberté garantie) · art. 2 et 8 CEDH</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74-54 DC (refus du contrôle de conventionnalité) ; 2001-446 DC (liberté de la femme, art. 2 DDHC) ; Vo c. France (2004) ; loi constitutionnelle du 8 mars 2024 : liberté garantie de recourir à l’IVG inscrite à l’art. 34 C.</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193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5"/>
                <w:szCs w:val="15"/>
              </w:rPr>
              <w:t xml:space="preserve">N°85–87 CORPS HUMAIN — C. CIV. 16 s. (27·5)  ★</w:t>
            </w:r>
          </w:p>
        </w:tc>
        <w:tc>
          <w:tcPr>
            <w:tcW w:type="dxa" w:w="6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3"/>
                <w:szCs w:val="13"/>
              </w:rPr>
              <w:t xml:space="preserve">N°85 · p. 988</w:t>
            </w:r>
          </w:p>
        </w:tc>
        <w:tc>
          <w:tcPr>
            <w:tcW w:type="dxa" w:w="76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E0684B"/>
                <w:sz w:val="14"/>
                <w:szCs w:val="14"/>
              </w:rPr>
              <w:t xml:space="preserve">132,6 mm  (#3)</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4"/>
                <w:szCs w:val="14"/>
              </w:rPr>
              <w:t xml:space="preserve">Respect du corps humain (C. civ. 16 à 16-9) · études génétiques (16-10 s., N°86) · protection de l’espèce humaine et de l’embryon (C. pén. 214-1 s., 511-1 s., N°87 p. 991)</w:t>
            </w:r>
          </w:p>
        </w:tc>
        <w:tc>
          <w:tcPr>
            <w:tcW w:type="dxa" w:w="8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E0684B"/>
                <w:sz w:val="14"/>
                <w:szCs w:val="14"/>
              </w:rPr>
              <w:t xml:space="preserve">27 · 5 · 26 · 34</w:t>
            </w:r>
          </w:p>
        </w:tc>
        <w:tc>
          <w:tcPr>
            <w:tcW w:type="dxa" w:w="329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Oviedo (N°16.1-16.2) · Charte UE art. 3 · UNESCO (N°38.1-38.2)</w:t>
            </w:r>
          </w:p>
        </w:tc>
        <w:tc>
          <w:tcPr>
            <w:tcW w:type="dxa" w:w="55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Dignité, principe à valeur constitutionnelle (94-343/344 DC) ; ordre public (Morsang-sur-Orge, 1995 ; Société Z Machine, 2026). GPA interdite par l’art. 16-7 : Mennesson (2014), avis consultatif de 2019, Cass. ass. plén., 3 juillet 2026.</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N°88 RECHERCHES SUR LA PERSONNE (27)</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N°88 · p. 997</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4"/>
                <w:szCs w:val="14"/>
              </w:rPr>
              <w:t xml:space="preserve">138,9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Recherches impliquant la personne humaine — CSP L.1121-1 s.</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4"/>
                <w:szCs w:val="14"/>
              </w:rPr>
              <w:t xml:space="preserve">27 · 50</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Oviedo (N°16.1) · Charte UE art. 3</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Consentement préalable, protection des personnes vulnérables, avis d’un comité de protection des personnes.</w:t>
            </w:r>
          </w:p>
        </w:tc>
      </w:tr>
      <w:tr>
        <w:tc>
          <w:tcPr>
            <w:tcW w:type="dxa" w:w="460"/>
            <w:tcBorders>
              <w:top w:val="single" w:color="BFBFBF" w:sz="2"/>
              <w:left w:val="single" w:color="BFBFBF" w:sz="2"/>
              <w:bottom w:val="single" w:color="BFBFBF" w:sz="2"/>
              <w:right w:val="single" w:color="BFBFBF" w:sz="2"/>
            </w:tcBorders>
            <w:shd w:fill="E0684B"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N°89 PMA &amp; DIAGNOSTIC PRÉNATAL (34·27)</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N°89 · p. 1012</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4"/>
                <w:szCs w:val="14"/>
              </w:rPr>
              <w:t xml:space="preserve">145,1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Procréation médicalement assistée et diagnostics anténataux — CSP L.2131-1, L.2141-1 s.</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4"/>
                <w:szCs w:val="14"/>
              </w:rPr>
              <w:t xml:space="preserve">34 · 27 · 54</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8 CEDH · art. 16 s. C. civ. (N°85) · Charte UE art. 3</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Ouverture de la PMA aux couples de femmes et aux femmes seules (loi bioéthique du 2 août 2021) ; filiation et GPA : Mennesson (fiche 34).</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N°90–91 GÉNÉTIQUE &amp; DONS (27·54)</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N°90 · p. 1021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4"/>
                <w:szCs w:val="14"/>
              </w:rPr>
              <w:t xml:space="preserve">151,4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Médecine prédictive et identification génétique (CSP L.1131-1 s.) · don d’éléments et produits du corps humain (L.1211-1 s., N°91 p. 1026)</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4"/>
                <w:szCs w:val="14"/>
              </w:rPr>
              <w:t xml:space="preserve">27 · 54</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 civ. 16-10 s. (N°86) · Oviedo (N°16.3)</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Gratuité, anonymat et consentement du don ; interdiction des discriminations fondées sur les caractéristiques génétiques.</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193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5"/>
                <w:szCs w:val="15"/>
              </w:rPr>
              <w:t xml:space="preserve">N°92 DROITS DES MALADES — FIN DE VIE (26·48)  ★</w:t>
            </w:r>
          </w:p>
        </w:tc>
        <w:tc>
          <w:tcPr>
            <w:tcW w:type="dxa" w:w="6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3"/>
                <w:szCs w:val="13"/>
              </w:rPr>
              <w:t xml:space="preserve">N°92 · p. 1031</w:t>
            </w:r>
          </w:p>
        </w:tc>
        <w:tc>
          <w:tcPr>
            <w:tcW w:type="dxa" w:w="76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E0684B"/>
                <w:sz w:val="14"/>
                <w:szCs w:val="14"/>
              </w:rPr>
              <w:t xml:space="preserve">157,7 mm  (#7)</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4"/>
                <w:szCs w:val="14"/>
              </w:rPr>
              <w:t xml:space="preserve">Droits des malades — CSP L.1110-1 à L.1110-11 (dont L.1110-5 s. : sédation profonde et continue)</w:t>
            </w:r>
          </w:p>
        </w:tc>
        <w:tc>
          <w:tcPr>
            <w:tcW w:type="dxa" w:w="8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E0684B"/>
                <w:sz w:val="14"/>
                <w:szCs w:val="14"/>
              </w:rPr>
              <w:t xml:space="preserve">26 · 48 · 27 · 55</w:t>
            </w:r>
          </w:p>
        </w:tc>
        <w:tc>
          <w:tcPr>
            <w:tcW w:type="dxa" w:w="329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art. 2 et 8 CEDH · Charte UE art. 35 · art. 12 PIDESC</w:t>
            </w:r>
          </w:p>
        </w:tc>
        <w:tc>
          <w:tcPr>
            <w:tcW w:type="dxa" w:w="55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Lambert et a. c. France (2015) ; procédure collégiale : 2017-632 QPC ; loi Claeys-Leonetti (2016). À jour : la loi n° 2026-794 du 18 août 2026 relative au droit à l’aide à mourir (validée par 2026-910 DC) et la loi du 26 mai 2026 sur les soins palliatifs sont postérieures à l’impression du recueil (mai 2026).</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N°93.1–93.2 SUICIDE (26)</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N°93.1 · p. 1037</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4"/>
                <w:szCs w:val="14"/>
              </w:rPr>
              <w:t xml:space="preserve">164 mm  (#8)</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Observatoire national du suicide (décret 2013-809) · provocation au suicide (C. pén. 223-13 à 223-15, N°93.2 p. 1038)</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4"/>
                <w:szCs w:val="14"/>
              </w:rPr>
              <w:t xml:space="preserve">26 · 55</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2 CEDH (obligations positives)</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Pas de droit à mourir déduit de l’art. 2 (Pretty, 2002) ; Haas c. Suisse (2011) : droit de décider de la manière de mettre fin à ses jours, sous l’angle de l’art. 8.</w:t>
            </w:r>
          </w:p>
        </w:tc>
      </w:tr>
    </w:tbl>
    <w:p>
      <w:pPr>
        <w:spacing w:after="140"/>
      </w:pPr>
    </w:p>
    <w:tbl>
      <w:tblPr>
        <w:tblW w:type="dxa" w:w="15600"/>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1930"/>
        <w:gridCol w:w="680"/>
        <w:gridCol w:w="760"/>
        <w:gridCol w:w="2050"/>
        <w:gridCol w:w="850"/>
        <w:gridCol w:w="3290"/>
        <w:gridCol w:w="5580"/>
      </w:tblGrid>
      <w:tr>
        <w:tc>
          <w:tcPr>
            <w:gridSpan w:val="8"/>
            <w:tcBorders>
              <w:top w:val="single" w:color="BFBFBF" w:sz="2"/>
              <w:left w:val="single" w:color="BFBFBF" w:sz="2"/>
              <w:bottom w:val="single" w:color="BFBFBF" w:sz="2"/>
              <w:right w:val="single" w:color="BFBFBF" w:sz="2"/>
            </w:tcBorders>
            <w:shd w:fill="EADFD6" w:color="auto" w:val="clear"/>
          </w:tcPr>
          <w:p>
            <w:pPr>
              <w:spacing w:after="20" w:before="50"/>
            </w:pPr>
            <w:r>
              <w:rPr>
                <w:b/>
                <w:bCs/>
                <w:color w:val="7F5539"/>
                <w:sz w:val="22"/>
                <w:szCs w:val="22"/>
              </w:rPr>
              <w:t xml:space="preserve">BLOC L15 — PRESSE, COMMUNICATION, SPECTACLES (section I)</w:t>
            </w:r>
            <w:r>
              <w:rPr>
                <w:b/>
                <w:bCs/>
                <w:color w:val="7F5539"/>
                <w:sz w:val="15"/>
                <w:szCs w:val="15"/>
              </w:rPr>
              <w:t xml:space="preserve">     ■ BRUN  ·  p. 1039 à 1156  ·  9 onglets  ·  couloir C4 (176 à 232 mm du haut)  ·  escalier de 5,5 mm</w:t>
            </w:r>
          </w:p>
          <w:p>
            <w:pPr>
              <w:spacing w:after="40"/>
            </w:pPr>
            <w:r>
              <w:rPr>
                <w:i/>
                <w:iCs/>
                <w:color w:val="7F5539"/>
                <w:sz w:val="15"/>
                <w:szCs w:val="15"/>
              </w:rPr>
              <w:t xml:space="preserve">↳ Manuel OB, Partie VI — fiche 37 (liberté d’expression), relais 20 (ARCOM), 33 (vie privée), 6 (police des spectacles)</w:t>
            </w:r>
          </w:p>
        </w:tc>
      </w:tr>
      <w:tr>
        <w:trPr>
          <w:tblHeader/>
        </w:trPr>
        <w:tc>
          <w:tcPr>
            <w:tcW w:type="dxa" w:w="460"/>
            <w:tcBorders>
              <w:top w:val="single" w:color="BFBFBF" w:sz="2"/>
              <w:left w:val="single" w:color="BFBFBF" w:sz="2"/>
              <w:bottom w:val="single" w:color="BFBFBF" w:sz="2"/>
              <w:right w:val="single" w:color="BFBFBF" w:sz="2"/>
            </w:tcBorders>
            <w:shd w:fill="EADFD6" w:color="auto" w:val="clear"/>
          </w:tcPr>
          <w:p>
            <w:pPr>
              <w:spacing w:after="16" w:before="16"/>
            </w:pPr>
            <w:r>
              <w:rPr>
                <w:b/>
                <w:bCs/>
                <w:i w:val="false"/>
                <w:iCs w:val="false"/>
                <w:color w:val="404040"/>
                <w:sz w:val="13"/>
                <w:szCs w:val="13"/>
              </w:rPr>
              <w:t xml:space="preserve">P</w:t>
            </w:r>
          </w:p>
        </w:tc>
        <w:tc>
          <w:tcPr>
            <w:tcW w:type="dxa" w:w="1930"/>
            <w:tcBorders>
              <w:top w:val="single" w:color="BFBFBF" w:sz="2"/>
              <w:left w:val="single" w:color="BFBFBF" w:sz="2"/>
              <w:bottom w:val="single" w:color="BFBFBF" w:sz="2"/>
              <w:right w:val="single" w:color="BFBFBF" w:sz="2"/>
            </w:tcBorders>
            <w:shd w:fill="EADFD6" w:color="auto" w:val="clear"/>
          </w:tcPr>
          <w:p>
            <w:pPr>
              <w:spacing w:after="16" w:before="16"/>
            </w:pPr>
            <w:r>
              <w:rPr>
                <w:b/>
                <w:bCs/>
                <w:i w:val="false"/>
                <w:iCs w:val="false"/>
                <w:color w:val="404040"/>
                <w:sz w:val="13"/>
                <w:szCs w:val="13"/>
              </w:rPr>
              <w:t xml:space="preserve">À écrire sur l’onglet</w:t>
            </w:r>
          </w:p>
        </w:tc>
        <w:tc>
          <w:tcPr>
            <w:tcW w:type="dxa" w:w="680"/>
            <w:tcBorders>
              <w:top w:val="single" w:color="BFBFBF" w:sz="2"/>
              <w:left w:val="single" w:color="BFBFBF" w:sz="2"/>
              <w:bottom w:val="single" w:color="BFBFBF" w:sz="2"/>
              <w:right w:val="single" w:color="BFBFBF" w:sz="2"/>
            </w:tcBorders>
            <w:shd w:fill="EADFD6" w:color="auto" w:val="clear"/>
          </w:tcPr>
          <w:p>
            <w:pPr>
              <w:spacing w:after="16" w:before="16"/>
            </w:pPr>
            <w:r>
              <w:rPr>
                <w:b/>
                <w:bCs/>
                <w:i w:val="false"/>
                <w:iCs w:val="false"/>
                <w:color w:val="404040"/>
                <w:sz w:val="13"/>
                <w:szCs w:val="13"/>
              </w:rPr>
              <w:t xml:space="preserve">N° · p.</w:t>
            </w:r>
          </w:p>
        </w:tc>
        <w:tc>
          <w:tcPr>
            <w:tcW w:type="dxa" w:w="760"/>
            <w:tcBorders>
              <w:top w:val="single" w:color="BFBFBF" w:sz="2"/>
              <w:left w:val="single" w:color="BFBFBF" w:sz="2"/>
              <w:bottom w:val="single" w:color="BFBFBF" w:sz="2"/>
              <w:right w:val="single" w:color="BFBFBF" w:sz="2"/>
            </w:tcBorders>
            <w:shd w:fill="EADFD6" w:color="auto" w:val="clear"/>
          </w:tcPr>
          <w:p>
            <w:pPr>
              <w:spacing w:after="16" w:before="16"/>
            </w:pPr>
            <w:r>
              <w:rPr>
                <w:b/>
                <w:bCs/>
                <w:i w:val="false"/>
                <w:iCs w:val="false"/>
                <w:color w:val="404040"/>
                <w:sz w:val="13"/>
                <w:szCs w:val="13"/>
              </w:rPr>
              <w:t xml:space="preserve">Haut de l’onglet</w:t>
            </w:r>
          </w:p>
        </w:tc>
        <w:tc>
          <w:tcPr>
            <w:tcW w:type="dxa" w:w="2050"/>
            <w:tcBorders>
              <w:top w:val="single" w:color="BFBFBF" w:sz="2"/>
              <w:left w:val="single" w:color="BFBFBF" w:sz="2"/>
              <w:bottom w:val="single" w:color="BFBFBF" w:sz="2"/>
              <w:right w:val="single" w:color="BFBFBF" w:sz="2"/>
            </w:tcBorders>
            <w:shd w:fill="EADFD6" w:color="auto" w:val="clear"/>
          </w:tcPr>
          <w:p>
            <w:pPr>
              <w:spacing w:after="16" w:before="16"/>
            </w:pPr>
            <w:r>
              <w:rPr>
                <w:b/>
                <w:bCs/>
                <w:i w:val="false"/>
                <w:iCs w:val="false"/>
                <w:color w:val="404040"/>
                <w:sz w:val="13"/>
                <w:szCs w:val="13"/>
              </w:rPr>
              <w:t xml:space="preserve">Intitulé</w:t>
            </w:r>
          </w:p>
        </w:tc>
        <w:tc>
          <w:tcPr>
            <w:tcW w:type="dxa" w:w="850"/>
            <w:tcBorders>
              <w:top w:val="single" w:color="BFBFBF" w:sz="2"/>
              <w:left w:val="single" w:color="BFBFBF" w:sz="2"/>
              <w:bottom w:val="single" w:color="BFBFBF" w:sz="2"/>
              <w:right w:val="single" w:color="BFBFBF" w:sz="2"/>
            </w:tcBorders>
            <w:shd w:fill="EADFD6" w:color="auto" w:val="clear"/>
          </w:tcPr>
          <w:p>
            <w:pPr>
              <w:spacing w:after="16" w:before="16"/>
            </w:pPr>
            <w:r>
              <w:rPr>
                <w:b/>
                <w:bCs/>
                <w:i w:val="false"/>
                <w:iCs w:val="false"/>
                <w:color w:val="404040"/>
                <w:sz w:val="13"/>
                <w:szCs w:val="13"/>
              </w:rPr>
              <w:t xml:space="preserve">Fiche(s)</w:t>
            </w:r>
          </w:p>
        </w:tc>
        <w:tc>
          <w:tcPr>
            <w:tcW w:type="dxa" w:w="3290"/>
            <w:tcBorders>
              <w:top w:val="single" w:color="BFBFBF" w:sz="2"/>
              <w:left w:val="single" w:color="BFBFBF" w:sz="2"/>
              <w:bottom w:val="single" w:color="BFBFBF" w:sz="2"/>
              <w:right w:val="single" w:color="BFBFBF" w:sz="2"/>
            </w:tcBorders>
            <w:shd w:fill="EADFD6" w:color="auto" w:val="clear"/>
          </w:tcPr>
          <w:p>
            <w:pPr>
              <w:spacing w:after="16" w:before="16"/>
            </w:pPr>
            <w:r>
              <w:rPr>
                <w:b/>
                <w:bCs/>
                <w:i w:val="false"/>
                <w:iCs w:val="false"/>
                <w:color w:val="404040"/>
                <w:sz w:val="13"/>
                <w:szCs w:val="13"/>
              </w:rPr>
              <w:t xml:space="preserve">Correspondances dans le recueil (N° Oberdorff)</w:t>
            </w:r>
          </w:p>
        </w:tc>
        <w:tc>
          <w:tcPr>
            <w:tcW w:type="dxa" w:w="5580"/>
            <w:tcBorders>
              <w:top w:val="single" w:color="BFBFBF" w:sz="2"/>
              <w:left w:val="single" w:color="BFBFBF" w:sz="2"/>
              <w:bottom w:val="single" w:color="BFBFBF" w:sz="2"/>
              <w:right w:val="single" w:color="BFBFBF" w:sz="2"/>
            </w:tcBorders>
            <w:shd w:fill="EADFD6"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7F5539"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N°94.1 LOI 1881 art. 1–22 (37)</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N°94.1 · p. 1039</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176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Loi du 29 juillet 1881 : imprimerie et librairie libres (art. 1er), publications de presse, droit de réponse (art. 13)</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37 · 33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11 DDHC (N°1) · art. 10 CEDH (N°4.1) · Charte UE art. 11 · PIDCP art. 19</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Liberté de la presse, « garantie essentielle » des autres droits (84-181 DC) ; la presse, « chien de garde » de la démocratie (Goodwin, 1996).</w:t>
            </w:r>
          </w:p>
        </w:tc>
      </w:tr>
      <w:tr>
        <w:tc>
          <w:tcPr>
            <w:tcW w:type="dxa" w:w="460"/>
            <w:tcBorders>
              <w:top w:val="single" w:color="BFBFBF" w:sz="2"/>
              <w:left w:val="single" w:color="BFBFBF" w:sz="2"/>
              <w:bottom w:val="single" w:color="BFBFBF" w:sz="2"/>
              <w:right w:val="single" w:color="BFBFBF" w:sz="2"/>
            </w:tcBorders>
            <w:shd w:fill="7F5539"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LOI 1881 art. 23–28 (37·54)</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N°94.1 · ≈ p. 1042</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181,5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Provocation aux crimes et délits, apologie, provocation à la haine ou à la discrimination (art. 24), négationnisme (art. 24 bis)</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37 · 54 · 7</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17 CEDH (abus) · art. 20 PIDCP · CERD art. 4 (N°29)</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Gayssot validée (2015-512 QPC) ; contestation des génocides « reconnus par la loi » censurée (2012-647 DC) ; effet guillotine de l’art. 17 CEDH : M’Bala M’Bala (2015).</w:t>
            </w:r>
          </w:p>
        </w:tc>
      </w:tr>
      <w:tr>
        <w:tc>
          <w:tcPr>
            <w:tcW w:type="dxa" w:w="460"/>
            <w:tcBorders>
              <w:top w:val="single" w:color="BFBFBF" w:sz="2"/>
              <w:left w:val="single" w:color="BFBFBF" w:sz="2"/>
              <w:bottom w:val="single" w:color="BFBFBF" w:sz="2"/>
              <w:right w:val="single" w:color="BFBFBF" w:sz="2"/>
            </w:tcBorders>
            <w:shd w:fill="7F5539"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LOI 1881 art. 29–41 (37·33)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N°94.1 · ≈ p. 1046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187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Diffamation et injure (art. 29 s.), exceptio veritatis et bonne foi, immunités (art. 41)</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37 · 33 · 32</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9 C. civ. (N°69.1) · art. 8 et 10 CEDH</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Lingens c. Autriche (1986) : limites de la critique admissible plus larges pour un homme politique ; liberté d’expression de l’avocat : Morice c. France (2015) ; Cass. ass. plén., 25 octobre 2019 : la dignité n’est pas un fondement autonome de restriction.</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LOI 1881 art. 42–65 (37·32)</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N°94.1 · ≈ p. 1050</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192,5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Responsabilité en cascade (art. 42), procédure, prescription de trois mois (art. 65)</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37 · 32</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6 CEDH</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Prescription abrégée, garantie procédurale propre au droit de la presse.</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N°94.2–94.3 PRESSE : JEUNESSE &amp; PLURALISME (37)</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N°94.2 · p. 1055</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198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Publications destinées à la jeunesse (loi 49-956) · régime juridique de la presse (loi 86-897, N°94.3 p. 1057)</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37 · 16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11 DDHC · loi 1986 (N°95.1)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Pluralisme des quotidiens d’information politique et générale, objectif de valeur constitutionnelle (84-181 DC).</w:t>
            </w:r>
          </w:p>
        </w:tc>
      </w:tr>
      <w:tr>
        <w:tc>
          <w:tcPr>
            <w:tcW w:type="dxa" w:w="460"/>
            <w:tcBorders>
              <w:top w:val="single" w:color="BFBFBF" w:sz="2"/>
              <w:left w:val="single" w:color="BFBFBF" w:sz="2"/>
              <w:bottom w:val="single" w:color="BFBFBF" w:sz="2"/>
              <w:right w:val="single" w:color="BFBFBF" w:sz="2"/>
            </w:tcBorders>
            <w:shd w:fill="7F5539"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N°95.1 LOI 1986 art. 1–20 (37·20)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N°95.1 · p. 1059</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203,5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Loi n° 86-1067 du 30 septembre 1986 : liberté de communication (art. 1er), ARCOM, pluralisme et honnêteté de l’information</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37 · 20 · 11</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11 DDHC · art. 10 § 1 CEDH (régime d’autorisation) · Charte UE art. 11 § 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OVC de pluralisme (82-141 DC) ; effet cliquet (86-217 DC, fiche 10) ; non-renouvellement des fréquences de C8 et NRJ12 validé (CE, 19 février 2025, fiche 20).</w:t>
            </w:r>
          </w:p>
        </w:tc>
      </w:tr>
      <w:tr>
        <w:tc>
          <w:tcPr>
            <w:tcW w:type="dxa" w:w="460"/>
            <w:tcBorders>
              <w:top w:val="single" w:color="BFBFBF" w:sz="2"/>
              <w:left w:val="single" w:color="BFBFBF" w:sz="2"/>
              <w:bottom w:val="single" w:color="BFBFBF" w:sz="2"/>
              <w:right w:val="single" w:color="BFBFBF" w:sz="2"/>
            </w:tcBorders>
            <w:shd w:fill="7F5539"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LOI 1986 art. 21–42 (20)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N°95.1 · ≈ p. 1080</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209 mm  (#7)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Usage des fréquences, autorisations, conventions et pouvoir de sanction de l’ARCOM</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20 · 37</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Défenseur des droits (N°39.2) · art. 6 CEDH (sanctions)</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Pouvoir de sanction des autorités administratives indépendantes encadré : 89-260 DC (séparation des fonctions, recours, droits de la défense).</w:t>
            </w:r>
          </w:p>
        </w:tc>
      </w:tr>
      <w:tr>
        <w:tc>
          <w:tcPr>
            <w:tcW w:type="dxa" w:w="460"/>
            <w:tcBorders>
              <w:top w:val="single" w:color="BFBFBF" w:sz="2"/>
              <w:left w:val="single" w:color="BFBFBF" w:sz="2"/>
              <w:bottom w:val="single" w:color="BFBFBF" w:sz="2"/>
              <w:right w:val="single" w:color="BFBFBF" w:sz="2"/>
            </w:tcBorders>
            <w:shd w:fill="7F5539"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N°95.2–96 RÉPONSE &amp; COMM. ÉLECTRONIQUES (37·35)</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N°95.2 · p. 1135</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214,5 mm  (#8)</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Droit de réponse audiovisuel (loi 82-652, art. 6) · communications électroniques, vie privée des utilisateurs, service universel (CPCE L.32 s., L.34-1 s., N°96 p. 1136)</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37 · 35 · 33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RGPD (N°22) · Charte UE art. 7-8 · loi 1978 (N°73.1)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Accès à internet, composante de la liberté de communication (2009-580 DC, Hadopi) ; conservation des données de connexion (art. L.34-1) : La Quadrature du Net (2020), French Data Network (2021).</w:t>
            </w:r>
          </w:p>
        </w:tc>
      </w:tr>
      <w:tr>
        <w:tc>
          <w:tcPr>
            <w:tcW w:type="dxa" w:w="460"/>
            <w:tcBorders>
              <w:top w:val="single" w:color="BFBFBF" w:sz="2"/>
              <w:left w:val="single" w:color="BFBFBF" w:sz="2"/>
              <w:bottom w:val="single" w:color="BFBFBF" w:sz="2"/>
              <w:right w:val="single" w:color="BFBFBF" w:sz="2"/>
            </w:tcBorders>
            <w:shd w:fill="7F5539"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N°97–99 SPECTACLES &amp; CINÉMA (37·6)</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N°97 · p. 1154</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220 mm  (#9)</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Spectacles (ord. 45-2339) · code du cinéma, visas (N°98 p. 1155) · accès des mineurs à certains établissements (ord. 59-28, N°99)</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F5539"/>
                <w:sz w:val="14"/>
                <w:szCs w:val="14"/>
              </w:rPr>
              <w:t xml:space="preserve">37 · 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10 CEDH · art. 11 DDHC</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Police des spectacles : Films Lutetia (1959, moralité publique et circonstances locales) ; Dieudonné (CE, ord., 9 janvier 2014 : dignité et ordre public), à opposer à Cass. ass. plén. 2019 (fiche 37).</w:t>
            </w:r>
          </w:p>
        </w:tc>
      </w:tr>
    </w:tbl>
    <w:p>
      <w:pPr>
        <w:spacing w:after="140"/>
      </w:pPr>
    </w:p>
    <w:tbl>
      <w:tblPr>
        <w:tblW w:type="dxa" w:w="15600"/>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1930"/>
        <w:gridCol w:w="680"/>
        <w:gridCol w:w="760"/>
        <w:gridCol w:w="2050"/>
        <w:gridCol w:w="850"/>
        <w:gridCol w:w="3290"/>
        <w:gridCol w:w="5580"/>
      </w:tblGrid>
      <w:tr>
        <w:tc>
          <w:tcPr>
            <w:gridSpan w:val="8"/>
            <w:tcBorders>
              <w:top w:val="single" w:color="BFBFBF" w:sz="2"/>
              <w:left w:val="single" w:color="BFBFBF" w:sz="2"/>
              <w:bottom w:val="single" w:color="BFBFBF" w:sz="2"/>
              <w:right w:val="single" w:color="BFBFBF" w:sz="2"/>
            </w:tcBorders>
            <w:shd w:fill="EDEDED" w:color="auto" w:val="clear"/>
          </w:tcPr>
          <w:p>
            <w:pPr>
              <w:spacing w:after="20" w:before="50"/>
            </w:pPr>
            <w:r>
              <w:rPr>
                <w:b/>
                <w:bCs/>
                <w:color w:val="6E6E6E"/>
                <w:sz w:val="22"/>
                <w:szCs w:val="22"/>
              </w:rPr>
              <w:t xml:space="preserve">BLOC L16 — ADMINISTRÉS ET LIBERTÉS COLLECTIVES (sections J et K)</w:t>
            </w:r>
            <w:r>
              <w:rPr>
                <w:b/>
                <w:bCs/>
                <w:color w:val="6E6E6E"/>
                <w:sz w:val="15"/>
                <w:szCs w:val="15"/>
              </w:rPr>
              <w:t xml:space="preserve">     ■ GRIS  ·  p. 1157 à 1188  ·  9 onglets  ·  couloir C1 (8 à 64 mm du haut)  ·  escalier de 5,5 mm</w:t>
            </w:r>
          </w:p>
          <w:p>
            <w:pPr>
              <w:spacing w:after="40"/>
            </w:pPr>
            <w:r>
              <w:rPr>
                <w:i/>
                <w:iCs/>
                <w:color w:val="6E6E6E"/>
                <w:sz w:val="15"/>
                <w:szCs w:val="15"/>
              </w:rPr>
              <w:t xml:space="preserve">↳ Manuel OB, Partie VI — fiches 38 (réunion, manifestation), 39 (association), relais 50 (syndicat, grève), 45 (commerce et industrie)</w:t>
            </w:r>
          </w:p>
        </w:tc>
      </w:tr>
      <w:tr>
        <w:trPr>
          <w:tblHeader/>
        </w:trPr>
        <w:tc>
          <w:tcPr>
            <w:tcW w:type="dxa" w:w="460"/>
            <w:tcBorders>
              <w:top w:val="single" w:color="BFBFBF" w:sz="2"/>
              <w:left w:val="single" w:color="BFBFBF" w:sz="2"/>
              <w:bottom w:val="single" w:color="BFBFBF" w:sz="2"/>
              <w:right w:val="single" w:color="BFBFBF" w:sz="2"/>
            </w:tcBorders>
            <w:shd w:fill="EDEDED" w:color="auto" w:val="clear"/>
          </w:tcPr>
          <w:p>
            <w:pPr>
              <w:spacing w:after="16" w:before="16"/>
            </w:pPr>
            <w:r>
              <w:rPr>
                <w:b/>
                <w:bCs/>
                <w:i w:val="false"/>
                <w:iCs w:val="false"/>
                <w:color w:val="404040"/>
                <w:sz w:val="13"/>
                <w:szCs w:val="13"/>
              </w:rPr>
              <w:t xml:space="preserve">P</w:t>
            </w:r>
          </w:p>
        </w:tc>
        <w:tc>
          <w:tcPr>
            <w:tcW w:type="dxa" w:w="1930"/>
            <w:tcBorders>
              <w:top w:val="single" w:color="BFBFBF" w:sz="2"/>
              <w:left w:val="single" w:color="BFBFBF" w:sz="2"/>
              <w:bottom w:val="single" w:color="BFBFBF" w:sz="2"/>
              <w:right w:val="single" w:color="BFBFBF" w:sz="2"/>
            </w:tcBorders>
            <w:shd w:fill="EDEDED" w:color="auto" w:val="clear"/>
          </w:tcPr>
          <w:p>
            <w:pPr>
              <w:spacing w:after="16" w:before="16"/>
            </w:pPr>
            <w:r>
              <w:rPr>
                <w:b/>
                <w:bCs/>
                <w:i w:val="false"/>
                <w:iCs w:val="false"/>
                <w:color w:val="404040"/>
                <w:sz w:val="13"/>
                <w:szCs w:val="13"/>
              </w:rPr>
              <w:t xml:space="preserve">À écrire sur l’onglet</w:t>
            </w:r>
          </w:p>
        </w:tc>
        <w:tc>
          <w:tcPr>
            <w:tcW w:type="dxa" w:w="680"/>
            <w:tcBorders>
              <w:top w:val="single" w:color="BFBFBF" w:sz="2"/>
              <w:left w:val="single" w:color="BFBFBF" w:sz="2"/>
              <w:bottom w:val="single" w:color="BFBFBF" w:sz="2"/>
              <w:right w:val="single" w:color="BFBFBF" w:sz="2"/>
            </w:tcBorders>
            <w:shd w:fill="EDEDED" w:color="auto" w:val="clear"/>
          </w:tcPr>
          <w:p>
            <w:pPr>
              <w:spacing w:after="16" w:before="16"/>
            </w:pPr>
            <w:r>
              <w:rPr>
                <w:b/>
                <w:bCs/>
                <w:i w:val="false"/>
                <w:iCs w:val="false"/>
                <w:color w:val="404040"/>
                <w:sz w:val="13"/>
                <w:szCs w:val="13"/>
              </w:rPr>
              <w:t xml:space="preserve">N° · p.</w:t>
            </w:r>
          </w:p>
        </w:tc>
        <w:tc>
          <w:tcPr>
            <w:tcW w:type="dxa" w:w="760"/>
            <w:tcBorders>
              <w:top w:val="single" w:color="BFBFBF" w:sz="2"/>
              <w:left w:val="single" w:color="BFBFBF" w:sz="2"/>
              <w:bottom w:val="single" w:color="BFBFBF" w:sz="2"/>
              <w:right w:val="single" w:color="BFBFBF" w:sz="2"/>
            </w:tcBorders>
            <w:shd w:fill="EDEDED" w:color="auto" w:val="clear"/>
          </w:tcPr>
          <w:p>
            <w:pPr>
              <w:spacing w:after="16" w:before="16"/>
            </w:pPr>
            <w:r>
              <w:rPr>
                <w:b/>
                <w:bCs/>
                <w:i w:val="false"/>
                <w:iCs w:val="false"/>
                <w:color w:val="404040"/>
                <w:sz w:val="13"/>
                <w:szCs w:val="13"/>
              </w:rPr>
              <w:t xml:space="preserve">Haut de l’onglet</w:t>
            </w:r>
          </w:p>
        </w:tc>
        <w:tc>
          <w:tcPr>
            <w:tcW w:type="dxa" w:w="2050"/>
            <w:tcBorders>
              <w:top w:val="single" w:color="BFBFBF" w:sz="2"/>
              <w:left w:val="single" w:color="BFBFBF" w:sz="2"/>
              <w:bottom w:val="single" w:color="BFBFBF" w:sz="2"/>
              <w:right w:val="single" w:color="BFBFBF" w:sz="2"/>
            </w:tcBorders>
            <w:shd w:fill="EDEDED" w:color="auto" w:val="clear"/>
          </w:tcPr>
          <w:p>
            <w:pPr>
              <w:spacing w:after="16" w:before="16"/>
            </w:pPr>
            <w:r>
              <w:rPr>
                <w:b/>
                <w:bCs/>
                <w:i w:val="false"/>
                <w:iCs w:val="false"/>
                <w:color w:val="404040"/>
                <w:sz w:val="13"/>
                <w:szCs w:val="13"/>
              </w:rPr>
              <w:t xml:space="preserve">Intitulé</w:t>
            </w:r>
          </w:p>
        </w:tc>
        <w:tc>
          <w:tcPr>
            <w:tcW w:type="dxa" w:w="850"/>
            <w:tcBorders>
              <w:top w:val="single" w:color="BFBFBF" w:sz="2"/>
              <w:left w:val="single" w:color="BFBFBF" w:sz="2"/>
              <w:bottom w:val="single" w:color="BFBFBF" w:sz="2"/>
              <w:right w:val="single" w:color="BFBFBF" w:sz="2"/>
            </w:tcBorders>
            <w:shd w:fill="EDEDED" w:color="auto" w:val="clear"/>
          </w:tcPr>
          <w:p>
            <w:pPr>
              <w:spacing w:after="16" w:before="16"/>
            </w:pPr>
            <w:r>
              <w:rPr>
                <w:b/>
                <w:bCs/>
                <w:i w:val="false"/>
                <w:iCs w:val="false"/>
                <w:color w:val="404040"/>
                <w:sz w:val="13"/>
                <w:szCs w:val="13"/>
              </w:rPr>
              <w:t xml:space="preserve">Fiche(s)</w:t>
            </w:r>
          </w:p>
        </w:tc>
        <w:tc>
          <w:tcPr>
            <w:tcW w:type="dxa" w:w="3290"/>
            <w:tcBorders>
              <w:top w:val="single" w:color="BFBFBF" w:sz="2"/>
              <w:left w:val="single" w:color="BFBFBF" w:sz="2"/>
              <w:bottom w:val="single" w:color="BFBFBF" w:sz="2"/>
              <w:right w:val="single" w:color="BFBFBF" w:sz="2"/>
            </w:tcBorders>
            <w:shd w:fill="EDEDED" w:color="auto" w:val="clear"/>
          </w:tcPr>
          <w:p>
            <w:pPr>
              <w:spacing w:after="16" w:before="16"/>
            </w:pPr>
            <w:r>
              <w:rPr>
                <w:b/>
                <w:bCs/>
                <w:i w:val="false"/>
                <w:iCs w:val="false"/>
                <w:color w:val="404040"/>
                <w:sz w:val="13"/>
                <w:szCs w:val="13"/>
              </w:rPr>
              <w:t xml:space="preserve">Correspondances dans le recueil (N° Oberdorff)</w:t>
            </w:r>
          </w:p>
        </w:tc>
        <w:tc>
          <w:tcPr>
            <w:tcW w:type="dxa" w:w="5580"/>
            <w:tcBorders>
              <w:top w:val="single" w:color="BFBFBF" w:sz="2"/>
              <w:left w:val="single" w:color="BFBFBF" w:sz="2"/>
              <w:bottom w:val="single" w:color="BFBFBF" w:sz="2"/>
              <w:right w:val="single" w:color="BFBFBF" w:sz="2"/>
            </w:tcBorders>
            <w:shd w:fill="EDEDED"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N°100.1–100.2 ADMINISTRÉS &amp; CADA (20·10)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N°100.1 · p. 1157</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4"/>
                <w:szCs w:val="14"/>
              </w:rPr>
              <w:t xml:space="preserve">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Droits des citoyens dans leurs relations avec l’administration (loi 2000-321) · accès aux documents administratifs, CADA (CRPA L.300-1 s., N°100.2 p. 1158)</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4"/>
                <w:szCs w:val="14"/>
              </w:rPr>
              <w:t xml:space="preserve">20 · 10</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15 DDHC · Charte UE art. 41-42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d’accès aux documents administratifs ; la CADA, autorité administrative indépendante (fiche 20).</w:t>
            </w:r>
          </w:p>
        </w:tc>
      </w:tr>
      <w:tr>
        <w:tc>
          <w:tcPr>
            <w:tcW w:type="dxa" w:w="460"/>
            <w:tcBorders>
              <w:top w:val="single" w:color="BFBFBF" w:sz="2"/>
              <w:left w:val="single" w:color="BFBFBF" w:sz="2"/>
              <w:bottom w:val="single" w:color="BFBFBF" w:sz="2"/>
              <w:right w:val="single" w:color="BFBFBF" w:sz="2"/>
            </w:tcBorders>
            <w:shd w:fill="6E6E6E"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N°101 LOI 1901 (39)</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N°101 · p. 1165</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4"/>
                <w:szCs w:val="14"/>
              </w:rPr>
              <w:t xml:space="preserve">13,5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Loi du 1er juillet 1901 relative au contrat d’association : liberté de constitution (art. 2), déclaration (art. 5), dissolution judiciaire (art. 7)</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4"/>
                <w:szCs w:val="14"/>
              </w:rPr>
              <w:t xml:space="preserve">39 · 9 · 41</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11 CEDH · art. 22 PIDCP · art. 20 DUDH · Charte UE art. 12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PFRLR, pas de contrôle préalable : 71-44 DC ; CE Ass., Amicale des Annamites de Paris (1956) ; volet négatif : Chassagnou c. France (1999).</w:t>
            </w:r>
          </w:p>
        </w:tc>
      </w:tr>
      <w:tr>
        <w:tc>
          <w:tcPr>
            <w:tcW w:type="dxa" w:w="460"/>
            <w:tcBorders>
              <w:top w:val="single" w:color="BFBFBF" w:sz="2"/>
              <w:left w:val="single" w:color="BFBFBF" w:sz="2"/>
              <w:bottom w:val="single" w:color="BFBFBF" w:sz="2"/>
              <w:right w:val="single" w:color="BFBFBF" w:sz="2"/>
            </w:tcBorders>
            <w:shd w:fill="6E6E6E"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N°102 DISSOLUTION ADMINISTRATIVE (39)</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N°102 · p. 1170</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4"/>
                <w:szCs w:val="14"/>
              </w:rPr>
              <w:t xml:space="preserve">19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Dissolution de groupements et associations — CSI L.212-1 · reconstitution, C. pén. 431-13 s.</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4"/>
                <w:szCs w:val="14"/>
              </w:rPr>
              <w:t xml:space="preserve">39 · 7 · 44</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11 CEDH · art. 17 CEDH</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CE Sect., 9 novembre 2023, Les Soulèvements de la Terre : dissolution adaptée, nécessaire et proportionnée à la gravité des troubles ; motifs élargis par la loi du 24 août 2021.</w:t>
            </w:r>
          </w:p>
        </w:tc>
      </w:tr>
      <w:tr>
        <w:tc>
          <w:tcPr>
            <w:tcW w:type="dxa" w:w="460"/>
            <w:tcBorders>
              <w:top w:val="single" w:color="BFBFBF" w:sz="2"/>
              <w:left w:val="single" w:color="BFBFBF" w:sz="2"/>
              <w:bottom w:val="single" w:color="BFBFBF" w:sz="2"/>
              <w:right w:val="single" w:color="BFBFBF" w:sz="2"/>
            </w:tcBorders>
            <w:shd w:fill="6E6E6E"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N°103.1–103.2 RÉUNIONS PUBLIQUES (38)</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N°103.1 · p. 1172</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4"/>
                <w:szCs w:val="14"/>
              </w:rPr>
              <w:t xml:space="preserve">24,5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Loi du 30 juin 1881 sur les réunions publiques · loi du 28 mars 1907 (N°103.2 p. 1173)</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4"/>
                <w:szCs w:val="14"/>
              </w:rPr>
              <w:t xml:space="preserve">38 · 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11 CEDH · art. 21 PIDCP · Charte UE art. 12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CE, 19 mai 1933, Benjamin : l’interdiction n’est légale que si aucune mesure moins contraignante ne suffit.</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193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5"/>
                <w:szCs w:val="15"/>
              </w:rPr>
              <w:t xml:space="preserve">N°104 MANIFESTATIONS (38·6)  ★</w:t>
            </w:r>
          </w:p>
        </w:tc>
        <w:tc>
          <w:tcPr>
            <w:tcW w:type="dxa" w:w="6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3"/>
                <w:szCs w:val="13"/>
              </w:rPr>
              <w:t xml:space="preserve">N°104 · p. 1173</w:t>
            </w:r>
          </w:p>
        </w:tc>
        <w:tc>
          <w:tcPr>
            <w:tcW w:type="dxa" w:w="76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6E6E6E"/>
                <w:sz w:val="14"/>
                <w:szCs w:val="14"/>
              </w:rPr>
              <w:t xml:space="preserve">30 mm  (#5)</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4"/>
                <w:szCs w:val="14"/>
              </w:rPr>
              <w:t xml:space="preserve">Manifestations sur la voie publique et rassemblements festifs à caractère musical — CSI (L.211-1 s.)</w:t>
            </w:r>
          </w:p>
        </w:tc>
        <w:tc>
          <w:tcPr>
            <w:tcW w:type="dxa" w:w="8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6E6E6E"/>
                <w:sz w:val="14"/>
                <w:szCs w:val="14"/>
              </w:rPr>
              <w:t xml:space="preserve">38 · 6 · 11 · 7</w:t>
            </w:r>
          </w:p>
        </w:tc>
        <w:tc>
          <w:tcPr>
            <w:tcW w:type="dxa" w:w="329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art. 11 CEDH · Charte UE art. 12 · art. 21 PIDCP · attroupements (N°105)</w:t>
            </w:r>
          </w:p>
        </w:tc>
        <w:tc>
          <w:tcPr>
            <w:tcW w:type="dxa" w:w="55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Droit d’expression collective des idées (94-352 DC) ; interdiction administrative individuelle de manifester censurée (2019-780 DC, loi anticasseurs) ; Kudrevičius (2015) ; l’interdiction d’une manifestation déclarée, mesure de dernier recours (CE, ord., 20 juin 2026, fiche 6).</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N°105 ATTROUPEMENTS (38)</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N°105 · p. 1177</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4"/>
                <w:szCs w:val="14"/>
              </w:rPr>
              <w:t xml:space="preserve">35,5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Attroupements et manifestations illicites — C. pén. 431-1 à 431-12</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4"/>
                <w:szCs w:val="14"/>
              </w:rPr>
              <w:t xml:space="preserve">38 · 37</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11 CEDH</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Répression de l’entrave à la liberté de manifestation (art. 431-1) et de la participation à un attroupement après sommation.</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193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5"/>
                <w:szCs w:val="15"/>
              </w:rPr>
              <w:t xml:space="preserve">N°106–108 SYNDICAT &amp; GRÈVE (50)  ★</w:t>
            </w:r>
          </w:p>
        </w:tc>
        <w:tc>
          <w:tcPr>
            <w:tcW w:type="dxa" w:w="6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3"/>
                <w:szCs w:val="13"/>
              </w:rPr>
              <w:t xml:space="preserve">N°106 · p. 1180</w:t>
            </w:r>
          </w:p>
        </w:tc>
        <w:tc>
          <w:tcPr>
            <w:tcW w:type="dxa" w:w="76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6E6E6E"/>
                <w:sz w:val="14"/>
                <w:szCs w:val="14"/>
              </w:rPr>
              <w:t xml:space="preserve">41 mm  (#7)</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4"/>
                <w:szCs w:val="14"/>
              </w:rPr>
              <w:t xml:space="preserve">Liberté syndicale (C. trav. L.2141-1 s.) · droit de grève (L.2511-1 s., N°107 p. 1182) · grève dans la fonction publique (CGFP L.114-1, N°108 p. 1183)</w:t>
            </w:r>
          </w:p>
        </w:tc>
        <w:tc>
          <w:tcPr>
            <w:tcW w:type="dxa" w:w="8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6E6E6E"/>
                <w:sz w:val="14"/>
                <w:szCs w:val="14"/>
              </w:rPr>
              <w:t xml:space="preserve">50 · 39</w:t>
            </w:r>
          </w:p>
        </w:tc>
        <w:tc>
          <w:tcPr>
            <w:tcW w:type="dxa" w:w="329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al. 6-7 Préambule 1946 (N°2) · art. 11 CEDH · art. 8 PIDESC · Charte sociale (N°14)</w:t>
            </w:r>
          </w:p>
        </w:tc>
        <w:tc>
          <w:tcPr>
            <w:tcW w:type="dxa" w:w="55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Grève de valeur constitutionnelle, à concilier avec la continuité du service public (79-105 DC) ; CE Ass., Dehaene (1950) ; négociation collective, élément de la liberté syndicale (Demir et Baykara, 2008).</w:t>
            </w:r>
          </w:p>
        </w:tc>
      </w:tr>
      <w:tr>
        <w:tc>
          <w:tcPr>
            <w:tcW w:type="dxa" w:w="460"/>
            <w:tcBorders>
              <w:top w:val="single" w:color="BFBFBF" w:sz="2"/>
              <w:left w:val="single" w:color="BFBFBF" w:sz="2"/>
              <w:bottom w:val="single" w:color="BFBFBF" w:sz="2"/>
              <w:right w:val="single" w:color="BFBFBF" w:sz="2"/>
            </w:tcBorders>
            <w:shd w:fill="6E6E6E"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N°109 LIBERTÉ DU COMMERCE (45)</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N°109 · p. 1183</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4"/>
                <w:szCs w:val="14"/>
              </w:rPr>
              <w:t xml:space="preserve">46,5 mm  (#8)</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Décret d’Allarde — art. 7 de la loi des 2-17 mars 1791 (liberté du commerce et de l’industrie)</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4"/>
                <w:szCs w:val="14"/>
              </w:rPr>
              <w:t xml:space="preserve">45 · 46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4 DDHC · Charte UE art. 16</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Liberté d’entreprendre rattachée à l’art. 4 DDHC (81-132 DC) ; seule la loi peut restreindre une activité professionnelle (Daudignac, 1951).</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N°110.1–110.2 DÉMOCRATIE LOCALE (11·42)</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N°110.1 · p. 1184</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4"/>
                <w:szCs w:val="14"/>
              </w:rPr>
              <w:t xml:space="preserve">52 mm  (#9)</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Libre administration (CGCT L.1111-1 s.) · référendum local et consultation (LO.1112-1 s., N°110.2 p. 1185)</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4"/>
                <w:szCs w:val="14"/>
              </w:rPr>
              <w:t xml:space="preserve">11 · 42</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72 C. · art. 3 Prot. 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Libre administration des collectivités territoriales, garantie constitutionnelle (art. 72 C.).</w:t>
            </w:r>
          </w:p>
        </w:tc>
      </w:tr>
    </w:tbl>
    <w:p>
      <w:pPr>
        <w:spacing w:after="140"/>
      </w:pPr>
    </w:p>
    <w:tbl>
      <w:tblPr>
        <w:tblW w:type="dxa" w:w="15600"/>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1930"/>
        <w:gridCol w:w="680"/>
        <w:gridCol w:w="760"/>
        <w:gridCol w:w="2050"/>
        <w:gridCol w:w="850"/>
        <w:gridCol w:w="3290"/>
        <w:gridCol w:w="5580"/>
      </w:tblGrid>
      <w:tr>
        <w:tc>
          <w:tcPr>
            <w:gridSpan w:val="8"/>
            <w:tcBorders>
              <w:top w:val="single" w:color="BFBFBF" w:sz="2"/>
              <w:left w:val="single" w:color="BFBFBF" w:sz="2"/>
              <w:bottom w:val="single" w:color="BFBFBF" w:sz="2"/>
              <w:right w:val="single" w:color="BFBFBF" w:sz="2"/>
            </w:tcBorders>
            <w:shd w:fill="DFF3EC" w:color="auto" w:val="clear"/>
          </w:tcPr>
          <w:p>
            <w:pPr>
              <w:spacing w:after="20" w:before="50"/>
            </w:pPr>
            <w:r>
              <w:rPr>
                <w:b/>
                <w:bCs/>
                <w:color w:val="3AA68B"/>
                <w:sz w:val="22"/>
                <w:szCs w:val="22"/>
              </w:rPr>
              <w:t xml:space="preserve">BLOC L17 — LOGEMENT, ENVIRONNEMENT, POUVOIRS DE CRISE (sections L et M)</w:t>
            </w:r>
            <w:r>
              <w:rPr>
                <w:b/>
                <w:bCs/>
                <w:color w:val="3AA68B"/>
                <w:sz w:val="15"/>
                <w:szCs w:val="15"/>
              </w:rPr>
              <w:t xml:space="preserve">     ■ MENTHE  ·  p. 1189 à 1206  ·  5 onglets  ·  couloir C2 (64 à 120 mm du haut)  ·  escalier de 9 mm</w:t>
            </w:r>
          </w:p>
          <w:p>
            <w:pPr>
              <w:spacing w:after="40"/>
            </w:pPr>
            <w:r>
              <w:rPr>
                <w:i/>
                <w:iCs/>
                <w:color w:val="3AA68B"/>
                <w:sz w:val="15"/>
                <w:szCs w:val="15"/>
              </w:rPr>
              <w:t xml:space="preserve">↳ Manuel OB, Partie VII — fiches 51 (logement) et 49 (environnement) ; Partie I — fiche 7 (états d’exception)</w:t>
            </w:r>
          </w:p>
        </w:tc>
      </w:tr>
      <w:tr>
        <w:trPr>
          <w:tblHeader/>
        </w:trPr>
        <w:tc>
          <w:tcPr>
            <w:tcW w:type="dxa" w:w="460"/>
            <w:tcBorders>
              <w:top w:val="single" w:color="BFBFBF" w:sz="2"/>
              <w:left w:val="single" w:color="BFBFBF" w:sz="2"/>
              <w:bottom w:val="single" w:color="BFBFBF" w:sz="2"/>
              <w:right w:val="single" w:color="BFBFBF" w:sz="2"/>
            </w:tcBorders>
            <w:shd w:fill="DFF3EC" w:color="auto" w:val="clear"/>
          </w:tcPr>
          <w:p>
            <w:pPr>
              <w:spacing w:after="16" w:before="16"/>
            </w:pPr>
            <w:r>
              <w:rPr>
                <w:b/>
                <w:bCs/>
                <w:i w:val="false"/>
                <w:iCs w:val="false"/>
                <w:color w:val="404040"/>
                <w:sz w:val="13"/>
                <w:szCs w:val="13"/>
              </w:rPr>
              <w:t xml:space="preserve">P</w:t>
            </w:r>
          </w:p>
        </w:tc>
        <w:tc>
          <w:tcPr>
            <w:tcW w:type="dxa" w:w="1930"/>
            <w:tcBorders>
              <w:top w:val="single" w:color="BFBFBF" w:sz="2"/>
              <w:left w:val="single" w:color="BFBFBF" w:sz="2"/>
              <w:bottom w:val="single" w:color="BFBFBF" w:sz="2"/>
              <w:right w:val="single" w:color="BFBFBF" w:sz="2"/>
            </w:tcBorders>
            <w:shd w:fill="DFF3EC" w:color="auto" w:val="clear"/>
          </w:tcPr>
          <w:p>
            <w:pPr>
              <w:spacing w:after="16" w:before="16"/>
            </w:pPr>
            <w:r>
              <w:rPr>
                <w:b/>
                <w:bCs/>
                <w:i w:val="false"/>
                <w:iCs w:val="false"/>
                <w:color w:val="404040"/>
                <w:sz w:val="13"/>
                <w:szCs w:val="13"/>
              </w:rPr>
              <w:t xml:space="preserve">À écrire sur l’onglet</w:t>
            </w:r>
          </w:p>
        </w:tc>
        <w:tc>
          <w:tcPr>
            <w:tcW w:type="dxa" w:w="680"/>
            <w:tcBorders>
              <w:top w:val="single" w:color="BFBFBF" w:sz="2"/>
              <w:left w:val="single" w:color="BFBFBF" w:sz="2"/>
              <w:bottom w:val="single" w:color="BFBFBF" w:sz="2"/>
              <w:right w:val="single" w:color="BFBFBF" w:sz="2"/>
            </w:tcBorders>
            <w:shd w:fill="DFF3EC" w:color="auto" w:val="clear"/>
          </w:tcPr>
          <w:p>
            <w:pPr>
              <w:spacing w:after="16" w:before="16"/>
            </w:pPr>
            <w:r>
              <w:rPr>
                <w:b/>
                <w:bCs/>
                <w:i w:val="false"/>
                <w:iCs w:val="false"/>
                <w:color w:val="404040"/>
                <w:sz w:val="13"/>
                <w:szCs w:val="13"/>
              </w:rPr>
              <w:t xml:space="preserve">N° · p.</w:t>
            </w:r>
          </w:p>
        </w:tc>
        <w:tc>
          <w:tcPr>
            <w:tcW w:type="dxa" w:w="760"/>
            <w:tcBorders>
              <w:top w:val="single" w:color="BFBFBF" w:sz="2"/>
              <w:left w:val="single" w:color="BFBFBF" w:sz="2"/>
              <w:bottom w:val="single" w:color="BFBFBF" w:sz="2"/>
              <w:right w:val="single" w:color="BFBFBF" w:sz="2"/>
            </w:tcBorders>
            <w:shd w:fill="DFF3EC" w:color="auto" w:val="clear"/>
          </w:tcPr>
          <w:p>
            <w:pPr>
              <w:spacing w:after="16" w:before="16"/>
            </w:pPr>
            <w:r>
              <w:rPr>
                <w:b/>
                <w:bCs/>
                <w:i w:val="false"/>
                <w:iCs w:val="false"/>
                <w:color w:val="404040"/>
                <w:sz w:val="13"/>
                <w:szCs w:val="13"/>
              </w:rPr>
              <w:t xml:space="preserve">Haut de l’onglet</w:t>
            </w:r>
          </w:p>
        </w:tc>
        <w:tc>
          <w:tcPr>
            <w:tcW w:type="dxa" w:w="2050"/>
            <w:tcBorders>
              <w:top w:val="single" w:color="BFBFBF" w:sz="2"/>
              <w:left w:val="single" w:color="BFBFBF" w:sz="2"/>
              <w:bottom w:val="single" w:color="BFBFBF" w:sz="2"/>
              <w:right w:val="single" w:color="BFBFBF" w:sz="2"/>
            </w:tcBorders>
            <w:shd w:fill="DFF3EC" w:color="auto" w:val="clear"/>
          </w:tcPr>
          <w:p>
            <w:pPr>
              <w:spacing w:after="16" w:before="16"/>
            </w:pPr>
            <w:r>
              <w:rPr>
                <w:b/>
                <w:bCs/>
                <w:i w:val="false"/>
                <w:iCs w:val="false"/>
                <w:color w:val="404040"/>
                <w:sz w:val="13"/>
                <w:szCs w:val="13"/>
              </w:rPr>
              <w:t xml:space="preserve">Intitulé</w:t>
            </w:r>
          </w:p>
        </w:tc>
        <w:tc>
          <w:tcPr>
            <w:tcW w:type="dxa" w:w="850"/>
            <w:tcBorders>
              <w:top w:val="single" w:color="BFBFBF" w:sz="2"/>
              <w:left w:val="single" w:color="BFBFBF" w:sz="2"/>
              <w:bottom w:val="single" w:color="BFBFBF" w:sz="2"/>
              <w:right w:val="single" w:color="BFBFBF" w:sz="2"/>
            </w:tcBorders>
            <w:shd w:fill="DFF3EC" w:color="auto" w:val="clear"/>
          </w:tcPr>
          <w:p>
            <w:pPr>
              <w:spacing w:after="16" w:before="16"/>
            </w:pPr>
            <w:r>
              <w:rPr>
                <w:b/>
                <w:bCs/>
                <w:i w:val="false"/>
                <w:iCs w:val="false"/>
                <w:color w:val="404040"/>
                <w:sz w:val="13"/>
                <w:szCs w:val="13"/>
              </w:rPr>
              <w:t xml:space="preserve">Fiche(s)</w:t>
            </w:r>
          </w:p>
        </w:tc>
        <w:tc>
          <w:tcPr>
            <w:tcW w:type="dxa" w:w="3290"/>
            <w:tcBorders>
              <w:top w:val="single" w:color="BFBFBF" w:sz="2"/>
              <w:left w:val="single" w:color="BFBFBF" w:sz="2"/>
              <w:bottom w:val="single" w:color="BFBFBF" w:sz="2"/>
              <w:right w:val="single" w:color="BFBFBF" w:sz="2"/>
            </w:tcBorders>
            <w:shd w:fill="DFF3EC" w:color="auto" w:val="clear"/>
          </w:tcPr>
          <w:p>
            <w:pPr>
              <w:spacing w:after="16" w:before="16"/>
            </w:pPr>
            <w:r>
              <w:rPr>
                <w:b/>
                <w:bCs/>
                <w:i w:val="false"/>
                <w:iCs w:val="false"/>
                <w:color w:val="404040"/>
                <w:sz w:val="13"/>
                <w:szCs w:val="13"/>
              </w:rPr>
              <w:t xml:space="preserve">Correspondances dans le recueil (N° Oberdorff)</w:t>
            </w:r>
          </w:p>
        </w:tc>
        <w:tc>
          <w:tcPr>
            <w:tcW w:type="dxa" w:w="5580"/>
            <w:tcBorders>
              <w:top w:val="single" w:color="BFBFBF" w:sz="2"/>
              <w:left w:val="single" w:color="BFBFBF" w:sz="2"/>
              <w:bottom w:val="single" w:color="BFBFBF" w:sz="2"/>
              <w:right w:val="single" w:color="BFBFBF" w:sz="2"/>
            </w:tcBorders>
            <w:shd w:fill="DFF3EC"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3AA68B"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N°111–112 LOGEMENT DÉCENT (51)</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N°112 · p. 1190</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AA68B"/>
                <w:sz w:val="14"/>
                <w:szCs w:val="14"/>
              </w:rPr>
              <w:t xml:space="preserve">64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Droit à un logement décent et indépendant (CCH L.300-1 et L.300-2) — droit à la mobilité (C. transports, N°111 p. 1189) juste avant</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AA68B"/>
                <w:sz w:val="14"/>
                <w:szCs w:val="14"/>
              </w:rPr>
              <w:t xml:space="preserve">51 · 48</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al. 10-11 Préambule · PIDESC art. 11 · Charte sociale art. 31 (N°14) · Charte UE art. 34 § 3</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Logement décent, objectif de valeur constitutionnelle (94-359 DC) ; carence de l’État dans l’hébergement d’urgence (CE, ord., Fofana, 2012) ; inexécution d’un jugement DALO : Tchokontio Happi c. France (2015).</w:t>
            </w:r>
          </w:p>
        </w:tc>
      </w:tr>
      <w:tr>
        <w:tc>
          <w:tcPr>
            <w:tcW w:type="dxa" w:w="460"/>
            <w:tcBorders>
              <w:top w:val="single" w:color="BFBFBF" w:sz="2"/>
              <w:left w:val="single" w:color="BFBFBF" w:sz="2"/>
              <w:bottom w:val="single" w:color="BFBFBF" w:sz="2"/>
              <w:right w:val="single" w:color="BFBFBF" w:sz="2"/>
            </w:tcBorders>
            <w:shd w:fill="3AA68B"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N°113–114 ENVIRONNEMENT (49)</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N°113 · p. 1191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AA68B"/>
                <w:sz w:val="14"/>
                <w:szCs w:val="14"/>
              </w:rPr>
              <w:t xml:space="preserve">73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Principes généraux du droit de l’environnement (C. env. L.110-1 à L.110-3) · droit de respirer un air sain (L.220-1 et L.220-2, N°114 p. 1194)</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AA68B"/>
                <w:sz w:val="14"/>
                <w:szCs w:val="14"/>
              </w:rPr>
              <w:t xml:space="preserve">49 · 9</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Charte env. (N°3.2) · art. 8 CEDH · Charte UE art. 37</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Principes de précaution, de prévention, pollueur-payeur ; Grande-Synthe (2021) ; KlimaSeniorinnen (2024).</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N°115 ÉTAT DE SIÈGE (7)</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N°115 · p. 1195</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AA68B"/>
                <w:sz w:val="14"/>
                <w:szCs w:val="14"/>
              </w:rPr>
              <w:t xml:space="preserve">82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État de siège — Code de la défense</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AA68B"/>
                <w:sz w:val="14"/>
                <w:szCs w:val="14"/>
              </w:rPr>
              <w:t xml:space="preserve">7</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36 C. (N°3.1)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Décrété en conseil des ministres, prorogation au-delà de douze jours autorisée par le Parlement (art. 36 C.).</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193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5"/>
                <w:szCs w:val="15"/>
              </w:rPr>
              <w:t xml:space="preserve">N°116 ÉTAT D’URGENCE (7·40)  ★</w:t>
            </w:r>
          </w:p>
        </w:tc>
        <w:tc>
          <w:tcPr>
            <w:tcW w:type="dxa" w:w="6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3"/>
                <w:szCs w:val="13"/>
              </w:rPr>
              <w:t xml:space="preserve">N°116 · p. 1196</w:t>
            </w:r>
          </w:p>
        </w:tc>
        <w:tc>
          <w:tcPr>
            <w:tcW w:type="dxa" w:w="76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3AA68B"/>
                <w:sz w:val="14"/>
                <w:szCs w:val="14"/>
              </w:rPr>
              <w:t xml:space="preserve">91 mm  (#4)</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4"/>
                <w:szCs w:val="14"/>
              </w:rPr>
              <w:t xml:space="preserve">État d’urgence — C. déf. L.2131-1 et loi n° 55-385 du 3 avril 1955</w:t>
            </w:r>
          </w:p>
        </w:tc>
        <w:tc>
          <w:tcPr>
            <w:tcW w:type="dxa" w:w="8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3AA68B"/>
                <w:sz w:val="14"/>
                <w:szCs w:val="14"/>
              </w:rPr>
              <w:t xml:space="preserve">7 · 40 · 38 · 33</w:t>
            </w:r>
          </w:p>
        </w:tc>
        <w:tc>
          <w:tcPr>
            <w:tcW w:type="dxa" w:w="329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art. 15 CEDH · art. 4 PIDCP · art. 16 C.</w:t>
            </w:r>
          </w:p>
        </w:tc>
        <w:tc>
          <w:tcPr>
            <w:tcW w:type="dxa" w:w="55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Constitutionnalité de la loi de 1955 (85-187 DC) ; assignation à résidence (2015-527 QPC) ; contrôles d’identité généralisés censurés (2017-677 QPC) ; Domenjoud c. France (2024).</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193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5"/>
                <w:szCs w:val="15"/>
              </w:rPr>
              <w:t xml:space="preserve">N°117 ÉTAT D’URGENCE SANITAIRE (7·40·48)  ★</w:t>
            </w:r>
          </w:p>
        </w:tc>
        <w:tc>
          <w:tcPr>
            <w:tcW w:type="dxa" w:w="6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3"/>
                <w:szCs w:val="13"/>
              </w:rPr>
              <w:t xml:space="preserve">N°117 · p. 1202</w:t>
            </w:r>
          </w:p>
        </w:tc>
        <w:tc>
          <w:tcPr>
            <w:tcW w:type="dxa" w:w="76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3AA68B"/>
                <w:sz w:val="14"/>
                <w:szCs w:val="14"/>
              </w:rPr>
              <w:t xml:space="preserve">100 mm  (#5)</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4"/>
                <w:szCs w:val="14"/>
              </w:rPr>
              <w:t xml:space="preserve">Menaces sanitaires graves et état d’urgence sanitaire — CSP L.3131-1, L.3131-12 et L.3131-13</w:t>
            </w:r>
          </w:p>
        </w:tc>
        <w:tc>
          <w:tcPr>
            <w:tcW w:type="dxa" w:w="8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3AA68B"/>
                <w:sz w:val="14"/>
                <w:szCs w:val="14"/>
              </w:rPr>
              <w:t xml:space="preserve">7 · 40 · 48 · 35</w:t>
            </w:r>
          </w:p>
        </w:tc>
        <w:tc>
          <w:tcPr>
            <w:tcW w:type="dxa" w:w="329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art. 15 CEDH · al. 11 Préambule (protection de la santé) · Charte UE art. 35</w:t>
            </w:r>
          </w:p>
        </w:tc>
        <w:tc>
          <w:tcPr>
            <w:tcW w:type="dxa" w:w="55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Loi du 23 mars 2020 et 2020-800 DC ; objectif de valeur constitutionnelle de protection de la santé ; contrôle de proportionnalité par le juge du référé-liberté (CE, ord., 22 mars 2020, Syndicat des jeunes médecins).</w:t>
            </w:r>
          </w:p>
        </w:tc>
      </w:tr>
    </w:tbl>
    <w:p>
      <w:pPr>
        <w:spacing w:after="140"/>
      </w:pPr>
    </w:p>
    <w:p>
      <w:pPr>
        <w:spacing w:after="60" w:before="140"/>
      </w:pPr>
      <w:r>
        <w:rPr>
          <w:b/>
          <w:bCs/>
          <w:color w:val="1F3864"/>
          <w:sz w:val="22"/>
          <w:szCs w:val="22"/>
        </w:rPr>
        <w:t xml:space="preserve">Couverture exhaustive des N°69.1 à 117</w:t>
      </w:r>
    </w:p>
    <w:p>
      <w:pPr>
        <w:spacing w:after="40"/>
      </w:pPr>
      <w:r>
        <w:rPr>
          <w:color w:val="404040"/>
          <w:sz w:val="16"/>
          <w:szCs w:val="16"/>
        </w:rPr>
        <w:t xml:space="preserve">75 documents : 40 portent un onglet, 35 sont atteints par l’onglet voisin indiqué.</w:t>
      </w: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900"/>
        <w:gridCol w:w="7300"/>
        <w:gridCol w:w="700"/>
        <w:gridCol w:w="6698"/>
      </w:tblGrid>
      <w:tr>
        <w:trPr>
          <w:tblHeader/>
        </w:trPr>
        <w:tc>
          <w:tcPr>
            <w:tcW w:type="dxa" w:w="9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N°</w:t>
            </w:r>
          </w:p>
        </w:tc>
        <w:tc>
          <w:tcPr>
            <w:tcW w:type="dxa" w:w="73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Document</w:t>
            </w:r>
          </w:p>
        </w:tc>
        <w:tc>
          <w:tcPr>
            <w:tcW w:type="dxa" w:w="7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p.</w:t>
            </w:r>
          </w:p>
        </w:tc>
        <w:tc>
          <w:tcPr>
            <w:tcW w:type="dxa" w:w="6698"/>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Onglet(s)</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69.1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Vie privée — art. 9 C. civ.</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831</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N°69.1–69.3 VIE PRIVÉE (33·34)</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69.2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Mariage pour tous — art. 143 C. civ.</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831</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N°69.1–69.3 VIE PRIVÉE » (même page)</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69.3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Atteintes à la vie privée — C. pén. 226-1 à 226-9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831</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N°69.1–69.3 » (même page)</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69.4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Vie privée et renseignement — CSI L.801-1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835</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4 pages après « N°69.1–69.3 » — principe repris à « N°72.3 RENSEIGNEMENT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70.1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Violation de domicile — C. pén. 226-4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836</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N°70–71 DOMICILE &amp; PERQUISITIONS (33·17)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70.2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Atteintes à l'inviolabilité du domicile par agent public — C. pén. 432-8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836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N°70–71 DOMICILE &amp; PERQUISITIONS » (même page)</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71.1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Perquisitions crimes et flagrance — CPP 56 à 59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836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N°70–71 » (même page)</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71.2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Perquisitions enquête préliminaire — CPP 76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844</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N°70–71 » (p. 844)</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71.3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Perquisitions instruction — CPP 93 à 97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845</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N°70–71 » (p. 845)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71.4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Captation de données informatiques — CPP 706-102-1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846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N°70–71 » (p. 846)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72.1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Atteintes au secret des correspondances — C. pén. 226-15, 432-9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848</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N°72.1–72.2 CORRESPONDANCES (33)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72.2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Interceptions judiciaires — CPP 100 à 100-7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849</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N°72.1–72.2 CORRESPONDANCES » (p. 849)</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72.3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Techniques de renseignement — CSI L.811-1 à L.854-9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850</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N°72.3 RENSEIGNEMENT (33·35)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73.1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Informatique et libertés 78-17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869</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N°73.1 LOI INFORMATIQUE ET LIBERTÉS (35·20)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73.2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Traitements de données et enquêtes administratives — CSI</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922</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N°73.2–73.3 FICHIERS (35)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73.3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Atteintes résultant des fichiers — C. pén. 226-16 à 226-27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928</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N°73.2–73.3 FICHIERS » (p. 928)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74.1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Liberté d'aller et venir — Prot. 4 art. 1-2, CSI L.224-1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932</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N°74.1 ALLER ET VENIR (40)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74.2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Vidéoprotection — CSI L.251-1 à L.255-1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933</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N°74.2–74.3 VIDÉO &amp; GÉOLOCALISATION (33·35)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74.3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Géolocalisation — CPP 230-32 à 230-35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938</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N°74.2–74.3 » (p. 938)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75.1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du 9 décembre 1905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941</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N°75.1 LOI 1905 art. 1–2 (36)  ·  LOI 1905 art. 25–36 (36)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75.2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Exercice des cultes — loi du 2 janvier 1907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956</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N°75.2–76.2 CULTES &amp; DÉRIVES SECTAIRES (36·55)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76.1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Mouvements sectaires — loi About-Picard 2001-504, C. pén. 223-15-2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958</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N°75.2–76.2 » (p. 958)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76.2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MIVILUDES — décret 2002-1392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961</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N°75.2–76.2 » (p. 961)</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77.1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Caractère laïc de la République — art. 1er Constitution</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962</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N°77.1–77.3 LAÏCITÉ (36·41)</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77.2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Laïcité de l'enseignement public — C. éduc. L.141-1 à L.141-6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962</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N°77.1–77.3 LAÏCITÉ » (même page)</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77.3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Comité interministériel de la laïcité — décret 2021-716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963</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N°77.1–77.3 » (p. 963)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78.1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à l'éducation, SP de l'enseignement — C. éduc. L.111-1 à L.111-5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965</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N°78.1–78.2 DROIT À L’ÉDUCATION (47)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78.2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Missions du SP de l'enseignement — C. éduc. L.121-1 à L.121-7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967</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N°78.1–78.2 » (p. 967)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79</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Liberté de l'enseignement — C. éduc. L.151-1 à L.151-5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971</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N°79–81 LIBERTÉ DE L’ENSEIGNEMENT (41)</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80</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Liberté de l'enseignement supérieur — C. éduc. L.151-6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971</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N°79–81 » (même page)</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81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Indépendance des enseignants-chercheurs — C. éduc. L.952-2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972</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N°79–81 » (p. 972)</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82.1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Devoirs généraux des médecins — CSP</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973</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N°82.1–83 DÉONTOLOGIE MÉDICALE &amp; CCNE (27·48)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82.2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Devoirs des médecins envers les patients — CSP</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976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N°82.1–83 » (p. 976)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83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CCNE — CSP L.1412-1 à L.1412-6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981</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N°82.1–83 » (p. 981)</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84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IVG — CSP L.2211-1 à L.2213-3, L.2223-1-2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983</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N°84 IVG (26·27)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85</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Respect du corps humain — C. civ. 16 à 16-9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988</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N°85–87 CORPS HUMAIN — C. CIV. 16 s. (27·5)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86</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Étude génétique — C. civ. 16-10 à 16-13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989</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N°85–87 CORPS HUMAIN » (p. 989)</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87</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Protection de l'espèce humaine et de l'embryon — C. pén. 214-1 s., 511-1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991</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N°85–87 » (p. 991)</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88</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Recherches impliquant la personne humaine — CSP L.1121-1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997</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N°88 RECHERCHES SUR LA PERSONNE (27)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89</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PMA, diagnostics anténataux — CSP L.2131-1, L.2141-1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1012</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N°89 PMA &amp; DIAGNOSTIC PRÉNATAL (34·27)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90</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Médecine prédictive, identification génétique — CSP L.1131-1 s., L.1133-1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1021</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N°90–91 GÉNÉTIQUE &amp; DONS (27·54)</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91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Don d'éléments et produits du corps humain — CSP L.1211-1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1026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N°90–91 » (p. 1026)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92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Droits des malades — CSP L.1110-1 à L.1110-11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1031</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N°92 DROITS DES MALADES — FIN DE VIE (26·48)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93.1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Observatoire national du suicide — décret 2013-809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1037</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N°93.1–93.2 SUICIDE (26)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93.2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Provocation au suicide — C. pén. 223-13 à 223-15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1038</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N°93.1–93.2 » (p. 1038)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94.1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du 29 juillet 1881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1039</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N°94.1 LOI 1881 art. 1–22 (37)  ·  LOI 1881 art. 23–28 (37·54)  ·  LOI 1881 art. 29–41 (37·33)  ·  LOI 1881 art. 42–65 (37·32)</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94.2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Publications destinées à la jeunesse — loi 49-956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1055</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N°94.2–94.3 PRESSE : JEUNESSE &amp; PLURALISME (37)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94.3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Régime juridique de la presse — loi 86-897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1057</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N°94.2–94.3 » (p. 1057)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95.1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Liberté de communication — loi 86-1067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1059</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N°95.1 LOI 1986 art. 1–20 (37·20)  ·  LOI 1986 art. 21–42 (20)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95.2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de réponse audiovisuel — loi 82-652 art. 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1135</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N°95.2–96 RÉPONSE &amp; COMM. ÉLECTRONIQUES (37·35)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96</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CPCE (postes et comm. électr.) L.32 s., L.34-1 s., L.35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1136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N°95.2–96 » (p. 1136)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97</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Spectacles — ord. 45-2339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1154</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N°97–99 SPECTACLES &amp; CINÉMA (37·6)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98</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Code du cinéma — L.211-1 s., L.432-1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1155</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N°97–99 » (p. 1155)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99</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Accès des mineurs à certains établissements — ord. 59-28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1155</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N°97–99 » (p. 1155)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100.1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Droits des citoyens dans leurs relations avec l'administration — loi DCRA 2000-321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1157</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N°100.1–100.2 ADMINISTRÉS &amp; CADA (20·10)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100.2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Accès aux documents administratifs, CADA — CRPA L.300-1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1158</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N°100.1–100.2 » (p. 1158)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101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du 1er juillet 1901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1165</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N°101 LOI 1901 (39)</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102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Dissolution d'associations — CSI L.212-1, C. pén. 431-13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1170</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N°102 DISSOLUTION ADMINISTRATIVE (39)</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103.1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Réunions publiques — loi du 30 juin 1881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1172</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N°103.1–103.2 RÉUNIONS PUBLIQUES (38)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103.2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Réunions publiques — loi du 28 mars 1907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1173</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N°103.1–103.2 » (p. 1173)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104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Manifestations et rassemblements festifs — CSI</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1173</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N°104 MANIFESTATIONS (38·6)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105</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Attroupements et manifestations illicites — C. pén. 431-1 à 431-12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1177</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N°105 ATTROUPEMENTS (38)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106</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Liberté syndicale — C. trav. L.2141-1 à L.2141-8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1180</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N°106–108 SYNDICAT &amp; GRÈVE (50)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107</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de grève — C. trav. L.2511-1 à L.2512-5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1182</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N°106–108 SYNDICAT &amp; GRÈVE » (p. 1182)</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108</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Grève dans la fonction publique — CGFP L.114-1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1183</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N°106–108 » (p. 1183)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109</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Décret d'Allarde — loi des 2-17 mars 1791 art. 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1183</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N°109 LIBERTÉ DU COMMERCE (45)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110.1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Libre administration — CGCT L.1111-1 à L.1111-4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1184</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N°110.1–110.2 DÉMOCRATIE LOCALE (11·42)</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110.2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Référendum local et consultation — CGCT LO.1112-1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1185</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N°110.1–110.2 » (p. 1185)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111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à la mobilité — C. transports L.1111-1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1189</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1 page avant « N°111–112 LOGEMENT DÉCENT » — jamais cité dans tes supports</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112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au logement décent — CCH L.300-1 et L.300-2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1190</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N°111–112 LOGEMENT DÉCENT (51)</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113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Environnement sain — C. env. L.110-1 à L.110-3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1191</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N°113–114 ENVIRONNEMENT (49)</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114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de respirer un air sain — C. env. L.220-1 et L.220-2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1194</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N°113–114 ENVIRONNEMENT » (p. 1194)</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115</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État de siège — Code de la défense</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1195</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N°115 ÉTAT DE SIÈGE (7)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116</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État d'urgence — C. déf. L.2131-1, loi 55-385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1196</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N°116 ÉTAT D’URGENCE (7·40)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117</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État d'urgence sanitaire — CSP L.3131-1, L.3131-12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1202</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N°117 ÉTAT D’URGENCE SANITAIRE (7·40·48)</w:t>
            </w:r>
          </w:p>
        </w:tc>
      </w:tr>
    </w:tbl>
    <w:p>
      <w:pPr>
        <w:spacing w:after="60" w:before="140"/>
      </w:pPr>
      <w:r>
        <w:rPr>
          <w:b/>
          <w:bCs/>
          <w:color w:val="1F3864"/>
          <w:sz w:val="22"/>
          <w:szCs w:val="22"/>
        </w:rPr>
        <w:t xml:space="preserve">Conseils de pose pour l’étape 4</w:t>
      </w:r>
    </w:p>
    <w:p>
      <w:pPr>
        <w:spacing w:after="30"/>
        <w:ind w:left="280" w:hanging="200"/>
      </w:pPr>
      <w:r>
        <w:rPr>
          <w:b/>
          <w:bCs/>
          <w:color w:val="1F3864"/>
          <w:sz w:val="16"/>
          <w:szCs w:val="16"/>
        </w:rPr>
        <w:t xml:space="preserve">▪ </w:t>
      </w:r>
      <w:r>
        <w:rPr>
          <w:b/>
          <w:bCs/>
          <w:sz w:val="16"/>
          <w:szCs w:val="16"/>
        </w:rPr>
        <w:t xml:space="preserve">Fin du livre aérée. </w:t>
      </w:r>
      <w:r>
        <w:rPr>
          <w:color w:val="404040"/>
          <w:sz w:val="16"/>
          <w:szCs w:val="16"/>
        </w:rPr>
        <w:t xml:space="preserve">Les blocs L12 à L17 ont entre 5 et 9 onglets chacun, avec des escaliers de 5,5 à 9 mm : c’est la partie la plus simple à poser.</w:t>
      </w:r>
    </w:p>
    <w:p>
      <w:pPr>
        <w:spacing w:after="30"/>
        <w:ind w:left="280" w:hanging="200"/>
      </w:pPr>
      <w:r>
        <w:rPr>
          <w:b/>
          <w:bCs/>
          <w:color w:val="1F3864"/>
          <w:sz w:val="16"/>
          <w:szCs w:val="16"/>
        </w:rPr>
        <w:t xml:space="preserve">▪ </w:t>
      </w:r>
      <w:r>
        <w:rPr>
          <w:b/>
          <w:bCs/>
          <w:sz w:val="16"/>
          <w:szCs w:val="16"/>
        </w:rPr>
        <w:t xml:space="preserve">Deux onglets sur la même page. </w:t>
      </w:r>
      <w:r>
        <w:rPr>
          <w:color w:val="404040"/>
          <w:sz w:val="16"/>
          <w:szCs w:val="16"/>
        </w:rPr>
        <w:t xml:space="preserve">N°108 (grève dans la fonction publique) et N°109 (liberté du commerce) commencent p. 1183 : l’onglet « N°106–108 » est posé p. 1180, celui du N°109 p. 1183, à des hauteurs différentes.</w:t>
      </w:r>
    </w:p>
    <w:p>
      <w:pPr>
        <w:spacing w:after="30"/>
        <w:ind w:left="280" w:hanging="200"/>
      </w:pPr>
      <w:r>
        <w:rPr>
          <w:b/>
          <w:bCs/>
          <w:color w:val="1F3864"/>
          <w:sz w:val="16"/>
          <w:szCs w:val="16"/>
        </w:rPr>
        <w:t xml:space="preserve">▪ </w:t>
      </w:r>
      <w:r>
        <w:rPr>
          <w:b/>
          <w:bCs/>
          <w:sz w:val="16"/>
          <w:szCs w:val="16"/>
        </w:rPr>
        <w:t xml:space="preserve">Onglets « 2 » facultatifs. </w:t>
      </w:r>
      <w:r>
        <w:rPr>
          <w:color w:val="404040"/>
          <w:sz w:val="16"/>
          <w:szCs w:val="16"/>
        </w:rPr>
        <w:t xml:space="preserve">Fichiers, cultes et sectes, déontologie médicale et CCNE, recherches sur la personne, génétique et dons, suicide, loi de 1881 art. 42-65, presse jeunesse et pluralisme, administrés et CADA, attroupements, démocratie locale, état de siège.</w:t>
      </w:r>
    </w:p>
    <w:p>
      <w:pPr>
        <w:spacing w:after="40"/>
      </w:pPr>
      <w:r>
        <w:rPr>
          <w:i/>
          <w:iCs/>
          <w:color w:val="595959"/>
          <w:sz w:val="16"/>
          <w:szCs w:val="16"/>
        </w:rPr>
        <w:t xml:space="preserve">Étape 5 : recalibrage des onglets phares sur les 156 onglets, index des correspondances par fiche (pour chacune de tes 56 fiches, tous les onglets du recueil qui la concernent) et modélisation 3D du livre aux dimensions réelles.</w:t>
      </w:r>
    </w:p>
    <w:sectPr>
      <w:pgSz w:w="16838" w:h="11906" w:orient="landscape"/>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2026-10-10T16:11:30.243Z</dcterms:created>
  <dcterms:modified xsi:type="dcterms:W3CDTF">2026-10-10T16:11:30.243Z</dcterms:modified>
</cp:coreProperties>
</file>

<file path=docProps/custom.xml><?xml version="1.0" encoding="utf-8"?>
<Properties xmlns="http://schemas.openxmlformats.org/officeDocument/2006/custom-properties" xmlns:vt="http://schemas.openxmlformats.org/officeDocument/2006/docPropsVTypes"/>
</file>