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3864"/>
          <w:sz w:val="34"/>
          <w:szCs w:val="34"/>
        </w:rPr>
        <w:t xml:space="preserve">Plan de pose des post-it — Oberdorff · ÉTAPE 5 / 5 : synthèse</w:t>
      </w:r>
    </w:p>
    <w:p>
      <w:pPr>
        <w:spacing w:after="50"/>
      </w:pPr>
      <w:r>
        <w:rPr>
          <w:i/>
          <w:iCs/>
          <w:color w:val="595959"/>
          <w:sz w:val="17"/>
          <w:szCs w:val="17"/>
        </w:rPr>
        <w:t xml:space="preserve">Phares recalibrés sur le livre entier, mode d’emploi de l’index des correspondances et du modèle 3D, liste de pose.</w:t>
      </w:r>
    </w:p>
    <w:p>
      <w:pPr>
        <w:spacing w:after="60" w:before="160"/>
      </w:pPr>
      <w:r>
        <w:rPr>
          <w:b/>
          <w:bCs/>
          <w:color w:val="1F3864"/>
          <w:sz w:val="22"/>
          <w:szCs w:val="22"/>
        </w:rPr>
        <w:t xml:space="preserve">Le livre en chiffres</w:t>
      </w:r>
    </w:p>
    <w:p>
      <w:pPr>
        <w:spacing w:after="50"/>
      </w:pPr>
      <w:r>
        <w:rPr>
          <w:b/>
          <w:bCs/>
          <w:color w:val="1F3864"/>
          <w:sz w:val="17"/>
          <w:szCs w:val="17"/>
        </w:rPr>
        <w:t xml:space="preserve">156 onglets · 17 blocs · une seule arête (latérale) · 4 couloirs de 56 mm · 14 phares, 100 essentiels, 39 complémentaires, 3 textes transversaux · 0 chevauchement détecté · 232 documents du sommaire couverts (onglet propre ou onglet voisin indiqué). Sans les onglets « 2 » : 117 onglets.</w:t>
      </w:r>
    </w:p>
    <w:p>
      <w:pPr>
        <w:spacing w:after="60" w:before="160"/>
      </w:pPr>
      <w:r>
        <w:rPr>
          <w:b/>
          <w:bCs/>
          <w:color w:val="8A6100"/>
          <w:sz w:val="22"/>
          <w:szCs w:val="22"/>
        </w:rPr>
        <w:t xml:space="preserve">★  Les 14 phares — classement sur le livre entier</w:t>
      </w:r>
    </w:p>
    <w:p>
      <w:pPr>
        <w:spacing w:after="50"/>
      </w:pPr>
      <w:r>
        <w:rPr>
          <w:color w:val="404040"/>
          <w:sz w:val="17"/>
          <w:szCs w:val="17"/>
        </w:rPr>
        <w:t xml:space="preserve">Aux étapes 1 à 4, chaque étape avait désigné ses propres phares : 38 au total, trop pour qu’ils se distinguent encore. Ils sont maintenant classés avec un score unique, identique pour la DDHC comme pour la loi de 1901 :</w:t>
      </w:r>
    </w:p>
    <w:p>
      <w:pPr>
        <w:spacing w:after="36"/>
        <w:ind w:left="280" w:hanging="200"/>
      </w:pPr>
      <w:r>
        <w:rPr>
          <w:b/>
          <w:bCs/>
          <w:color w:val="1F3864"/>
          <w:sz w:val="17"/>
          <w:szCs w:val="17"/>
        </w:rPr>
        <w:t xml:space="preserve">▪ </w:t>
      </w:r>
      <w:r>
        <w:rPr>
          <w:b/>
          <w:bCs/>
          <w:sz w:val="17"/>
          <w:szCs w:val="17"/>
        </w:rPr>
        <w:t xml:space="preserve">Épreuves (× 2) : </w:t>
      </w:r>
      <w:r>
        <w:rPr>
          <w:color w:val="404040"/>
          <w:sz w:val="17"/>
          <w:szCs w:val="17"/>
        </w:rPr>
        <w:t xml:space="preserve">nombre d’unités d’épreuve qui citent le texte — 12 sujets d’annales découpés un par un, les 2 entraînements corrigés et 3 sujets IEJ.</w:t>
      </w:r>
    </w:p>
    <w:p>
      <w:pPr>
        <w:spacing w:after="36"/>
        <w:ind w:left="280" w:hanging="200"/>
      </w:pPr>
      <w:r>
        <w:rPr>
          <w:b/>
          <w:bCs/>
          <w:color w:val="1F3864"/>
          <w:sz w:val="17"/>
          <w:szCs w:val="17"/>
        </w:rPr>
        <w:t xml:space="preserve">▪ </w:t>
      </w:r>
      <w:r>
        <w:rPr>
          <w:b/>
          <w:bCs/>
          <w:sz w:val="17"/>
          <w:szCs w:val="17"/>
        </w:rPr>
        <w:t xml:space="preserve">Fiches rattachées : </w:t>
      </w:r>
      <w:r>
        <w:rPr>
          <w:color w:val="404040"/>
          <w:sz w:val="17"/>
          <w:szCs w:val="17"/>
        </w:rPr>
        <w:t xml:space="preserve">nombre de tes fiches inscrites sur l’onglet (vérifiées par script aux étapes 1 à 4).</w:t>
      </w:r>
    </w:p>
    <w:p>
      <w:pPr>
        <w:spacing w:after="36"/>
        <w:ind w:left="280" w:hanging="200"/>
      </w:pPr>
      <w:r>
        <w:rPr>
          <w:b/>
          <w:bCs/>
          <w:color w:val="1F3864"/>
          <w:sz w:val="17"/>
          <w:szCs w:val="17"/>
        </w:rPr>
        <w:t xml:space="preserve">▪ </w:t>
      </w:r>
      <w:r>
        <w:rPr>
          <w:b/>
          <w:bCs/>
          <w:sz w:val="17"/>
          <w:szCs w:val="17"/>
        </w:rPr>
        <w:t xml:space="preserve">Détection directe (× ½) : </w:t>
      </w:r>
      <w:r>
        <w:rPr>
          <w:color w:val="404040"/>
          <w:sz w:val="17"/>
          <w:szCs w:val="17"/>
        </w:rPr>
        <w:t xml:space="preserve">nombre de tes 56 fiches où le texte est explicitement cité.</w:t>
      </w:r>
    </w:p>
    <w:p>
      <w:pPr>
        <w:spacing w:after="36"/>
        <w:ind w:left="280" w:hanging="200"/>
      </w:pPr>
      <w:r>
        <w:rPr>
          <w:b/>
          <w:bCs/>
          <w:color w:val="1F3864"/>
          <w:sz w:val="17"/>
          <w:szCs w:val="17"/>
        </w:rPr>
        <w:t xml:space="preserve">▪ </w:t>
      </w:r>
      <w:r>
        <w:rPr>
          <w:b/>
          <w:bCs/>
          <w:sz w:val="17"/>
          <w:szCs w:val="17"/>
        </w:rPr>
        <w:t xml:space="preserve">Corpus (log) : </w:t>
      </w:r>
      <w:r>
        <w:rPr>
          <w:color w:val="404040"/>
          <w:sz w:val="17"/>
          <w:szCs w:val="17"/>
        </w:rPr>
        <w:t xml:space="preserve">fréquence pondérée dans les 1,3 million de mots de tes supports, en échelle logarithmique pour qu’un texte très cité n’écrase pas les autres.</w:t>
      </w:r>
    </w:p>
    <w:p>
      <w:pPr>
        <w:spacing w:after="50"/>
      </w:pPr>
      <w:r>
        <w:rPr>
          <w:i/>
          <w:iCs/>
          <w:color w:val="595959"/>
          <w:sz w:val="17"/>
          <w:szCs w:val="17"/>
        </w:rPr>
        <w:t xml:space="preserve">Règles : au plus 2 phares par bloc ; DDHC, Préambule et DUDH exclus (transversaux, un seul onglet en tête de livre). Deux corrections techniques ont été faites avant le classement : les sigles sont lus en majuscules (« TUE » attrapait le verbe « tue ») et les mots trop génériques (« manifestation », « vie privée », « exclusion ») ont été remplacés par les références précises.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700"/>
        <w:gridCol w:w="800"/>
        <w:gridCol w:w="900"/>
        <w:gridCol w:w="800"/>
        <w:gridCol w:w="800"/>
        <w:gridCol w:w="1000"/>
        <w:gridCol w:w="1100"/>
      </w:tblGrid>
      <w:tr>
        <w:trPr>
          <w:tblHeader/>
        </w:trPr>
        <w:tc>
          <w:tcPr>
            <w:tcW w:type="dxa" w:w="4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w:t>
            </w:r>
          </w:p>
        </w:tc>
        <w:tc>
          <w:tcPr>
            <w:tcW w:type="dxa" w:w="40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Onglet phare</w:t>
            </w:r>
          </w:p>
        </w:tc>
        <w:tc>
          <w:tcPr>
            <w:tcW w:type="dxa" w:w="7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Bloc</w:t>
            </w:r>
          </w:p>
        </w:tc>
        <w:tc>
          <w:tcPr>
            <w:tcW w:type="dxa" w:w="8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Score</w:t>
            </w:r>
          </w:p>
        </w:tc>
        <w:tc>
          <w:tcPr>
            <w:tcW w:type="dxa" w:w="9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Épreuves</w:t>
            </w:r>
          </w:p>
        </w:tc>
        <w:tc>
          <w:tcPr>
            <w:tcW w:type="dxa" w:w="8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Fiches</w:t>
            </w:r>
          </w:p>
        </w:tc>
        <w:tc>
          <w:tcPr>
            <w:tcW w:type="dxa" w:w="8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Détect.</w:t>
            </w:r>
          </w:p>
        </w:tc>
        <w:tc>
          <w:tcPr>
            <w:tcW w:type="dxa" w:w="10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Corpus</w:t>
            </w:r>
          </w:p>
        </w:tc>
        <w:tc>
          <w:tcPr>
            <w:tcW w:type="dxa" w:w="1100"/>
            <w:tcBorders>
              <w:top w:val="single" w:color="BFBFBF" w:sz="2"/>
              <w:left w:val="single" w:color="BFBFBF" w:sz="2"/>
              <w:bottom w:val="single" w:color="BFBFBF" w:sz="2"/>
              <w:right w:val="single" w:color="BFBFBF" w:sz="2"/>
            </w:tcBorders>
            <w:shd w:fill="8A6100" w:color="auto" w:val="clear"/>
          </w:tcPr>
          <w:p>
            <w:pPr>
              <w:spacing w:after="14" w:before="14"/>
            </w:pPr>
            <w:r>
              <w:rPr>
                <w:b/>
                <w:bCs/>
                <w:color w:val="FFFFFF"/>
                <w:sz w:val="14"/>
                <w:szCs w:val="14"/>
              </w:rPr>
              <w:t xml:space="preserve">Haut</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N°69.1–69.3 VIE PRIVÉE (33·34)</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3B8CC4"/>
                <w:sz w:val="15"/>
                <w:szCs w:val="15"/>
              </w:rPr>
              <w:t xml:space="preserve">L12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28,7</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330</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8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N°116 ÉTAT D’URGENCE (7·40)</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3AA68B"/>
                <w:sz w:val="15"/>
                <w:szCs w:val="15"/>
              </w:rPr>
              <w:t xml:space="preserve">L17</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27,4</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8</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510</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91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3</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N°92 DROITS DES MALADES — FIN DE VIE (26·48)</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E0684B"/>
                <w:sz w:val="15"/>
                <w:szCs w:val="15"/>
              </w:rPr>
              <w:t xml:space="preserve">L14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26</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8</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626</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157,7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4</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CONST. art. 66 (30·17)</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1F4E79"/>
                <w:sz w:val="15"/>
                <w:szCs w:val="15"/>
              </w:rPr>
              <w:t xml:space="preserve">L1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25,9</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5</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11</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122</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42,2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5</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N°117 ÉTAT D’URGENCE SANITAIRE (7·40·48)</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3AA68B"/>
                <w:sz w:val="15"/>
                <w:szCs w:val="15"/>
              </w:rPr>
              <w:t xml:space="preserve">L17</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25,8</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10</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413</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100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6</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N°85–87 CORPS HUMAIN — C. CIV. 16 s. (27·5)</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E0684B"/>
                <w:sz w:val="15"/>
                <w:szCs w:val="15"/>
              </w:rPr>
              <w:t xml:space="preserve">L14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25,5</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14</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182</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132,6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7</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N°104 MANIFESTATIONS (38·6)</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6E6E6E"/>
                <w:sz w:val="15"/>
                <w:szCs w:val="15"/>
              </w:rPr>
              <w:t xml:space="preserve">L16</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23,2</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7</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283</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30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8</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N°106–108 SYNDICAT &amp; GRÈVE (50)</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6E6E6E"/>
                <w:sz w:val="15"/>
                <w:szCs w:val="15"/>
              </w:rPr>
              <w:t xml:space="preserve">L16</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23</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8</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217</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41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9</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N°70–71 DOMICILE &amp; PERQUISITIONS (33·17)</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3B8CC4"/>
                <w:sz w:val="15"/>
                <w:szCs w:val="15"/>
              </w:rPr>
              <w:t xml:space="preserve">L12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22,6</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8</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268</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14,3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10</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CEDH art. 8 (33·34)</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C0504D"/>
                <w:sz w:val="15"/>
                <w:szCs w:val="15"/>
              </w:rPr>
              <w:t xml:space="preserve">L2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22,5</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5</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150</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95,3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11</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CONST. art. 34 (10·6)</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1F4E79"/>
                <w:sz w:val="15"/>
                <w:szCs w:val="15"/>
              </w:rPr>
              <w:t xml:space="preserve">L1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21,4</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15</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100</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27,6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12</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N°4.2 PROT. 1 (46·47·42)</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C0504D"/>
                <w:sz w:val="15"/>
                <w:szCs w:val="15"/>
              </w:rPr>
              <w:t xml:space="preserve">L2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20,2</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5</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12</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112</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139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13</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N°67.2–67.3 OQTF &amp; EXPULSION (43)</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548235"/>
                <w:sz w:val="15"/>
                <w:szCs w:val="15"/>
              </w:rPr>
              <w:t xml:space="preserve">L11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19,4</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10</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251</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194,9 mm</w:t>
            </w:r>
          </w:p>
        </w:tc>
      </w:tr>
      <w:tr>
        <w:tc>
          <w:tcPr>
            <w:tcW w:type="dxa" w:w="4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14</w:t>
            </w:r>
          </w:p>
        </w:tc>
        <w:tc>
          <w:tcPr>
            <w:tcW w:type="dxa" w:w="4000"/>
            <w:tcBorders>
              <w:top w:val="single" w:color="BFBFBF" w:sz="2"/>
              <w:left w:val="single" w:color="BFBFBF" w:sz="2"/>
              <w:bottom w:val="single" w:color="BFBFBF" w:sz="2"/>
              <w:right w:val="single" w:color="BFBFBF" w:sz="2"/>
            </w:tcBorders>
            <w:shd w:fill="FFF6DC" w:color="auto" w:val="clear"/>
          </w:tcPr>
          <w:p>
            <w:pPr>
              <w:spacing w:after="14" w:before="14"/>
            </w:pPr>
            <w:r>
              <w:rPr>
                <w:b/>
                <w:bCs/>
                <w:color w:val="333333"/>
                <w:sz w:val="15"/>
                <w:szCs w:val="15"/>
              </w:rPr>
              <w:t xml:space="preserve">N°60.1–60.2 HANDICAP &amp; ÂGE (55·47)</w:t>
            </w:r>
          </w:p>
        </w:tc>
        <w:tc>
          <w:tcPr>
            <w:tcW w:type="dxa" w:w="700"/>
            <w:tcBorders>
              <w:top w:val="single" w:color="BFBFBF" w:sz="2"/>
              <w:left w:val="single" w:color="BFBFBF" w:sz="2"/>
              <w:bottom w:val="single" w:color="BFBFBF" w:sz="2"/>
              <w:right w:val="single" w:color="BFBFBF" w:sz="2"/>
            </w:tcBorders>
          </w:tcPr>
          <w:p>
            <w:pPr>
              <w:spacing w:after="14" w:before="14"/>
              <w:jc w:val="center"/>
            </w:pPr>
            <w:r>
              <w:rPr>
                <w:b/>
                <w:bCs/>
                <w:color w:val="8B6F31"/>
                <w:sz w:val="15"/>
                <w:szCs w:val="15"/>
              </w:rPr>
              <w:t xml:space="preserve">L10</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33333"/>
                <w:sz w:val="15"/>
                <w:szCs w:val="15"/>
              </w:rPr>
              <w:t xml:space="preserve">19,3</w:t>
            </w:r>
          </w:p>
        </w:tc>
        <w:tc>
          <w:tcPr>
            <w:tcW w:type="dxa" w:w="9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12</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114</w:t>
            </w:r>
          </w:p>
        </w:tc>
        <w:tc>
          <w:tcPr>
            <w:tcW w:type="dxa" w:w="11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3"/>
                <w:szCs w:val="13"/>
              </w:rPr>
              <w:t xml:space="preserve">137,6 mm</w:t>
            </w:r>
          </w:p>
        </w:tc>
      </w:tr>
    </w:tbl>
    <w:p>
      <w:pPr>
        <w:spacing w:after="50"/>
      </w:pPr>
      <w:r>
        <w:rPr>
          <w:color w:val="404040"/>
          <w:sz w:val="17"/>
          <w:szCs w:val="17"/>
        </w:rPr>
        <w:t xml:space="preserve">Entrent : Constitution art. 66 et 34, CEDH art. 8, Protocole n°1, vie privée, domicile et perquisitions, corps humain, fin de vie, manifestations, syndicat et grève, OQTF et expulsion, handicap et âge, état d’urgence et état d’urgence sanitaire. Redeviennent « essentiels » : CEDH art. 6-7 et 10, Charte art. 6-9 et 47-50, PIDCP, Convention de Genève, CIDE, RGPD, garde à vue, Code pénitentiaire, loi de 1881, loi de 1901, laïcité, IVG, logement, asile, notamment. Ils restent posés, seulement sans débordement supplémentaire.</w:t>
      </w:r>
    </w:p>
    <w:p>
      <w:pPr>
        <w:spacing w:after="60" w:before="160"/>
      </w:pPr>
      <w:r>
        <w:rPr>
          <w:b/>
          <w:bCs/>
          <w:color w:val="1F3864"/>
          <w:sz w:val="20"/>
          <w:szCs w:val="20"/>
        </w:rPr>
        <w:t xml:space="preserve">Les 15 onglets suivants (non phares)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50"/>
        <w:gridCol w:w="4600"/>
        <w:gridCol w:w="800"/>
        <w:gridCol w:w="1000"/>
        <w:gridCol w:w="1150"/>
        <w:gridCol w:w="1150"/>
        <w:gridCol w:w="1350"/>
      </w:tblGrid>
      <w:tr>
        <w:trPr>
          <w:tblHeader/>
        </w:trPr>
        <w:tc>
          <w:tcPr>
            <w:tcW w:type="dxa" w:w="45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w:t>
            </w:r>
          </w:p>
        </w:tc>
        <w:tc>
          <w:tcPr>
            <w:tcW w:type="dxa" w:w="460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Onglet</w:t>
            </w:r>
          </w:p>
        </w:tc>
        <w:tc>
          <w:tcPr>
            <w:tcW w:type="dxa" w:w="80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Bloc</w:t>
            </w:r>
          </w:p>
        </w:tc>
        <w:tc>
          <w:tcPr>
            <w:tcW w:type="dxa" w:w="100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Score</w:t>
            </w:r>
          </w:p>
        </w:tc>
        <w:tc>
          <w:tcPr>
            <w:tcW w:type="dxa" w:w="115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Épreuves</w:t>
            </w:r>
          </w:p>
        </w:tc>
        <w:tc>
          <w:tcPr>
            <w:tcW w:type="dxa" w:w="115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Fiches</w:t>
            </w:r>
          </w:p>
        </w:tc>
        <w:tc>
          <w:tcPr>
            <w:tcW w:type="dxa" w:w="1350"/>
            <w:tcBorders>
              <w:top w:val="single" w:color="BFBFBF" w:sz="2"/>
              <w:left w:val="single" w:color="BFBFBF" w:sz="2"/>
              <w:bottom w:val="single" w:color="BFBFBF" w:sz="2"/>
              <w:right w:val="single" w:color="BFBFBF" w:sz="2"/>
            </w:tcBorders>
            <w:shd w:fill="1F3864" w:color="auto" w:val="clear"/>
          </w:tcPr>
          <w:p>
            <w:pPr>
              <w:spacing w:after="14" w:before="14"/>
            </w:pPr>
            <w:r>
              <w:rPr>
                <w:b/>
                <w:bCs/>
                <w:color w:val="FFFFFF"/>
                <w:sz w:val="14"/>
                <w:szCs w:val="14"/>
              </w:rPr>
              <w:t xml:space="preserve">Corpus</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15</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N°74.1 ALLER ET VENIR (40)</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3B8CC4"/>
                <w:sz w:val="15"/>
                <w:szCs w:val="15"/>
              </w:rPr>
              <w:t xml:space="preserve">L12</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19,6</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130</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16</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N°79–81 LIBERTÉ DE L’ENSEIGNEMENT (41)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8E7CC3"/>
                <w:sz w:val="15"/>
                <w:szCs w:val="15"/>
              </w:rPr>
              <w:t xml:space="preserve">L13</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19,2</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274</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17</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N°24.2–24.3 COMITÉ DH (21·26)</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2E938A"/>
                <w:sz w:val="15"/>
                <w:szCs w:val="15"/>
              </w:rPr>
              <w:t xml:space="preserve">L6</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89</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N°52.2 CODE PÉNITENTIAIRE (28)</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C0397B"/>
                <w:sz w:val="15"/>
                <w:szCs w:val="15"/>
              </w:rPr>
              <w:t xml:space="preserve">L9</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183</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N°77.1–77.3 LAÏCITÉ (36·41)</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8E7CC3"/>
                <w:sz w:val="15"/>
                <w:szCs w:val="15"/>
              </w:rPr>
              <w:t xml:space="preserve">L13</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19</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367</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20</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N°84 IVG (26·27)</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E0684B"/>
                <w:sz w:val="15"/>
                <w:szCs w:val="15"/>
              </w:rPr>
              <w:t xml:space="preserve">L14</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18,7</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163</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21</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N°4.8 PROT. 16 (22)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C0504D"/>
                <w:sz w:val="15"/>
                <w:szCs w:val="15"/>
              </w:rPr>
              <w:t xml:space="preserve">L2</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18,6</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128</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22</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CONST. art. 1–4 (54·36·42)</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1F4E79"/>
                <w:sz w:val="15"/>
                <w:szCs w:val="15"/>
              </w:rPr>
              <w:t xml:space="preserve">L1</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18,4</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118</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23</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N°46–47 PRÉSOMPTION D’INNOCENCE (32·37)</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5B6270"/>
                <w:sz w:val="15"/>
                <w:szCs w:val="15"/>
              </w:rPr>
              <w:t xml:space="preserve">L8</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18,4</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425</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24</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N°67.5 ASILE — CESEDA (53)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548235"/>
                <w:sz w:val="15"/>
                <w:szCs w:val="15"/>
              </w:rPr>
              <w:t xml:space="preserve">L11</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18,3</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244</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25</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N°67.4 RÉTENTION ADMINISTRATIVE (30·43)</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548235"/>
                <w:sz w:val="15"/>
                <w:szCs w:val="15"/>
              </w:rPr>
              <w:t xml:space="preserve">L11</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127</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26</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N°14 CHARTE SOCIALE (50·51·48)</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C55A11"/>
                <w:sz w:val="15"/>
                <w:szCs w:val="15"/>
              </w:rPr>
              <w:t xml:space="preserve">L3</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18</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4</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84</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27</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N°97–99 SPECTACLES &amp; CINÉMA (37·6)</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7F5539"/>
                <w:sz w:val="15"/>
                <w:szCs w:val="15"/>
              </w:rPr>
              <w:t xml:space="preserve">L15</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17,9</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120</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28</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N°102 DISSOLUTION ADMINISTRATIVE (39)</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6E6E6E"/>
                <w:sz w:val="15"/>
                <w:szCs w:val="15"/>
              </w:rPr>
              <w:t xml:space="preserve">L16</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17,9</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294</w:t>
            </w:r>
          </w:p>
        </w:tc>
      </w:tr>
      <w:tr>
        <w:tc>
          <w:tcPr>
            <w:tcW w:type="dxa" w:w="4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29</w:t>
            </w:r>
          </w:p>
        </w:tc>
        <w:tc>
          <w:tcPr>
            <w:tcW w:type="dxa" w:w="4600"/>
            <w:tcBorders>
              <w:top w:val="single" w:color="BFBFBF" w:sz="2"/>
              <w:left w:val="single" w:color="BFBFBF" w:sz="2"/>
              <w:bottom w:val="single" w:color="BFBFBF" w:sz="2"/>
              <w:right w:val="single" w:color="BFBFBF" w:sz="2"/>
            </w:tcBorders>
          </w:tcPr>
          <w:p>
            <w:pPr>
              <w:spacing w:after="14" w:before="14"/>
            </w:pPr>
            <w:r>
              <w:rPr>
                <w:b w:val="false"/>
                <w:bCs w:val="false"/>
                <w:color w:val="333333"/>
                <w:sz w:val="15"/>
                <w:szCs w:val="15"/>
              </w:rPr>
              <w:t xml:space="preserve">CEDH art. 3 (28)</w:t>
            </w:r>
          </w:p>
        </w:tc>
        <w:tc>
          <w:tcPr>
            <w:tcW w:type="dxa" w:w="800"/>
            <w:tcBorders>
              <w:top w:val="single" w:color="BFBFBF" w:sz="2"/>
              <w:left w:val="single" w:color="BFBFBF" w:sz="2"/>
              <w:bottom w:val="single" w:color="BFBFBF" w:sz="2"/>
              <w:right w:val="single" w:color="BFBFBF" w:sz="2"/>
            </w:tcBorders>
          </w:tcPr>
          <w:p>
            <w:pPr>
              <w:spacing w:after="14" w:before="14"/>
              <w:jc w:val="center"/>
            </w:pPr>
            <w:r>
              <w:rPr>
                <w:b/>
                <w:bCs/>
                <w:color w:val="C0504D"/>
                <w:sz w:val="15"/>
                <w:szCs w:val="15"/>
              </w:rPr>
              <w:t xml:space="preserve">L2</w:t>
            </w:r>
          </w:p>
        </w:tc>
        <w:tc>
          <w:tcPr>
            <w:tcW w:type="dxa" w:w="100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17,8</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1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3</w:t>
            </w:r>
          </w:p>
        </w:tc>
        <w:tc>
          <w:tcPr>
            <w:tcW w:type="dxa" w:w="1350"/>
            <w:tcBorders>
              <w:top w:val="single" w:color="BFBFBF" w:sz="2"/>
              <w:left w:val="single" w:color="BFBFBF" w:sz="2"/>
              <w:bottom w:val="single" w:color="BFBFBF" w:sz="2"/>
              <w:right w:val="single" w:color="BFBFBF" w:sz="2"/>
            </w:tcBorders>
          </w:tcPr>
          <w:p>
            <w:pPr>
              <w:spacing w:after="14" w:before="14"/>
              <w:jc w:val="center"/>
            </w:pPr>
            <w:r>
              <w:rPr>
                <w:b w:val="false"/>
                <w:bCs w:val="false"/>
                <w:color w:val="333333"/>
                <w:sz w:val="15"/>
                <w:szCs w:val="15"/>
              </w:rPr>
              <w:t xml:space="preserve">65</w:t>
            </w:r>
          </w:p>
        </w:tc>
      </w:tr>
    </w:tbl>
    <w:p>
      <w:pPr>
        <w:spacing w:after="50"/>
      </w:pPr>
      <w:r>
        <w:rPr>
          <w:i/>
          <w:iCs/>
          <w:color w:val="595959"/>
          <w:sz w:val="17"/>
          <w:szCs w:val="17"/>
        </w:rPr>
        <w:t xml:space="preserve">Exemples d’onglets écartés par le plafond de 2 phares par bloc : « Aller et venir » (L12, déjà deux phares : vie privée et domicile).</w:t>
      </w:r>
    </w:p>
    <w:p>
      <w:pPr>
        <w:spacing w:after="60" w:before="160"/>
      </w:pPr>
      <w:r>
        <w:rPr>
          <w:b/>
          <w:bCs/>
          <w:color w:val="1F3864"/>
          <w:sz w:val="22"/>
          <w:szCs w:val="22"/>
        </w:rPr>
        <w:t xml:space="preserve">Les trois outils et leur usage</w:t>
      </w:r>
    </w:p>
    <w:p>
      <w:pPr>
        <w:spacing w:after="36"/>
        <w:ind w:left="280" w:hanging="200"/>
      </w:pPr>
      <w:r>
        <w:rPr>
          <w:b/>
          <w:bCs/>
          <w:color w:val="1F3864"/>
          <w:sz w:val="17"/>
          <w:szCs w:val="17"/>
        </w:rPr>
        <w:t xml:space="preserve">▪ </w:t>
      </w:r>
      <w:r>
        <w:rPr>
          <w:b/>
          <w:bCs/>
          <w:sz w:val="17"/>
          <w:szCs w:val="17"/>
        </w:rPr>
        <w:t xml:space="preserve">Les 4 plans de pose (étapes 1 à 4). </w:t>
      </w:r>
      <w:r>
        <w:rPr>
          <w:color w:val="404040"/>
          <w:sz w:val="17"/>
          <w:szCs w:val="17"/>
        </w:rPr>
        <w:t xml:space="preserve">Pour poser : chaque onglet a son texte à écrire, sa page et sa hauteur au millimètre depuis la tête du livre. Fabrique un gabarit (bande de carton de 24 cm graduée) et pose bloc par bloc, dans l’ordre des pages.</w:t>
      </w:r>
    </w:p>
    <w:p>
      <w:pPr>
        <w:spacing w:after="36"/>
        <w:ind w:left="280" w:hanging="200"/>
      </w:pPr>
      <w:r>
        <w:rPr>
          <w:b/>
          <w:bCs/>
          <w:color w:val="1F3864"/>
          <w:sz w:val="17"/>
          <w:szCs w:val="17"/>
        </w:rPr>
        <w:t xml:space="preserve">▪ </w:t>
      </w:r>
      <w:r>
        <w:rPr>
          <w:b/>
          <w:bCs/>
          <w:sz w:val="17"/>
          <w:szCs w:val="17"/>
        </w:rPr>
        <w:t xml:space="preserve">L’index des correspondances par fiche. </w:t>
      </w:r>
      <w:r>
        <w:rPr>
          <w:color w:val="404040"/>
          <w:sz w:val="17"/>
          <w:szCs w:val="17"/>
        </w:rPr>
        <w:t xml:space="preserve">Pour réviser et pendant la préparation : tu tires le sujet, tu identifies la fiche, tu lis la ligne de l’index et tu as la liste de tous les onglets concernés, sources internationales et droit français, dans l’ordre des pages. Plie-le et glisse-le dans le recueil (sous réserve du règlement de ton IEJ).</w:t>
      </w:r>
    </w:p>
    <w:p>
      <w:pPr>
        <w:spacing w:after="36"/>
        <w:ind w:left="280" w:hanging="200"/>
      </w:pPr>
      <w:r>
        <w:rPr>
          <w:b/>
          <w:bCs/>
          <w:color w:val="1F3864"/>
          <w:sz w:val="17"/>
          <w:szCs w:val="17"/>
        </w:rPr>
        <w:t xml:space="preserve">▪ </w:t>
      </w:r>
      <w:r>
        <w:rPr>
          <w:b/>
          <w:bCs/>
          <w:sz w:val="17"/>
          <w:szCs w:val="17"/>
        </w:rPr>
        <w:t xml:space="preserve">Le modèle 3D. </w:t>
      </w:r>
      <w:r>
        <w:rPr>
          <w:color w:val="404040"/>
          <w:sz w:val="17"/>
          <w:szCs w:val="17"/>
        </w:rPr>
        <w:t xml:space="preserve">Pour visualiser avant de poser : la vue « Tranche » montre les 4 couloirs et les escaliers ; le menu « Fiche » fait ressortir tous les onglets d’une liberté (par exemple la fiche 30 : 19 onglets, de l’art. 66 C. à la rétention administrative) ; « phares seuls » isole les 14 phares ; le survol d’un onglet affiche son intitulé, sa page, sa hauteur et le réflexe tiré de tes fiches. Le fichier fonctionne hors ligne.</w:t>
      </w:r>
    </w:p>
    <w:p>
      <w:pPr>
        <w:spacing w:after="60" w:before="160"/>
      </w:pPr>
      <w:r>
        <w:rPr>
          <w:b/>
          <w:bCs/>
          <w:color w:val="1F3864"/>
          <w:sz w:val="22"/>
          <w:szCs w:val="22"/>
        </w:rPr>
        <w:t xml:space="preserve">Ordre de pose conseillé</w:t>
      </w:r>
    </w:p>
    <w:p>
      <w:pPr>
        <w:spacing w:after="36"/>
        <w:ind w:left="300" w:hanging="260"/>
      </w:pPr>
      <w:r>
        <w:rPr>
          <w:b/>
          <w:bCs/>
          <w:color w:val="1F3864"/>
          <w:sz w:val="17"/>
          <w:szCs w:val="17"/>
        </w:rPr>
        <w:t xml:space="preserve">1. </w:t>
      </w:r>
      <w:r>
        <w:rPr>
          <w:color w:val="404040"/>
          <w:sz w:val="17"/>
          <w:szCs w:val="17"/>
        </w:rPr>
        <w:t xml:space="preserve">Gabarit : trace sur une bande de 24 cm les repères 8, 64, 120, 176 et 232 mm (limites des couloirs C1 à C4).</w:t>
      </w:r>
    </w:p>
    <w:p>
      <w:pPr>
        <w:spacing w:after="36"/>
        <w:ind w:left="300" w:hanging="260"/>
      </w:pPr>
      <w:r>
        <w:rPr>
          <w:b/>
          <w:bCs/>
          <w:color w:val="1F3864"/>
          <w:sz w:val="17"/>
          <w:szCs w:val="17"/>
        </w:rPr>
        <w:t xml:space="preserve">2. </w:t>
      </w:r>
      <w:r>
        <w:rPr>
          <w:color w:val="404040"/>
          <w:sz w:val="17"/>
          <w:szCs w:val="17"/>
        </w:rPr>
        <w:t xml:space="preserve">Pose les blocs dans l’ordre du livre (L1 → L17), et dans chaque bloc les onglets dans l’ordre des pages : chaque onglet descend du pas d’escalier indiqué dans l’en-tête du bloc.</w:t>
      </w:r>
    </w:p>
    <w:p>
      <w:pPr>
        <w:spacing w:after="36"/>
        <w:ind w:left="300" w:hanging="260"/>
      </w:pPr>
      <w:r>
        <w:rPr>
          <w:b/>
          <w:bCs/>
          <w:color w:val="1F3864"/>
          <w:sz w:val="17"/>
          <w:szCs w:val="17"/>
        </w:rPr>
        <w:t xml:space="preserve">3. </w:t>
      </w:r>
      <w:r>
        <w:rPr>
          <w:color w:val="404040"/>
          <w:sz w:val="17"/>
          <w:szCs w:val="17"/>
        </w:rPr>
        <w:t xml:space="preserve">Fais dépasser les 14 phares de 12 mm au lieu de 8.</w:t>
      </w:r>
    </w:p>
    <w:p>
      <w:pPr>
        <w:spacing w:after="36"/>
        <w:ind w:left="300" w:hanging="260"/>
      </w:pPr>
      <w:r>
        <w:rPr>
          <w:b/>
          <w:bCs/>
          <w:color w:val="1F3864"/>
          <w:sz w:val="17"/>
          <w:szCs w:val="17"/>
        </w:rPr>
        <w:t xml:space="preserve">4. </w:t>
      </w:r>
      <w:r>
        <w:rPr>
          <w:color w:val="404040"/>
          <w:sz w:val="17"/>
          <w:szCs w:val="17"/>
        </w:rPr>
        <w:t xml:space="preserve">Écris en haut de l’onglet (4 mm visibles) le texte de la colonne « À écrire » et, entre parenthèses, les numéros de fiche — si ton IEJ l’autorise.</w:t>
      </w:r>
    </w:p>
    <w:p>
      <w:pPr>
        <w:spacing w:after="36"/>
        <w:ind w:left="300" w:hanging="260"/>
      </w:pPr>
      <w:r>
        <w:rPr>
          <w:b/>
          <w:bCs/>
          <w:color w:val="1F3864"/>
          <w:sz w:val="17"/>
          <w:szCs w:val="17"/>
        </w:rPr>
        <w:t xml:space="preserve">5. </w:t>
      </w:r>
      <w:r>
        <w:rPr>
          <w:color w:val="404040"/>
          <w:sz w:val="17"/>
          <w:szCs w:val="17"/>
        </w:rPr>
        <w:t xml:space="preserve">Contrôle final : feuillette le livre fermé, côté tranche ; chaque couleur doit former une diagonale régulière dans son couloir, comme sur la vue « Tranche » du modèle 3D.</w:t>
      </w:r>
    </w:p>
    <w:p>
      <w:pPr>
        <w:spacing w:after="60" w:before="160"/>
      </w:pPr>
      <w:r>
        <w:rPr>
          <w:b/>
          <w:bCs/>
          <w:color w:val="1F3864"/>
          <w:sz w:val="20"/>
          <w:szCs w:val="20"/>
        </w:rPr>
        <w:t xml:space="preserve">Limites à connaître</w:t>
      </w:r>
    </w:p>
    <w:p>
      <w:pPr>
        <w:spacing w:after="36"/>
        <w:ind w:left="280" w:hanging="200"/>
      </w:pPr>
      <w:r>
        <w:rPr>
          <w:b/>
          <w:bCs/>
          <w:color w:val="1F3864"/>
          <w:sz w:val="17"/>
          <w:szCs w:val="17"/>
        </w:rPr>
        <w:t xml:space="preserve">▪ </w:t>
      </w:r>
      <w:r>
        <w:rPr>
          <w:b/>
          <w:bCs/>
          <w:sz w:val="17"/>
          <w:szCs w:val="17"/>
        </w:rPr>
        <w:t xml:space="preserve">Pages des articles. </w:t>
      </w:r>
      <w:r>
        <w:rPr>
          <w:color w:val="404040"/>
          <w:sz w:val="17"/>
          <w:szCs w:val="17"/>
        </w:rPr>
        <w:t xml:space="preserve">Seule la première page de chaque document est exacte (table des matières) ; les pages d’articles à l’intérieur d’un texte sont estimées (« ≈ p. »).</w:t>
      </w:r>
    </w:p>
    <w:p>
      <w:pPr>
        <w:spacing w:after="36"/>
        <w:ind w:left="280" w:hanging="200"/>
      </w:pPr>
      <w:r>
        <w:rPr>
          <w:b/>
          <w:bCs/>
          <w:color w:val="1F3864"/>
          <w:sz w:val="17"/>
          <w:szCs w:val="17"/>
        </w:rPr>
        <w:t xml:space="preserve">▪ </w:t>
      </w:r>
      <w:r>
        <w:rPr>
          <w:b/>
          <w:bCs/>
          <w:sz w:val="17"/>
          <w:szCs w:val="17"/>
        </w:rPr>
        <w:t xml:space="preserve">Mises à jour postérieures au recueil (mai 2026). </w:t>
      </w:r>
      <w:r>
        <w:rPr>
          <w:color w:val="404040"/>
          <w:sz w:val="17"/>
          <w:szCs w:val="17"/>
        </w:rPr>
        <w:t xml:space="preserve">Loi du 18 août 2026 sur l’aide à mourir (2026-910 DC) et loi du 26 mai 2026 sur les soins palliatifs : signalées sur l’onglet N°92.</w:t>
      </w:r>
    </w:p>
    <w:p>
      <w:pPr>
        <w:spacing w:after="36"/>
        <w:ind w:left="280" w:hanging="200"/>
      </w:pPr>
      <w:r>
        <w:rPr>
          <w:b/>
          <w:bCs/>
          <w:color w:val="1F3864"/>
          <w:sz w:val="17"/>
          <w:szCs w:val="17"/>
        </w:rPr>
        <w:t xml:space="preserve">▪ </w:t>
      </w:r>
      <w:r>
        <w:rPr>
          <w:b/>
          <w:bCs/>
          <w:sz w:val="17"/>
          <w:szCs w:val="17"/>
        </w:rPr>
        <w:t xml:space="preserve">Textes absents du recueil. </w:t>
      </w:r>
      <w:r>
        <w:rPr>
          <w:color w:val="404040"/>
          <w:sz w:val="17"/>
          <w:szCs w:val="17"/>
        </w:rPr>
        <w:t xml:space="preserve">Référé-liberté (L.521-2 CJA) et contrôle du juge administratif (fiches 18-19) : aucune page à onglet, décisions à citer de mémoire.</w:t>
      </w:r>
    </w:p>
    <w:sectPr>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2026-10-10T16:16:14.791Z</dcterms:created>
  <dcterms:modified xsi:type="dcterms:W3CDTF">2026-10-10T16:16:14.791Z</dcterms:modified>
</cp:coreProperties>
</file>

<file path=docProps/custom.xml><?xml version="1.0" encoding="utf-8"?>
<Properties xmlns="http://schemas.openxmlformats.org/officeDocument/2006/custom-properties" xmlns:vt="http://schemas.openxmlformats.org/officeDocument/2006/docPropsVTypes"/>
</file>