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1F3864"/>
          <w:sz w:val="32"/>
          <w:szCs w:val="32"/>
        </w:rPr>
        <w:t xml:space="preserve">Plan de pose des post-it — Oberdorff · VERSION B : selon le plan de ton cours Objectif Barreau</w:t>
      </w:r>
    </w:p>
    <w:p>
      <w:pPr>
        <w:spacing w:after="40"/>
      </w:pPr>
      <w:r>
        <w:rPr>
          <w:i/>
          <w:iCs/>
          <w:color w:val="595959"/>
          <w:sz w:val="19"/>
          <w:szCs w:val="19"/>
        </w:rPr>
        <w:t xml:space="preserve">Un bloc = un de tes 13 fichiers de fiches (Parties I à V, VI-A à VI-E, VII-A et VII-B, VIII) · à comparer avec la version A (plan du recueil)</w:t>
      </w:r>
    </w:p>
    <w:p>
      <w:pPr>
        <w:spacing w:after="40"/>
      </w:pPr>
      <w:r>
        <w:rPr>
          <w:color w:val="404040"/>
          <w:sz w:val="16"/>
          <w:szCs w:val="16"/>
        </w:rPr>
        <w:t xml:space="preserve">Mêmes 156 onglets que la version A, mêmes textes à écrire, mêmes pages, mêmes réflexes et mêmes 14 phares. Seule change l’organisation : chaque onglet prend la couleur et la bande du fichier de fiches auquel il appartient. Règle d’affectation : le premier numéro de fiche écrit sur l’onglet (celui que tu entoures). Exemple : « CEDH art. 8 (33·34) » va dans VI-C, « CHARTE art. 20–26 (54·55·56) » dans VIII.</w:t>
      </w:r>
    </w:p>
    <w:p>
      <w:pPr>
        <w:spacing w:after="60" w:before="140"/>
      </w:pPr>
      <w:r>
        <w:rPr>
          <w:b/>
          <w:bCs/>
          <w:color w:val="1F3864"/>
          <w:sz w:val="22"/>
          <w:szCs w:val="22"/>
        </w:rPr>
        <w:t xml:space="preserve">Pourquoi la version B occupe trois arêtes</w:t>
      </w:r>
    </w:p>
    <w:p>
      <w:pPr>
        <w:spacing w:after="40"/>
      </w:pPr>
      <w:r>
        <w:rPr>
          <w:b w:val="false"/>
          <w:bCs w:val="false"/>
          <w:color w:val="404040"/>
          <w:sz w:val="16"/>
          <w:szCs w:val="16"/>
        </w:rPr>
        <w:t xml:space="preserve">Dans la version A, les onglets d’un même bloc sont regroupés sur quelques dizaines de pages : un bloc ne revendique sa bande que localement, et une même hauteur peut resservir plus loin dans le livre. Dans la version B, chaque groupe de fiches a des onglets éparpillés dans tout le recueil (la Partie VI-D va de l’art. 9 CEDH, p. 34, à la loi de 1901, p. 1165) avec des concentrations là où plusieurs de ses textes se suivent. Chaque groupe a donc besoin de sa propre bande sur toute la hauteur du livre, assez large pour ses concentrations. Total des bandes nécessaires : 368 mm, pour 224 mm disponibles sur l’arête latérale. Comme convenu, les autres arêtes prennent le relais :</w:t>
      </w:r>
    </w:p>
    <w:p>
      <w:pPr>
        <w:spacing w:after="30"/>
        <w:ind w:left="280" w:hanging="200"/>
      </w:pPr>
      <w:r>
        <w:rPr>
          <w:b/>
          <w:bCs/>
          <w:color w:val="1F3864"/>
          <w:sz w:val="16"/>
          <w:szCs w:val="16"/>
        </w:rPr>
        <w:t xml:space="preserve">▪ </w:t>
      </w:r>
      <w:r>
        <w:rPr>
          <w:b/>
          <w:bCs/>
          <w:sz w:val="16"/>
          <w:szCs w:val="16"/>
        </w:rPr>
        <w:t xml:space="preserve">Arête LATÉRALE — Partie VI (droits civils et politiques, VI-A à VI-E). </w:t>
      </w:r>
      <w:r>
        <w:rPr>
          <w:color w:val="404040"/>
          <w:sz w:val="16"/>
          <w:szCs w:val="16"/>
        </w:rPr>
        <w:t xml:space="preserve">102 onglets, 212 mm de bandes sur 224 mm disponibles. Positions mesurées depuis le haut du livre.</w:t>
      </w:r>
    </w:p>
    <w:p>
      <w:pPr>
        <w:spacing w:after="30"/>
        <w:ind w:left="280" w:hanging="200"/>
      </w:pPr>
      <w:r>
        <w:rPr>
          <w:b/>
          <w:bCs/>
          <w:color w:val="1F3864"/>
          <w:sz w:val="16"/>
          <w:szCs w:val="16"/>
        </w:rPr>
        <w:t xml:space="preserve">▪ </w:t>
      </w:r>
      <w:r>
        <w:rPr>
          <w:b/>
          <w:bCs/>
          <w:sz w:val="16"/>
          <w:szCs w:val="16"/>
        </w:rPr>
        <w:t xml:space="preserve">Arête HAUTE (tête) — Parties I à V (notions, sources, mécanismes de protection). </w:t>
      </w:r>
      <w:r>
        <w:rPr>
          <w:color w:val="404040"/>
          <w:sz w:val="16"/>
          <w:szCs w:val="16"/>
        </w:rPr>
        <w:t xml:space="preserve">23 onglets, 88 mm sur 132 mm. Positions mesurées le long de la tête, depuis le coin de la tranche ; l’onglet dépasse vers le haut. On s’arrête à 20 mm du dos, là où le livre s’ouvre mal.</w:t>
      </w:r>
    </w:p>
    <w:p>
      <w:pPr>
        <w:spacing w:after="30"/>
        <w:ind w:left="280" w:hanging="200"/>
      </w:pPr>
      <w:r>
        <w:rPr>
          <w:b/>
          <w:bCs/>
          <w:color w:val="1F3864"/>
          <w:sz w:val="16"/>
          <w:szCs w:val="16"/>
        </w:rPr>
        <w:t xml:space="preserve">▪ </w:t>
      </w:r>
      <w:r>
        <w:rPr>
          <w:b/>
          <w:bCs/>
          <w:sz w:val="16"/>
          <w:szCs w:val="16"/>
        </w:rPr>
        <w:t xml:space="preserve">Arête BASSE (pied) — Parties VII et VIII (droits économiques et sociaux, égalité). </w:t>
      </w:r>
      <w:r>
        <w:rPr>
          <w:color w:val="404040"/>
          <w:sz w:val="16"/>
          <w:szCs w:val="16"/>
        </w:rPr>
        <w:t xml:space="preserve">31 onglets, 68 mm sur 132 mm. Mêmes repères qu’en tête, onglet dépassant vers le bas.</w:t>
      </w:r>
    </w:p>
    <w:p>
      <w:pPr>
        <w:spacing w:after="40"/>
      </w:pPr>
      <w:r>
        <w:rPr>
          <w:i/>
          <w:iCs/>
          <w:color w:val="595959"/>
          <w:sz w:val="16"/>
          <w:szCs w:val="16"/>
        </w:rPr>
        <w:t xml:space="preserve">Cette répartition suit ton plan : le cadre général du cours (Parties I à V) en haut, les droits civils et politiques sur la tranche, les droits économiques et sociaux et l’égalité en bas. L’arête d’un onglet te dit déjà dans quelle grande partie de ton cours tu es ; sa couleur précise le fichier de fiches.</w:t>
      </w:r>
    </w:p>
    <w:p>
      <w:pPr>
        <w:spacing w:after="60" w:before="140"/>
      </w:pPr>
      <w:r>
        <w:rPr>
          <w:b/>
          <w:bCs/>
          <w:color w:val="1F3864"/>
          <w:sz w:val="22"/>
          <w:szCs w:val="22"/>
        </w:rPr>
        <w:t xml:space="preserve">Les 13 groupes</w:t>
      </w:r>
    </w:p>
    <w:tbl>
      <w:tblPr>
        <w:tblW w:type="dxa" w:w="15496"/>
        <w:tblBorders>
          <w:top w:val="single" w:color="BFBFBF" w:sz="2"/>
          <w:left w:val="single" w:color="BFBFBF" w:sz="2"/>
          <w:bottom w:val="single" w:color="BFBFBF" w:sz="2"/>
          <w:right w:val="single" w:color="BFBFBF" w:sz="2"/>
          <w:insideH w:val="single" w:color="D9D9D9" w:sz="2"/>
          <w:insideV w:val="single" w:color="BFBFBF" w:sz="2"/>
        </w:tblBorders>
      </w:tblPr>
      <w:tblGrid>
        <w:gridCol w:w="700"/>
        <w:gridCol w:w="3500"/>
        <w:gridCol w:w="1300"/>
        <w:gridCol w:w="1100"/>
        <w:gridCol w:w="1700"/>
        <w:gridCol w:w="700"/>
        <w:gridCol w:w="800"/>
        <w:gridCol w:w="700"/>
        <w:gridCol w:w="4996"/>
      </w:tblGrid>
      <w:tr>
        <w:trPr>
          <w:tblHeader/>
        </w:trPr>
        <w:tc>
          <w:tcPr>
            <w:tcW w:type="dxa" w:w="700"/>
            <w:tcBorders>
              <w:top w:val="single" w:color="BFBFBF" w:sz="2"/>
              <w:left w:val="single" w:color="BFBFBF" w:sz="2"/>
              <w:bottom w:val="single" w:color="BFBFBF" w:sz="2"/>
              <w:right w:val="single" w:color="BFBFBF" w:sz="2"/>
            </w:tcBorders>
            <w:shd w:fill="1F3864" w:color="auto" w:val="clear"/>
          </w:tcPr>
          <w:p>
            <w:pPr>
              <w:spacing w:after="16" w:before="16"/>
            </w:pPr>
            <w:r>
              <w:rPr>
                <w:b/>
                <w:bCs/>
                <w:i w:val="false"/>
                <w:iCs w:val="false"/>
                <w:color w:val="FFFFFF"/>
                <w:sz w:val="14"/>
                <w:szCs w:val="14"/>
              </w:rPr>
              <w:t xml:space="preserve">Groupe</w:t>
            </w:r>
          </w:p>
        </w:tc>
        <w:tc>
          <w:tcPr>
            <w:tcW w:type="dxa" w:w="3500"/>
            <w:tcBorders>
              <w:top w:val="single" w:color="BFBFBF" w:sz="2"/>
              <w:left w:val="single" w:color="BFBFBF" w:sz="2"/>
              <w:bottom w:val="single" w:color="BFBFBF" w:sz="2"/>
              <w:right w:val="single" w:color="BFBFBF" w:sz="2"/>
            </w:tcBorders>
            <w:shd w:fill="1F3864" w:color="auto" w:val="clear"/>
          </w:tcPr>
          <w:p>
            <w:pPr>
              <w:spacing w:after="16" w:before="16"/>
            </w:pPr>
            <w:r>
              <w:rPr>
                <w:b/>
                <w:bCs/>
                <w:i w:val="false"/>
                <w:iCs w:val="false"/>
                <w:color w:val="FFFFFF"/>
                <w:sz w:val="14"/>
                <w:szCs w:val="14"/>
              </w:rPr>
              <w:t xml:space="preserve">Partie de ton cours</w:t>
            </w:r>
          </w:p>
        </w:tc>
        <w:tc>
          <w:tcPr>
            <w:tcW w:type="dxa" w:w="1300"/>
            <w:tcBorders>
              <w:top w:val="single" w:color="BFBFBF" w:sz="2"/>
              <w:left w:val="single" w:color="BFBFBF" w:sz="2"/>
              <w:bottom w:val="single" w:color="BFBFBF" w:sz="2"/>
              <w:right w:val="single" w:color="BFBFBF" w:sz="2"/>
            </w:tcBorders>
            <w:shd w:fill="1F3864" w:color="auto" w:val="clear"/>
          </w:tcPr>
          <w:p>
            <w:pPr>
              <w:spacing w:after="16" w:before="16"/>
            </w:pPr>
            <w:r>
              <w:rPr>
                <w:b/>
                <w:bCs/>
                <w:i w:val="false"/>
                <w:iCs w:val="false"/>
                <w:color w:val="FFFFFF"/>
                <w:sz w:val="14"/>
                <w:szCs w:val="14"/>
              </w:rPr>
              <w:t xml:space="preserve">Couleur</w:t>
            </w:r>
          </w:p>
        </w:tc>
        <w:tc>
          <w:tcPr>
            <w:tcW w:type="dxa" w:w="1100"/>
            <w:tcBorders>
              <w:top w:val="single" w:color="BFBFBF" w:sz="2"/>
              <w:left w:val="single" w:color="BFBFBF" w:sz="2"/>
              <w:bottom w:val="single" w:color="BFBFBF" w:sz="2"/>
              <w:right w:val="single" w:color="BFBFBF" w:sz="2"/>
            </w:tcBorders>
            <w:shd w:fill="1F3864" w:color="auto" w:val="clear"/>
          </w:tcPr>
          <w:p>
            <w:pPr>
              <w:spacing w:after="16" w:before="16"/>
            </w:pPr>
            <w:r>
              <w:rPr>
                <w:b/>
                <w:bCs/>
                <w:i w:val="false"/>
                <w:iCs w:val="false"/>
                <w:color w:val="FFFFFF"/>
                <w:sz w:val="14"/>
                <w:szCs w:val="14"/>
              </w:rPr>
              <w:t xml:space="preserve">Arête</w:t>
            </w:r>
          </w:p>
        </w:tc>
        <w:tc>
          <w:tcPr>
            <w:tcW w:type="dxa" w:w="1700"/>
            <w:tcBorders>
              <w:top w:val="single" w:color="BFBFBF" w:sz="2"/>
              <w:left w:val="single" w:color="BFBFBF" w:sz="2"/>
              <w:bottom w:val="single" w:color="BFBFBF" w:sz="2"/>
              <w:right w:val="single" w:color="BFBFBF" w:sz="2"/>
            </w:tcBorders>
            <w:shd w:fill="1F3864" w:color="auto" w:val="clear"/>
          </w:tcPr>
          <w:p>
            <w:pPr>
              <w:spacing w:after="16" w:before="16"/>
            </w:pPr>
            <w:r>
              <w:rPr>
                <w:b/>
                <w:bCs/>
                <w:i w:val="false"/>
                <w:iCs w:val="false"/>
                <w:color w:val="FFFFFF"/>
                <w:sz w:val="14"/>
                <w:szCs w:val="14"/>
              </w:rPr>
              <w:t xml:space="preserve">Bande (mm)</w:t>
            </w:r>
          </w:p>
        </w:tc>
        <w:tc>
          <w:tcPr>
            <w:tcW w:type="dxa" w:w="700"/>
            <w:tcBorders>
              <w:top w:val="single" w:color="BFBFBF" w:sz="2"/>
              <w:left w:val="single" w:color="BFBFBF" w:sz="2"/>
              <w:bottom w:val="single" w:color="BFBFBF" w:sz="2"/>
              <w:right w:val="single" w:color="BFBFBF" w:sz="2"/>
            </w:tcBorders>
            <w:shd w:fill="1F3864" w:color="auto" w:val="clear"/>
          </w:tcPr>
          <w:p>
            <w:pPr>
              <w:spacing w:after="16" w:before="16"/>
            </w:pPr>
            <w:r>
              <w:rPr>
                <w:b/>
                <w:bCs/>
                <w:i w:val="false"/>
                <w:iCs w:val="false"/>
                <w:color w:val="FFFFFF"/>
                <w:sz w:val="14"/>
                <w:szCs w:val="14"/>
              </w:rPr>
              <w:t xml:space="preserve">Pas</w:t>
            </w:r>
          </w:p>
        </w:tc>
        <w:tc>
          <w:tcPr>
            <w:tcW w:type="dxa" w:w="800"/>
            <w:tcBorders>
              <w:top w:val="single" w:color="BFBFBF" w:sz="2"/>
              <w:left w:val="single" w:color="BFBFBF" w:sz="2"/>
              <w:bottom w:val="single" w:color="BFBFBF" w:sz="2"/>
              <w:right w:val="single" w:color="BFBFBF" w:sz="2"/>
            </w:tcBorders>
            <w:shd w:fill="1F3864" w:color="auto" w:val="clear"/>
          </w:tcPr>
          <w:p>
            <w:pPr>
              <w:spacing w:after="16" w:before="16"/>
            </w:pPr>
            <w:r>
              <w:rPr>
                <w:b/>
                <w:bCs/>
                <w:i w:val="false"/>
                <w:iCs w:val="false"/>
                <w:color w:val="FFFFFF"/>
                <w:sz w:val="14"/>
                <w:szCs w:val="14"/>
              </w:rPr>
              <w:t xml:space="preserve">Ongl.</w:t>
            </w:r>
          </w:p>
        </w:tc>
        <w:tc>
          <w:tcPr>
            <w:tcW w:type="dxa" w:w="700"/>
            <w:tcBorders>
              <w:top w:val="single" w:color="BFBFBF" w:sz="2"/>
              <w:left w:val="single" w:color="BFBFBF" w:sz="2"/>
              <w:bottom w:val="single" w:color="BFBFBF" w:sz="2"/>
              <w:right w:val="single" w:color="BFBFBF" w:sz="2"/>
            </w:tcBorders>
            <w:shd w:fill="1F3864" w:color="auto" w:val="clear"/>
          </w:tcPr>
          <w:p>
            <w:pPr>
              <w:spacing w:after="16" w:before="16"/>
            </w:pPr>
            <w:r>
              <w:rPr>
                <w:b/>
                <w:bCs/>
                <w:i w:val="false"/>
                <w:iCs w:val="false"/>
                <w:color w:val="FFFFFF"/>
                <w:sz w:val="14"/>
                <w:szCs w:val="14"/>
              </w:rPr>
              <w:t xml:space="preserve">Créneaux</w:t>
            </w:r>
          </w:p>
        </w:tc>
        <w:tc>
          <w:tcPr>
            <w:tcW w:type="dxa" w:w="4996"/>
            <w:tcBorders>
              <w:top w:val="single" w:color="BFBFBF" w:sz="2"/>
              <w:left w:val="single" w:color="BFBFBF" w:sz="2"/>
              <w:bottom w:val="single" w:color="BFBFBF" w:sz="2"/>
              <w:right w:val="single" w:color="BFBFBF" w:sz="2"/>
            </w:tcBorders>
            <w:shd w:fill="1F3864" w:color="auto" w:val="clear"/>
          </w:tcPr>
          <w:p>
            <w:pPr>
              <w:spacing w:after="16" w:before="16"/>
            </w:pPr>
            <w:r>
              <w:rPr>
                <w:b/>
                <w:bCs/>
                <w:i w:val="false"/>
                <w:iCs w:val="false"/>
                <w:color w:val="FFFFFF"/>
                <w:sz w:val="14"/>
                <w:szCs w:val="14"/>
              </w:rPr>
              <w:t xml:space="preserve">Tes fiches</w:t>
            </w:r>
          </w:p>
        </w:tc>
      </w:tr>
      <w:tr>
        <w:tc>
          <w:tcPr>
            <w:tcW w:type="dxa" w:w="700"/>
            <w:tcBorders>
              <w:top w:val="single" w:color="BFBFBF" w:sz="2"/>
              <w:left w:val="single" w:color="BFBFBF" w:sz="2"/>
              <w:bottom w:val="single" w:color="BFBFBF" w:sz="2"/>
              <w:right w:val="single" w:color="BFBFBF" w:sz="2"/>
            </w:tcBorders>
            <w:shd w:fill="EDEDED" w:color="auto" w:val="clear"/>
          </w:tcPr>
          <w:p>
            <w:pPr>
              <w:spacing w:after="16" w:before="16"/>
              <w:jc w:val="center"/>
            </w:pPr>
            <w:r>
              <w:rPr>
                <w:b/>
                <w:bCs/>
                <w:i w:val="false"/>
                <w:iCs w:val="false"/>
                <w:color w:val="6E6E6E"/>
                <w:sz w:val="15"/>
                <w:szCs w:val="15"/>
              </w:rPr>
              <w:t xml:space="preserve">I</w:t>
            </w:r>
          </w:p>
        </w:tc>
        <w:tc>
          <w:tcPr>
            <w:tcW w:type="dxa" w:w="35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Éléments introductifs</w:t>
            </w:r>
          </w:p>
        </w:tc>
        <w:tc>
          <w:tcPr>
            <w:tcW w:type="dxa" w:w="1300"/>
            <w:tcBorders>
              <w:top w:val="single" w:color="BFBFBF" w:sz="2"/>
              <w:left w:val="single" w:color="BFBFBF" w:sz="2"/>
              <w:bottom w:val="single" w:color="BFBFBF" w:sz="2"/>
              <w:right w:val="single" w:color="BFBFBF" w:sz="2"/>
            </w:tcBorders>
          </w:tcPr>
          <w:p>
            <w:pPr>
              <w:spacing w:after="16" w:before="16"/>
            </w:pPr>
            <w:r>
              <w:rPr>
                <w:b/>
                <w:bCs/>
                <w:i w:val="false"/>
                <w:iCs w:val="false"/>
                <w:color w:val="6E6E6E"/>
                <w:sz w:val="13"/>
                <w:szCs w:val="13"/>
              </w:rPr>
              <w:t xml:space="preserve">GRIS</w:t>
            </w:r>
          </w:p>
        </w:tc>
        <w:tc>
          <w:tcPr>
            <w:tcW w:type="dxa" w:w="11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33333"/>
                <w:sz w:val="13"/>
                <w:szCs w:val="13"/>
              </w:rPr>
              <w:t xml:space="preserve">HAUTE</w:t>
            </w:r>
          </w:p>
        </w:tc>
        <w:tc>
          <w:tcPr>
            <w:tcW w:type="dxa" w:w="17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3"/>
                <w:szCs w:val="13"/>
              </w:rPr>
              <w:t xml:space="preserve">8 → 37,6</w:t>
            </w:r>
          </w:p>
        </w:tc>
        <w:tc>
          <w:tcPr>
            <w:tcW w:type="dxa" w:w="7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3"/>
                <w:szCs w:val="13"/>
              </w:rPr>
              <w:t xml:space="preserve">8,8</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5</w:t>
            </w:r>
          </w:p>
        </w:tc>
        <w:tc>
          <w:tcPr>
            <w:tcW w:type="dxa" w:w="7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3</w:t>
            </w:r>
          </w:p>
        </w:tc>
        <w:tc>
          <w:tcPr>
            <w:tcW w:type="dxa" w:w="4996"/>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1 notions (0) · 2 origines philosophiques et religie (0) · 3 origines textuelles (0) · 4 classifications (0) · 5 principes directeurs (0) · 6 régimes (0) · 7 limitations et états d’exception (5) · 8 crise des droits humains et l’état (0)</w:t>
            </w:r>
          </w:p>
        </w:tc>
      </w:tr>
      <w:tr>
        <w:tc>
          <w:tcPr>
            <w:tcW w:type="dxa" w:w="700"/>
            <w:tcBorders>
              <w:top w:val="single" w:color="BFBFBF" w:sz="2"/>
              <w:left w:val="single" w:color="BFBFBF" w:sz="2"/>
              <w:bottom w:val="single" w:color="BFBFBF" w:sz="2"/>
              <w:right w:val="single" w:color="BFBFBF" w:sz="2"/>
            </w:tcBorders>
            <w:shd w:fill="DDEBF7" w:color="auto" w:val="clear"/>
          </w:tcPr>
          <w:p>
            <w:pPr>
              <w:spacing w:after="16" w:before="16"/>
              <w:jc w:val="center"/>
            </w:pPr>
            <w:r>
              <w:rPr>
                <w:b/>
                <w:bCs/>
                <w:i w:val="false"/>
                <w:iCs w:val="false"/>
                <w:color w:val="1F4E79"/>
                <w:sz w:val="15"/>
                <w:szCs w:val="15"/>
              </w:rPr>
              <w:t xml:space="preserve">II</w:t>
            </w:r>
          </w:p>
        </w:tc>
        <w:tc>
          <w:tcPr>
            <w:tcW w:type="dxa" w:w="35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Sources internes</w:t>
            </w:r>
          </w:p>
        </w:tc>
        <w:tc>
          <w:tcPr>
            <w:tcW w:type="dxa" w:w="1300"/>
            <w:tcBorders>
              <w:top w:val="single" w:color="BFBFBF" w:sz="2"/>
              <w:left w:val="single" w:color="BFBFBF" w:sz="2"/>
              <w:bottom w:val="single" w:color="BFBFBF" w:sz="2"/>
              <w:right w:val="single" w:color="BFBFBF" w:sz="2"/>
            </w:tcBorders>
          </w:tcPr>
          <w:p>
            <w:pPr>
              <w:spacing w:after="16" w:before="16"/>
            </w:pPr>
            <w:r>
              <w:rPr>
                <w:b/>
                <w:bCs/>
                <w:i w:val="false"/>
                <w:iCs w:val="false"/>
                <w:color w:val="1F4E79"/>
                <w:sz w:val="13"/>
                <w:szCs w:val="13"/>
              </w:rPr>
              <w:t xml:space="preserve">BLEU MARINE</w:t>
            </w:r>
          </w:p>
        </w:tc>
        <w:tc>
          <w:tcPr>
            <w:tcW w:type="dxa" w:w="11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33333"/>
                <w:sz w:val="13"/>
                <w:szCs w:val="13"/>
              </w:rPr>
              <w:t xml:space="preserve">HAUTE</w:t>
            </w:r>
          </w:p>
        </w:tc>
        <w:tc>
          <w:tcPr>
            <w:tcW w:type="dxa" w:w="17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3"/>
                <w:szCs w:val="13"/>
              </w:rPr>
              <w:t xml:space="preserve">37,6 → 65,2</w:t>
            </w:r>
          </w:p>
        </w:tc>
        <w:tc>
          <w:tcPr>
            <w:tcW w:type="dxa" w:w="7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3"/>
                <w:szCs w:val="13"/>
              </w:rPr>
              <w:t xml:space="preserve">7,8</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4</w:t>
            </w:r>
          </w:p>
        </w:tc>
        <w:tc>
          <w:tcPr>
            <w:tcW w:type="dxa" w:w="7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3</w:t>
            </w:r>
          </w:p>
        </w:tc>
        <w:tc>
          <w:tcPr>
            <w:tcW w:type="dxa" w:w="4996"/>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9 sources constitutionnelles (1) · 10 bloc de légalité (1) · 11 règlement et les libertés (1)</w:t>
            </w:r>
          </w:p>
        </w:tc>
      </w:tr>
      <w:tr>
        <w:tc>
          <w:tcPr>
            <w:tcW w:type="dxa" w:w="700"/>
            <w:tcBorders>
              <w:top w:val="single" w:color="BFBFBF" w:sz="2"/>
              <w:left w:val="single" w:color="BFBFBF" w:sz="2"/>
              <w:bottom w:val="single" w:color="BFBFBF" w:sz="2"/>
              <w:right w:val="single" w:color="BFBFBF" w:sz="2"/>
            </w:tcBorders>
            <w:shd w:fill="D6F0EE" w:color="auto" w:val="clear"/>
          </w:tcPr>
          <w:p>
            <w:pPr>
              <w:spacing w:after="16" w:before="16"/>
              <w:jc w:val="center"/>
            </w:pPr>
            <w:r>
              <w:rPr>
                <w:b/>
                <w:bCs/>
                <w:i w:val="false"/>
                <w:iCs w:val="false"/>
                <w:color w:val="2E938A"/>
                <w:sz w:val="15"/>
                <w:szCs w:val="15"/>
              </w:rPr>
              <w:t xml:space="preserve">III</w:t>
            </w:r>
          </w:p>
        </w:tc>
        <w:tc>
          <w:tcPr>
            <w:tcW w:type="dxa" w:w="35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Sources externes</w:t>
            </w:r>
          </w:p>
        </w:tc>
        <w:tc>
          <w:tcPr>
            <w:tcW w:type="dxa" w:w="1300"/>
            <w:tcBorders>
              <w:top w:val="single" w:color="BFBFBF" w:sz="2"/>
              <w:left w:val="single" w:color="BFBFBF" w:sz="2"/>
              <w:bottom w:val="single" w:color="BFBFBF" w:sz="2"/>
              <w:right w:val="single" w:color="BFBFBF" w:sz="2"/>
            </w:tcBorders>
          </w:tcPr>
          <w:p>
            <w:pPr>
              <w:spacing w:after="16" w:before="16"/>
            </w:pPr>
            <w:r>
              <w:rPr>
                <w:b/>
                <w:bCs/>
                <w:i w:val="false"/>
                <w:iCs w:val="false"/>
                <w:color w:val="2E938A"/>
                <w:sz w:val="13"/>
                <w:szCs w:val="13"/>
              </w:rPr>
              <w:t xml:space="preserve">TURQUOISE</w:t>
            </w:r>
          </w:p>
        </w:tc>
        <w:tc>
          <w:tcPr>
            <w:tcW w:type="dxa" w:w="11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33333"/>
                <w:sz w:val="13"/>
                <w:szCs w:val="13"/>
              </w:rPr>
              <w:t xml:space="preserve">HAUTE</w:t>
            </w:r>
          </w:p>
        </w:tc>
        <w:tc>
          <w:tcPr>
            <w:tcW w:type="dxa" w:w="17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3"/>
                <w:szCs w:val="13"/>
              </w:rPr>
              <w:t xml:space="preserve">65,2 → 92,7</w:t>
            </w:r>
          </w:p>
        </w:tc>
        <w:tc>
          <w:tcPr>
            <w:tcW w:type="dxa" w:w="7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3"/>
                <w:szCs w:val="13"/>
              </w:rPr>
              <w:t xml:space="preserve">9</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6</w:t>
            </w:r>
          </w:p>
        </w:tc>
        <w:tc>
          <w:tcPr>
            <w:tcW w:type="dxa" w:w="7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2</w:t>
            </w:r>
          </w:p>
        </w:tc>
        <w:tc>
          <w:tcPr>
            <w:tcW w:type="dxa" w:w="4996"/>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12 internationalisation du droit des  (1) · 13 droit onusien (2) · 14 conseil de l’europe et la conventi (0) · 15 droit de l’union européenne (3)</w:t>
            </w:r>
          </w:p>
        </w:tc>
      </w:tr>
      <w:tr>
        <w:tc>
          <w:tcPr>
            <w:tcW w:type="dxa" w:w="700"/>
            <w:tcBorders>
              <w:top w:val="single" w:color="BFBFBF" w:sz="2"/>
              <w:left w:val="single" w:color="BFBFBF" w:sz="2"/>
              <w:bottom w:val="single" w:color="BFBFBF" w:sz="2"/>
              <w:right w:val="single" w:color="BFBFBF" w:sz="2"/>
            </w:tcBorders>
            <w:shd w:fill="E6E0F0" w:color="auto" w:val="clear"/>
          </w:tcPr>
          <w:p>
            <w:pPr>
              <w:spacing w:after="16" w:before="16"/>
              <w:jc w:val="center"/>
            </w:pPr>
            <w:r>
              <w:rPr>
                <w:b/>
                <w:bCs/>
                <w:i w:val="false"/>
                <w:iCs w:val="false"/>
                <w:color w:val="7030A0"/>
                <w:sz w:val="15"/>
                <w:szCs w:val="15"/>
              </w:rPr>
              <w:t xml:space="preserve">IV</w:t>
            </w:r>
          </w:p>
        </w:tc>
        <w:tc>
          <w:tcPr>
            <w:tcW w:type="dxa" w:w="35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Mécanismes internes de protection</w:t>
            </w:r>
          </w:p>
        </w:tc>
        <w:tc>
          <w:tcPr>
            <w:tcW w:type="dxa" w:w="1300"/>
            <w:tcBorders>
              <w:top w:val="single" w:color="BFBFBF" w:sz="2"/>
              <w:left w:val="single" w:color="BFBFBF" w:sz="2"/>
              <w:bottom w:val="single" w:color="BFBFBF" w:sz="2"/>
              <w:right w:val="single" w:color="BFBFBF" w:sz="2"/>
            </w:tcBorders>
          </w:tcPr>
          <w:p>
            <w:pPr>
              <w:spacing w:after="16" w:before="16"/>
            </w:pPr>
            <w:r>
              <w:rPr>
                <w:b/>
                <w:bCs/>
                <w:i w:val="false"/>
                <w:iCs w:val="false"/>
                <w:color w:val="7030A0"/>
                <w:sz w:val="13"/>
                <w:szCs w:val="13"/>
              </w:rPr>
              <w:t xml:space="preserve">VIOLET</w:t>
            </w:r>
          </w:p>
        </w:tc>
        <w:tc>
          <w:tcPr>
            <w:tcW w:type="dxa" w:w="11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33333"/>
                <w:sz w:val="13"/>
                <w:szCs w:val="13"/>
              </w:rPr>
              <w:t xml:space="preserve">HAUTE</w:t>
            </w:r>
          </w:p>
        </w:tc>
        <w:tc>
          <w:tcPr>
            <w:tcW w:type="dxa" w:w="17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3"/>
                <w:szCs w:val="13"/>
              </w:rPr>
              <w:t xml:space="preserve">92,7 → 118,3</w:t>
            </w:r>
          </w:p>
        </w:tc>
        <w:tc>
          <w:tcPr>
            <w:tcW w:type="dxa" w:w="7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3"/>
                <w:szCs w:val="13"/>
              </w:rPr>
              <w:t xml:space="preserve">9</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5</w:t>
            </w:r>
          </w:p>
        </w:tc>
        <w:tc>
          <w:tcPr>
            <w:tcW w:type="dxa" w:w="7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2</w:t>
            </w:r>
          </w:p>
        </w:tc>
        <w:tc>
          <w:tcPr>
            <w:tcW w:type="dxa" w:w="4996"/>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16 protection par le juge constitutio (1) · 17 protection par le juge judiciaire (1) · 18 protection par le juge administrat (0) · 19 dérogations au principe de séparat (0) · 20 protection administrative (3)</w:t>
            </w:r>
          </w:p>
        </w:tc>
      </w:tr>
      <w:tr>
        <w:tc>
          <w:tcPr>
            <w:tcW w:type="dxa" w:w="700"/>
            <w:tcBorders>
              <w:top w:val="single" w:color="BFBFBF" w:sz="2"/>
              <w:left w:val="single" w:color="BFBFBF" w:sz="2"/>
              <w:bottom w:val="single" w:color="BFBFBF" w:sz="2"/>
              <w:right w:val="single" w:color="BFBFBF" w:sz="2"/>
            </w:tcBorders>
            <w:shd w:fill="FCE1DA" w:color="auto" w:val="clear"/>
          </w:tcPr>
          <w:p>
            <w:pPr>
              <w:spacing w:after="16" w:before="16"/>
              <w:jc w:val="center"/>
            </w:pPr>
            <w:r>
              <w:rPr>
                <w:b/>
                <w:bCs/>
                <w:i w:val="false"/>
                <w:iCs w:val="false"/>
                <w:color w:val="E0684B"/>
                <w:sz w:val="15"/>
                <w:szCs w:val="15"/>
              </w:rPr>
              <w:t xml:space="preserve">V</w:t>
            </w:r>
          </w:p>
        </w:tc>
        <w:tc>
          <w:tcPr>
            <w:tcW w:type="dxa" w:w="35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Mécanismes internationaux</w:t>
            </w:r>
          </w:p>
        </w:tc>
        <w:tc>
          <w:tcPr>
            <w:tcW w:type="dxa" w:w="1300"/>
            <w:tcBorders>
              <w:top w:val="single" w:color="BFBFBF" w:sz="2"/>
              <w:left w:val="single" w:color="BFBFBF" w:sz="2"/>
              <w:bottom w:val="single" w:color="BFBFBF" w:sz="2"/>
              <w:right w:val="single" w:color="BFBFBF" w:sz="2"/>
            </w:tcBorders>
          </w:tcPr>
          <w:p>
            <w:pPr>
              <w:spacing w:after="16" w:before="16"/>
            </w:pPr>
            <w:r>
              <w:rPr>
                <w:b/>
                <w:bCs/>
                <w:i w:val="false"/>
                <w:iCs w:val="false"/>
                <w:color w:val="E0684B"/>
                <w:sz w:val="13"/>
                <w:szCs w:val="13"/>
              </w:rPr>
              <w:t xml:space="preserve">CORAIL</w:t>
            </w:r>
          </w:p>
        </w:tc>
        <w:tc>
          <w:tcPr>
            <w:tcW w:type="dxa" w:w="11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33333"/>
                <w:sz w:val="13"/>
                <w:szCs w:val="13"/>
              </w:rPr>
              <w:t xml:space="preserve">HAUTE</w:t>
            </w:r>
          </w:p>
        </w:tc>
        <w:tc>
          <w:tcPr>
            <w:tcW w:type="dxa" w:w="17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3"/>
                <w:szCs w:val="13"/>
              </w:rPr>
              <w:t xml:space="preserve">118,3 → 140</w:t>
            </w:r>
          </w:p>
        </w:tc>
        <w:tc>
          <w:tcPr>
            <w:tcW w:type="dxa" w:w="7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3"/>
                <w:szCs w:val="13"/>
              </w:rPr>
              <w:t xml:space="preserve">9</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3</w:t>
            </w:r>
          </w:p>
        </w:tc>
        <w:tc>
          <w:tcPr>
            <w:tcW w:type="dxa" w:w="7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2</w:t>
            </w:r>
          </w:p>
        </w:tc>
        <w:tc>
          <w:tcPr>
            <w:tcW w:type="dxa" w:w="4996"/>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21 comités onusiens (1) · 22 cour européenne des droits de l’ho (2) · 23 cour de justice de l’union europée (0) · 24 autres juridictions régionales (0) · 25 protection politique et administra (0)</w:t>
            </w:r>
          </w:p>
        </w:tc>
      </w:tr>
      <w:tr>
        <w:tc>
          <w:tcPr>
            <w:tcW w:type="dxa" w:w="700"/>
            <w:tcBorders>
              <w:top w:val="single" w:color="BFBFBF" w:sz="2"/>
              <w:left w:val="single" w:color="BFBFBF" w:sz="2"/>
              <w:bottom w:val="single" w:color="BFBFBF" w:sz="2"/>
              <w:right w:val="single" w:color="BFBFBF" w:sz="2"/>
            </w:tcBorders>
            <w:shd w:fill="FBDDDD" w:color="auto" w:val="clear"/>
          </w:tcPr>
          <w:p>
            <w:pPr>
              <w:spacing w:after="16" w:before="16"/>
              <w:jc w:val="center"/>
            </w:pPr>
            <w:r>
              <w:rPr>
                <w:b/>
                <w:bCs/>
                <w:i w:val="false"/>
                <w:iCs w:val="false"/>
                <w:color w:val="C0504D"/>
                <w:sz w:val="15"/>
                <w:szCs w:val="15"/>
              </w:rPr>
              <w:t xml:space="preserve">VI-A</w:t>
            </w:r>
          </w:p>
        </w:tc>
        <w:tc>
          <w:tcPr>
            <w:tcW w:type="dxa" w:w="35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Vie, intégrité, torture, esclavage</w:t>
            </w:r>
          </w:p>
        </w:tc>
        <w:tc>
          <w:tcPr>
            <w:tcW w:type="dxa" w:w="1300"/>
            <w:tcBorders>
              <w:top w:val="single" w:color="BFBFBF" w:sz="2"/>
              <w:left w:val="single" w:color="BFBFBF" w:sz="2"/>
              <w:bottom w:val="single" w:color="BFBFBF" w:sz="2"/>
              <w:right w:val="single" w:color="BFBFBF" w:sz="2"/>
            </w:tcBorders>
          </w:tcPr>
          <w:p>
            <w:pPr>
              <w:spacing w:after="16" w:before="16"/>
            </w:pPr>
            <w:r>
              <w:rPr>
                <w:b/>
                <w:bCs/>
                <w:i w:val="false"/>
                <w:iCs w:val="false"/>
                <w:color w:val="C0504D"/>
                <w:sz w:val="13"/>
                <w:szCs w:val="13"/>
              </w:rPr>
              <w:t xml:space="preserve">ROUGE</w:t>
            </w:r>
          </w:p>
        </w:tc>
        <w:tc>
          <w:tcPr>
            <w:tcW w:type="dxa" w:w="11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33333"/>
                <w:sz w:val="13"/>
                <w:szCs w:val="13"/>
              </w:rPr>
              <w:t xml:space="preserve">LATÉRALE</w:t>
            </w:r>
          </w:p>
        </w:tc>
        <w:tc>
          <w:tcPr>
            <w:tcW w:type="dxa" w:w="17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3"/>
                <w:szCs w:val="13"/>
              </w:rPr>
              <w:t xml:space="preserve">8 → 50,8</w:t>
            </w:r>
          </w:p>
        </w:tc>
        <w:tc>
          <w:tcPr>
            <w:tcW w:type="dxa" w:w="7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3"/>
                <w:szCs w:val="13"/>
              </w:rPr>
              <w:t xml:space="preserve">4,4</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24</w:t>
            </w:r>
          </w:p>
        </w:tc>
        <w:tc>
          <w:tcPr>
            <w:tcW w:type="dxa" w:w="7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8</w:t>
            </w:r>
          </w:p>
        </w:tc>
        <w:tc>
          <w:tcPr>
            <w:tcW w:type="dxa" w:w="4996"/>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26 droit à la vie (7) · 27 droit à l’intégrité de la personne (6) · 28 interdiction de la torture et des  (6) · 29 interdiction de l’esclavage, de la (5)</w:t>
            </w:r>
          </w:p>
        </w:tc>
      </w:tr>
      <w:tr>
        <w:tc>
          <w:tcPr>
            <w:tcW w:type="dxa" w:w="700"/>
            <w:tcBorders>
              <w:top w:val="single" w:color="BFBFBF" w:sz="2"/>
              <w:left w:val="single" w:color="BFBFBF" w:sz="2"/>
              <w:bottom w:val="single" w:color="BFBFBF" w:sz="2"/>
              <w:right w:val="single" w:color="BFBFBF" w:sz="2"/>
            </w:tcBorders>
            <w:shd w:fill="FCE4D6" w:color="auto" w:val="clear"/>
          </w:tcPr>
          <w:p>
            <w:pPr>
              <w:spacing w:after="16" w:before="16"/>
              <w:jc w:val="center"/>
            </w:pPr>
            <w:r>
              <w:rPr>
                <w:b/>
                <w:bCs/>
                <w:i w:val="false"/>
                <w:iCs w:val="false"/>
                <w:color w:val="C55A11"/>
                <w:sz w:val="15"/>
                <w:szCs w:val="15"/>
              </w:rPr>
              <w:t xml:space="preserve">VI-B</w:t>
            </w:r>
          </w:p>
        </w:tc>
        <w:tc>
          <w:tcPr>
            <w:tcW w:type="dxa" w:w="35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Liberté et sûreté, procès, garanties pénales</w:t>
            </w:r>
          </w:p>
        </w:tc>
        <w:tc>
          <w:tcPr>
            <w:tcW w:type="dxa" w:w="1300"/>
            <w:tcBorders>
              <w:top w:val="single" w:color="BFBFBF" w:sz="2"/>
              <w:left w:val="single" w:color="BFBFBF" w:sz="2"/>
              <w:bottom w:val="single" w:color="BFBFBF" w:sz="2"/>
              <w:right w:val="single" w:color="BFBFBF" w:sz="2"/>
            </w:tcBorders>
          </w:tcPr>
          <w:p>
            <w:pPr>
              <w:spacing w:after="16" w:before="16"/>
            </w:pPr>
            <w:r>
              <w:rPr>
                <w:b/>
                <w:bCs/>
                <w:i w:val="false"/>
                <w:iCs w:val="false"/>
                <w:color w:val="C55A11"/>
                <w:sz w:val="13"/>
                <w:szCs w:val="13"/>
              </w:rPr>
              <w:t xml:space="preserve">ORANGE</w:t>
            </w:r>
          </w:p>
        </w:tc>
        <w:tc>
          <w:tcPr>
            <w:tcW w:type="dxa" w:w="11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33333"/>
                <w:sz w:val="13"/>
                <w:szCs w:val="13"/>
              </w:rPr>
              <w:t xml:space="preserve">LATÉRALE</w:t>
            </w:r>
          </w:p>
        </w:tc>
        <w:tc>
          <w:tcPr>
            <w:tcW w:type="dxa" w:w="17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3"/>
                <w:szCs w:val="13"/>
              </w:rPr>
              <w:t xml:space="preserve">50,8 → 100,9</w:t>
            </w:r>
          </w:p>
        </w:tc>
        <w:tc>
          <w:tcPr>
            <w:tcW w:type="dxa" w:w="7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3"/>
                <w:szCs w:val="13"/>
              </w:rPr>
              <w:t xml:space="preserve">4,2</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18</w:t>
            </w:r>
          </w:p>
        </w:tc>
        <w:tc>
          <w:tcPr>
            <w:tcW w:type="dxa" w:w="7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10</w:t>
            </w:r>
          </w:p>
        </w:tc>
        <w:tc>
          <w:tcPr>
            <w:tcW w:type="dxa" w:w="4996"/>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30 droit à la liberté et à la sûreté (10) · 31 droit à un procès équitable et le  (4) · 32 garanties fondamentales en matière (4)</w:t>
            </w:r>
          </w:p>
        </w:tc>
      </w:tr>
      <w:tr>
        <w:tc>
          <w:tcPr>
            <w:tcW w:type="dxa" w:w="700"/>
            <w:tcBorders>
              <w:top w:val="single" w:color="BFBFBF" w:sz="2"/>
              <w:left w:val="single" w:color="BFBFBF" w:sz="2"/>
              <w:bottom w:val="single" w:color="BFBFBF" w:sz="2"/>
              <w:right w:val="single" w:color="BFBFBF" w:sz="2"/>
            </w:tcBorders>
            <w:shd w:fill="D9EEF8" w:color="auto" w:val="clear"/>
          </w:tcPr>
          <w:p>
            <w:pPr>
              <w:spacing w:after="16" w:before="16"/>
              <w:jc w:val="center"/>
            </w:pPr>
            <w:r>
              <w:rPr>
                <w:b/>
                <w:bCs/>
                <w:i w:val="false"/>
                <w:iCs w:val="false"/>
                <w:color w:val="3B8CC4"/>
                <w:sz w:val="15"/>
                <w:szCs w:val="15"/>
              </w:rPr>
              <w:t xml:space="preserve">VI-C</w:t>
            </w:r>
          </w:p>
        </w:tc>
        <w:tc>
          <w:tcPr>
            <w:tcW w:type="dxa" w:w="35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Partie VI-C — Vie privée, vie familiale, données</w:t>
            </w:r>
          </w:p>
        </w:tc>
        <w:tc>
          <w:tcPr>
            <w:tcW w:type="dxa" w:w="1300"/>
            <w:tcBorders>
              <w:top w:val="single" w:color="BFBFBF" w:sz="2"/>
              <w:left w:val="single" w:color="BFBFBF" w:sz="2"/>
              <w:bottom w:val="single" w:color="BFBFBF" w:sz="2"/>
              <w:right w:val="single" w:color="BFBFBF" w:sz="2"/>
            </w:tcBorders>
          </w:tcPr>
          <w:p>
            <w:pPr>
              <w:spacing w:after="16" w:before="16"/>
            </w:pPr>
            <w:r>
              <w:rPr>
                <w:b/>
                <w:bCs/>
                <w:i w:val="false"/>
                <w:iCs w:val="false"/>
                <w:color w:val="3B8CC4"/>
                <w:sz w:val="13"/>
                <w:szCs w:val="13"/>
              </w:rPr>
              <w:t xml:space="preserve">BLEU CIEL</w:t>
            </w:r>
          </w:p>
        </w:tc>
        <w:tc>
          <w:tcPr>
            <w:tcW w:type="dxa" w:w="11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33333"/>
                <w:sz w:val="13"/>
                <w:szCs w:val="13"/>
              </w:rPr>
              <w:t xml:space="preserve">LATÉRALE</w:t>
            </w:r>
          </w:p>
        </w:tc>
        <w:tc>
          <w:tcPr>
            <w:tcW w:type="dxa" w:w="17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3"/>
                <w:szCs w:val="13"/>
              </w:rPr>
              <w:t xml:space="preserve">100,9 → 138,9</w:t>
            </w:r>
          </w:p>
        </w:tc>
        <w:tc>
          <w:tcPr>
            <w:tcW w:type="dxa" w:w="7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3"/>
                <w:szCs w:val="13"/>
              </w:rPr>
              <w:t xml:space="preserve">4,3</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17</w:t>
            </w:r>
          </w:p>
        </w:tc>
        <w:tc>
          <w:tcPr>
            <w:tcW w:type="dxa" w:w="7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7</w:t>
            </w:r>
          </w:p>
        </w:tc>
        <w:tc>
          <w:tcPr>
            <w:tcW w:type="dxa" w:w="4996"/>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33 droit à la vie privée (7) · 34 droit à la vie familiale (5) · 35 droit à la protection des données  (5)</w:t>
            </w:r>
          </w:p>
        </w:tc>
      </w:tr>
      <w:tr>
        <w:tc>
          <w:tcPr>
            <w:tcW w:type="dxa" w:w="700"/>
            <w:tcBorders>
              <w:top w:val="single" w:color="BFBFBF" w:sz="2"/>
              <w:left w:val="single" w:color="BFBFBF" w:sz="2"/>
              <w:bottom w:val="single" w:color="BFBFBF" w:sz="2"/>
              <w:right w:val="single" w:color="BFBFBF" w:sz="2"/>
            </w:tcBorders>
            <w:shd w:fill="FADCE6" w:color="auto" w:val="clear"/>
          </w:tcPr>
          <w:p>
            <w:pPr>
              <w:spacing w:after="16" w:before="16"/>
              <w:jc w:val="center"/>
            </w:pPr>
            <w:r>
              <w:rPr>
                <w:b/>
                <w:bCs/>
                <w:i w:val="false"/>
                <w:iCs w:val="false"/>
                <w:color w:val="C0397B"/>
                <w:sz w:val="15"/>
                <w:szCs w:val="15"/>
              </w:rPr>
              <w:t xml:space="preserve">VI-D</w:t>
            </w:r>
          </w:p>
        </w:tc>
        <w:tc>
          <w:tcPr>
            <w:tcW w:type="dxa" w:w="35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Partie VI-D — Religion, expression, réunion, association</w:t>
            </w:r>
          </w:p>
        </w:tc>
        <w:tc>
          <w:tcPr>
            <w:tcW w:type="dxa" w:w="1300"/>
            <w:tcBorders>
              <w:top w:val="single" w:color="BFBFBF" w:sz="2"/>
              <w:left w:val="single" w:color="BFBFBF" w:sz="2"/>
              <w:bottom w:val="single" w:color="BFBFBF" w:sz="2"/>
              <w:right w:val="single" w:color="BFBFBF" w:sz="2"/>
            </w:tcBorders>
          </w:tcPr>
          <w:p>
            <w:pPr>
              <w:spacing w:after="16" w:before="16"/>
            </w:pPr>
            <w:r>
              <w:rPr>
                <w:b/>
                <w:bCs/>
                <w:i w:val="false"/>
                <w:iCs w:val="false"/>
                <w:color w:val="C0397B"/>
                <w:sz w:val="13"/>
                <w:szCs w:val="13"/>
              </w:rPr>
              <w:t xml:space="preserve">FUCHSIA</w:t>
            </w:r>
          </w:p>
        </w:tc>
        <w:tc>
          <w:tcPr>
            <w:tcW w:type="dxa" w:w="11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33333"/>
                <w:sz w:val="13"/>
                <w:szCs w:val="13"/>
              </w:rPr>
              <w:t xml:space="preserve">LATÉRALE</w:t>
            </w:r>
          </w:p>
        </w:tc>
        <w:tc>
          <w:tcPr>
            <w:tcW w:type="dxa" w:w="17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3"/>
                <w:szCs w:val="13"/>
              </w:rPr>
              <w:t xml:space="preserve">138,9 → 197,8</w:t>
            </w:r>
          </w:p>
        </w:tc>
        <w:tc>
          <w:tcPr>
            <w:tcW w:type="dxa" w:w="7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3"/>
                <w:szCs w:val="13"/>
              </w:rPr>
              <w:t xml:space="preserve">4,3</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24</w:t>
            </w:r>
          </w:p>
        </w:tc>
        <w:tc>
          <w:tcPr>
            <w:tcW w:type="dxa" w:w="7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12</w:t>
            </w:r>
          </w:p>
        </w:tc>
        <w:tc>
          <w:tcPr>
            <w:tcW w:type="dxa" w:w="4996"/>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36 liberté de pensée, de conscience e (7) · 37 liberté d’expression (11) · 38 liberté de réunion et de manifesta (4) · 39 liberté d’association (2)</w:t>
            </w:r>
          </w:p>
        </w:tc>
      </w:tr>
      <w:tr>
        <w:tc>
          <w:tcPr>
            <w:tcW w:type="dxa" w:w="700"/>
            <w:tcBorders>
              <w:top w:val="single" w:color="BFBFBF" w:sz="2"/>
              <w:left w:val="single" w:color="BFBFBF" w:sz="2"/>
              <w:bottom w:val="single" w:color="BFBFBF" w:sz="2"/>
              <w:right w:val="single" w:color="BFBFBF" w:sz="2"/>
            </w:tcBorders>
            <w:shd w:fill="FFF2CC" w:color="auto" w:val="clear"/>
          </w:tcPr>
          <w:p>
            <w:pPr>
              <w:spacing w:after="16" w:before="16"/>
              <w:jc w:val="center"/>
            </w:pPr>
            <w:r>
              <w:rPr>
                <w:b/>
                <w:bCs/>
                <w:i w:val="false"/>
                <w:iCs w:val="false"/>
                <w:color w:val="BF9000"/>
                <w:sz w:val="15"/>
                <w:szCs w:val="15"/>
              </w:rPr>
              <w:t xml:space="preserve">VI-E</w:t>
            </w:r>
          </w:p>
        </w:tc>
        <w:tc>
          <w:tcPr>
            <w:tcW w:type="dxa" w:w="35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Partie VI-E — Circulation, enseignement, élections, éloignement, peuples</w:t>
            </w:r>
          </w:p>
        </w:tc>
        <w:tc>
          <w:tcPr>
            <w:tcW w:type="dxa" w:w="1300"/>
            <w:tcBorders>
              <w:top w:val="single" w:color="BFBFBF" w:sz="2"/>
              <w:left w:val="single" w:color="BFBFBF" w:sz="2"/>
              <w:bottom w:val="single" w:color="BFBFBF" w:sz="2"/>
              <w:right w:val="single" w:color="BFBFBF" w:sz="2"/>
            </w:tcBorders>
          </w:tcPr>
          <w:p>
            <w:pPr>
              <w:spacing w:after="16" w:before="16"/>
            </w:pPr>
            <w:r>
              <w:rPr>
                <w:b/>
                <w:bCs/>
                <w:i w:val="false"/>
                <w:iCs w:val="false"/>
                <w:color w:val="BF9000"/>
                <w:sz w:val="13"/>
                <w:szCs w:val="13"/>
              </w:rPr>
              <w:t xml:space="preserve">JAUNE</w:t>
            </w:r>
          </w:p>
        </w:tc>
        <w:tc>
          <w:tcPr>
            <w:tcW w:type="dxa" w:w="11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33333"/>
                <w:sz w:val="13"/>
                <w:szCs w:val="13"/>
              </w:rPr>
              <w:t xml:space="preserve">LATÉRALE</w:t>
            </w:r>
          </w:p>
        </w:tc>
        <w:tc>
          <w:tcPr>
            <w:tcW w:type="dxa" w:w="17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3"/>
                <w:szCs w:val="13"/>
              </w:rPr>
              <w:t xml:space="preserve">197,8 → 232</w:t>
            </w:r>
          </w:p>
        </w:tc>
        <w:tc>
          <w:tcPr>
            <w:tcW w:type="dxa" w:w="7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3"/>
                <w:szCs w:val="13"/>
              </w:rPr>
              <w:t xml:space="preserve">4,4</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19</w:t>
            </w:r>
          </w:p>
        </w:tc>
        <w:tc>
          <w:tcPr>
            <w:tcW w:type="dxa" w:w="7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6</w:t>
            </w:r>
          </w:p>
        </w:tc>
        <w:tc>
          <w:tcPr>
            <w:tcW w:type="dxa" w:w="4996"/>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40 liberté d’aller et venir (8) · 41 liberté de l’enseignement (1) · 42 droit à des élections libres (2) · 43 protections fondamentales en cas d (7) · 44 droit des peuples à disposer d’eux (1)</w:t>
            </w:r>
          </w:p>
        </w:tc>
      </w:tr>
      <w:tr>
        <w:tc>
          <w:tcPr>
            <w:tcW w:type="dxa" w:w="700"/>
            <w:tcBorders>
              <w:top w:val="single" w:color="BFBFBF" w:sz="2"/>
              <w:left w:val="single" w:color="BFBFBF" w:sz="2"/>
              <w:bottom w:val="single" w:color="BFBFBF" w:sz="2"/>
              <w:right w:val="single" w:color="BFBFBF" w:sz="2"/>
            </w:tcBorders>
            <w:shd w:fill="E2EFDA" w:color="auto" w:val="clear"/>
          </w:tcPr>
          <w:p>
            <w:pPr>
              <w:spacing w:after="16" w:before="16"/>
              <w:jc w:val="center"/>
            </w:pPr>
            <w:r>
              <w:rPr>
                <w:b/>
                <w:bCs/>
                <w:i w:val="false"/>
                <w:iCs w:val="false"/>
                <w:color w:val="548235"/>
                <w:sz w:val="15"/>
                <w:szCs w:val="15"/>
              </w:rPr>
              <w:t xml:space="preserve">VII-A</w:t>
            </w:r>
          </w:p>
        </w:tc>
        <w:tc>
          <w:tcPr>
            <w:tcW w:type="dxa" w:w="35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Commerce, propriété, éducation, santé</w:t>
            </w:r>
          </w:p>
        </w:tc>
        <w:tc>
          <w:tcPr>
            <w:tcW w:type="dxa" w:w="1300"/>
            <w:tcBorders>
              <w:top w:val="single" w:color="BFBFBF" w:sz="2"/>
              <w:left w:val="single" w:color="BFBFBF" w:sz="2"/>
              <w:bottom w:val="single" w:color="BFBFBF" w:sz="2"/>
              <w:right w:val="single" w:color="BFBFBF" w:sz="2"/>
            </w:tcBorders>
          </w:tcPr>
          <w:p>
            <w:pPr>
              <w:spacing w:after="16" w:before="16"/>
            </w:pPr>
            <w:r>
              <w:rPr>
                <w:b/>
                <w:bCs/>
                <w:i w:val="false"/>
                <w:iCs w:val="false"/>
                <w:color w:val="548235"/>
                <w:sz w:val="13"/>
                <w:szCs w:val="13"/>
              </w:rPr>
              <w:t xml:space="preserve">VERT</w:t>
            </w:r>
          </w:p>
        </w:tc>
        <w:tc>
          <w:tcPr>
            <w:tcW w:type="dxa" w:w="11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33333"/>
                <w:sz w:val="13"/>
                <w:szCs w:val="13"/>
              </w:rPr>
              <w:t xml:space="preserve">BASSE</w:t>
            </w:r>
          </w:p>
        </w:tc>
        <w:tc>
          <w:tcPr>
            <w:tcW w:type="dxa" w:w="17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3"/>
                <w:szCs w:val="13"/>
              </w:rPr>
              <w:t xml:space="preserve">8 → 36,4</w:t>
            </w:r>
          </w:p>
        </w:tc>
        <w:tc>
          <w:tcPr>
            <w:tcW w:type="dxa" w:w="7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3"/>
                <w:szCs w:val="13"/>
              </w:rPr>
              <w:t xml:space="preserve">9</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6</w:t>
            </w:r>
          </w:p>
        </w:tc>
        <w:tc>
          <w:tcPr>
            <w:tcW w:type="dxa" w:w="7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2</w:t>
            </w:r>
          </w:p>
        </w:tc>
        <w:tc>
          <w:tcPr>
            <w:tcW w:type="dxa" w:w="4996"/>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45 liberté du commerce et de l’indust (1) · 46 droit de propriété (1) · 47 droit à l’éducation et à la format (3) · 48 droit à la santé et à la protectio (1)</w:t>
            </w:r>
          </w:p>
        </w:tc>
      </w:tr>
      <w:tr>
        <w:tc>
          <w:tcPr>
            <w:tcW w:type="dxa" w:w="700"/>
            <w:tcBorders>
              <w:top w:val="single" w:color="BFBFBF" w:sz="2"/>
              <w:left w:val="single" w:color="BFBFBF" w:sz="2"/>
              <w:bottom w:val="single" w:color="BFBFBF" w:sz="2"/>
              <w:right w:val="single" w:color="BFBFBF" w:sz="2"/>
            </w:tcBorders>
            <w:shd w:fill="EDE3D3" w:color="auto" w:val="clear"/>
          </w:tcPr>
          <w:p>
            <w:pPr>
              <w:spacing w:after="16" w:before="16"/>
              <w:jc w:val="center"/>
            </w:pPr>
            <w:r>
              <w:rPr>
                <w:b/>
                <w:bCs/>
                <w:i w:val="false"/>
                <w:iCs w:val="false"/>
                <w:color w:val="8B6F31"/>
                <w:sz w:val="15"/>
                <w:szCs w:val="15"/>
              </w:rPr>
              <w:t xml:space="preserve">VII-B</w:t>
            </w:r>
          </w:p>
        </w:tc>
        <w:tc>
          <w:tcPr>
            <w:tcW w:type="dxa" w:w="35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Environnement, travail, logement, culture, asile</w:t>
            </w:r>
          </w:p>
        </w:tc>
        <w:tc>
          <w:tcPr>
            <w:tcW w:type="dxa" w:w="1300"/>
            <w:tcBorders>
              <w:top w:val="single" w:color="BFBFBF" w:sz="2"/>
              <w:left w:val="single" w:color="BFBFBF" w:sz="2"/>
              <w:bottom w:val="single" w:color="BFBFBF" w:sz="2"/>
              <w:right w:val="single" w:color="BFBFBF" w:sz="2"/>
            </w:tcBorders>
          </w:tcPr>
          <w:p>
            <w:pPr>
              <w:spacing w:after="16" w:before="16"/>
            </w:pPr>
            <w:r>
              <w:rPr>
                <w:b/>
                <w:bCs/>
                <w:i w:val="false"/>
                <w:iCs w:val="false"/>
                <w:color w:val="8B6F31"/>
                <w:sz w:val="13"/>
                <w:szCs w:val="13"/>
              </w:rPr>
              <w:t xml:space="preserve">SABLE</w:t>
            </w:r>
          </w:p>
        </w:tc>
        <w:tc>
          <w:tcPr>
            <w:tcW w:type="dxa" w:w="11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33333"/>
                <w:sz w:val="13"/>
                <w:szCs w:val="13"/>
              </w:rPr>
              <w:t xml:space="preserve">BASSE</w:t>
            </w:r>
          </w:p>
        </w:tc>
        <w:tc>
          <w:tcPr>
            <w:tcW w:type="dxa" w:w="17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3"/>
                <w:szCs w:val="13"/>
              </w:rPr>
              <w:t xml:space="preserve">36,4 → 79,1</w:t>
            </w:r>
          </w:p>
        </w:tc>
        <w:tc>
          <w:tcPr>
            <w:tcW w:type="dxa" w:w="7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3"/>
                <w:szCs w:val="13"/>
              </w:rPr>
              <w:t xml:space="preserve">9</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11</w:t>
            </w:r>
          </w:p>
        </w:tc>
        <w:tc>
          <w:tcPr>
            <w:tcW w:type="dxa" w:w="7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3</w:t>
            </w:r>
          </w:p>
        </w:tc>
        <w:tc>
          <w:tcPr>
            <w:tcW w:type="dxa" w:w="4996"/>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49 droit à un environnement sain (2) · 50 droit au travail (4) · 51 droit au logement (1) · 52 droit à la culture (0) · 53 droit d’asile (4)</w:t>
            </w:r>
          </w:p>
        </w:tc>
      </w:tr>
      <w:tr>
        <w:tc>
          <w:tcPr>
            <w:tcW w:type="dxa" w:w="700"/>
            <w:tcBorders>
              <w:top w:val="single" w:color="BFBFBF" w:sz="2"/>
              <w:left w:val="single" w:color="BFBFBF" w:sz="2"/>
              <w:bottom w:val="single" w:color="BFBFBF" w:sz="2"/>
              <w:right w:val="single" w:color="BFBFBF" w:sz="2"/>
            </w:tcBorders>
            <w:shd w:fill="DDE1E7" w:color="auto" w:val="clear"/>
          </w:tcPr>
          <w:p>
            <w:pPr>
              <w:spacing w:after="16" w:before="16"/>
              <w:jc w:val="center"/>
            </w:pPr>
            <w:r>
              <w:rPr>
                <w:b/>
                <w:bCs/>
                <w:i w:val="false"/>
                <w:iCs w:val="false"/>
                <w:color w:val="5B6270"/>
                <w:sz w:val="15"/>
                <w:szCs w:val="15"/>
              </w:rPr>
              <w:t xml:space="preserve">VIII</w:t>
            </w:r>
          </w:p>
        </w:tc>
        <w:tc>
          <w:tcPr>
            <w:tcW w:type="dxa" w:w="35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Égalité et non-discrimination</w:t>
            </w:r>
          </w:p>
        </w:tc>
        <w:tc>
          <w:tcPr>
            <w:tcW w:type="dxa" w:w="1300"/>
            <w:tcBorders>
              <w:top w:val="single" w:color="BFBFBF" w:sz="2"/>
              <w:left w:val="single" w:color="BFBFBF" w:sz="2"/>
              <w:bottom w:val="single" w:color="BFBFBF" w:sz="2"/>
              <w:right w:val="single" w:color="BFBFBF" w:sz="2"/>
            </w:tcBorders>
          </w:tcPr>
          <w:p>
            <w:pPr>
              <w:spacing w:after="16" w:before="16"/>
            </w:pPr>
            <w:r>
              <w:rPr>
                <w:b/>
                <w:bCs/>
                <w:i w:val="false"/>
                <w:iCs w:val="false"/>
                <w:color w:val="5B6270"/>
                <w:sz w:val="13"/>
                <w:szCs w:val="13"/>
              </w:rPr>
              <w:t xml:space="preserve">ARDOISE</w:t>
            </w:r>
          </w:p>
        </w:tc>
        <w:tc>
          <w:tcPr>
            <w:tcW w:type="dxa" w:w="11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33333"/>
                <w:sz w:val="13"/>
                <w:szCs w:val="13"/>
              </w:rPr>
              <w:t xml:space="preserve">BASSE</w:t>
            </w:r>
          </w:p>
        </w:tc>
        <w:tc>
          <w:tcPr>
            <w:tcW w:type="dxa" w:w="17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3"/>
                <w:szCs w:val="13"/>
              </w:rPr>
              <w:t xml:space="preserve">79,1 → 140</w:t>
            </w:r>
          </w:p>
        </w:tc>
        <w:tc>
          <w:tcPr>
            <w:tcW w:type="dxa" w:w="7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3"/>
                <w:szCs w:val="13"/>
              </w:rPr>
              <w:t xml:space="preserve">9</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14</w:t>
            </w:r>
          </w:p>
        </w:tc>
        <w:tc>
          <w:tcPr>
            <w:tcW w:type="dxa" w:w="700"/>
            <w:tcBorders>
              <w:top w:val="single" w:color="BFBFBF" w:sz="2"/>
              <w:left w:val="single" w:color="BFBFBF" w:sz="2"/>
              <w:bottom w:val="single" w:color="BFBFBF" w:sz="2"/>
              <w:right w:val="single" w:color="BFBFBF" w:sz="2"/>
            </w:tcBorders>
          </w:tcPr>
          <w:p>
            <w:pPr>
              <w:spacing w:after="16" w:before="16"/>
              <w:jc w:val="center"/>
            </w:pPr>
            <w:r>
              <w:rPr>
                <w:b w:val="false"/>
                <w:bCs w:val="false"/>
                <w:i w:val="false"/>
                <w:iCs w:val="false"/>
                <w:color w:val="333333"/>
                <w:sz w:val="15"/>
                <w:szCs w:val="15"/>
              </w:rPr>
              <w:t xml:space="preserve">6</w:t>
            </w:r>
          </w:p>
        </w:tc>
        <w:tc>
          <w:tcPr>
            <w:tcW w:type="dxa" w:w="4996"/>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54 interdiction de la discrimination (7) · 55 prise en compte des vulnérabilités (4) · 56 mesures d’inégalité compensatoire (3)</w:t>
            </w:r>
          </w:p>
        </w:tc>
      </w:tr>
    </w:tbl>
    <w:p>
      <w:pPr>
        <w:spacing w:after="40"/>
      </w:pPr>
      <w:r>
        <w:rPr>
          <w:i/>
          <w:iCs/>
          <w:color w:val="595959"/>
          <w:sz w:val="16"/>
          <w:szCs w:val="16"/>
        </w:rPr>
        <w:t xml:space="preserve">« Créneaux » : nombre de hauteurs différentes dont le groupe a besoin à l’endroit où ses onglets sont les plus serrés. Un onglet prend le créneau le plus haut libre ; un créneau se libère dès que l’onglet précédent du même groupe est à plus de 5 mm d’épaisseur (≈ 136 pages). Les nombres entre parenthèses après chaque fiche : onglets dont c’est la fiche principale.</w:t>
      </w:r>
    </w:p>
    <w:p>
      <w:pPr>
        <w:spacing w:after="60" w:before="140"/>
      </w:pPr>
      <w:r>
        <w:rPr>
          <w:b/>
          <w:bCs/>
          <w:color w:val="1F3864"/>
          <w:sz w:val="22"/>
          <w:szCs w:val="22"/>
        </w:rPr>
        <w:t xml:space="preserve">Version A ou version B ? Comparaison</w:t>
      </w:r>
    </w:p>
    <w:tbl>
      <w:tblPr>
        <w:tblW w:type="dxa" w:w="15000"/>
        <w:tblBorders>
          <w:top w:val="single" w:color="BFBFBF" w:sz="2"/>
          <w:left w:val="single" w:color="BFBFBF" w:sz="2"/>
          <w:bottom w:val="single" w:color="BFBFBF" w:sz="2"/>
          <w:right w:val="single" w:color="BFBFBF" w:sz="2"/>
          <w:insideH w:val="single" w:color="D9D9D9" w:sz="2"/>
          <w:insideV w:val="single" w:color="BFBFBF" w:sz="2"/>
        </w:tblBorders>
      </w:tblPr>
      <w:tblGrid>
        <w:gridCol w:w="2700"/>
        <w:gridCol w:w="6150"/>
        <w:gridCol w:w="6150"/>
      </w:tblGrid>
      <w:tr>
        <w:trPr>
          <w:tblHeader/>
        </w:trPr>
        <w:tc>
          <w:tcPr>
            <w:tcW w:type="dxa" w:w="2700"/>
            <w:tcBorders>
              <w:top w:val="single" w:color="BFBFBF" w:sz="2"/>
              <w:left w:val="single" w:color="BFBFBF" w:sz="2"/>
              <w:bottom w:val="single" w:color="BFBFBF" w:sz="2"/>
              <w:right w:val="single" w:color="BFBFBF" w:sz="2"/>
            </w:tcBorders>
            <w:shd w:fill="1F3864" w:color="auto" w:val="clear"/>
          </w:tcPr>
          <w:p>
            <w:pPr>
              <w:spacing w:after="16" w:before="16"/>
            </w:pPr>
            <w:r>
              <w:rPr>
                <w:b/>
                <w:bCs/>
                <w:i w:val="false"/>
                <w:iCs w:val="false"/>
                <w:color w:val="FFFFFF"/>
                <w:sz w:val="14"/>
                <w:szCs w:val="14"/>
              </w:rPr>
              <w:t xml:space="preserve">Critère</w:t>
            </w:r>
          </w:p>
        </w:tc>
        <w:tc>
          <w:tcPr>
            <w:tcW w:type="dxa" w:w="6150"/>
            <w:tcBorders>
              <w:top w:val="single" w:color="BFBFBF" w:sz="2"/>
              <w:left w:val="single" w:color="BFBFBF" w:sz="2"/>
              <w:bottom w:val="single" w:color="BFBFBF" w:sz="2"/>
              <w:right w:val="single" w:color="BFBFBF" w:sz="2"/>
            </w:tcBorders>
            <w:shd w:fill="1F3864" w:color="auto" w:val="clear"/>
          </w:tcPr>
          <w:p>
            <w:pPr>
              <w:spacing w:after="16" w:before="16"/>
            </w:pPr>
            <w:r>
              <w:rPr>
                <w:b/>
                <w:bCs/>
                <w:i w:val="false"/>
                <w:iCs w:val="false"/>
                <w:color w:val="FFFFFF"/>
                <w:sz w:val="14"/>
                <w:szCs w:val="14"/>
              </w:rPr>
              <w:t xml:space="preserve">Version A — plan du recueil</w:t>
            </w:r>
          </w:p>
        </w:tc>
        <w:tc>
          <w:tcPr>
            <w:tcW w:type="dxa" w:w="6150"/>
            <w:tcBorders>
              <w:top w:val="single" w:color="BFBFBF" w:sz="2"/>
              <w:left w:val="single" w:color="BFBFBF" w:sz="2"/>
              <w:bottom w:val="single" w:color="BFBFBF" w:sz="2"/>
              <w:right w:val="single" w:color="BFBFBF" w:sz="2"/>
            </w:tcBorders>
            <w:shd w:fill="1F3864" w:color="auto" w:val="clear"/>
          </w:tcPr>
          <w:p>
            <w:pPr>
              <w:spacing w:after="16" w:before="16"/>
            </w:pPr>
            <w:r>
              <w:rPr>
                <w:b/>
                <w:bCs/>
                <w:i w:val="false"/>
                <w:iCs w:val="false"/>
                <w:color w:val="FFFFFF"/>
                <w:sz w:val="14"/>
                <w:szCs w:val="14"/>
              </w:rPr>
              <w:t xml:space="preserve">Version B — plan de ton cours</w:t>
            </w:r>
          </w:p>
        </w:tc>
      </w:tr>
      <w:tr>
        <w:tc>
          <w:tcPr>
            <w:tcW w:type="dxa" w:w="27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4"/>
                <w:szCs w:val="14"/>
              </w:rPr>
              <w:t xml:space="preserve">Principe</w:t>
            </w:r>
          </w:p>
        </w:tc>
        <w:tc>
          <w:tcPr>
            <w:tcW w:type="dxa" w:w="61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Les blocs suivent le recueil : sources nationales, Conseil de l’Europe, UE, ONU, puis les sections A à M du droit français.</w:t>
            </w:r>
          </w:p>
        </w:tc>
        <w:tc>
          <w:tcPr>
            <w:tcW w:type="dxa" w:w="6150"/>
            <w:tcBorders>
              <w:top w:val="single" w:color="BFBFBF" w:sz="2"/>
              <w:left w:val="single" w:color="BFBFBF" w:sz="2"/>
              <w:bottom w:val="single" w:color="BFBFBF" w:sz="2"/>
              <w:right w:val="single" w:color="BFBFBF" w:sz="2"/>
            </w:tcBorders>
            <w:shd w:fill="FBF8F0" w:color="auto" w:val="clear"/>
          </w:tcPr>
          <w:p>
            <w:pPr>
              <w:spacing w:after="16" w:before="16"/>
            </w:pPr>
            <w:r>
              <w:rPr>
                <w:b w:val="false"/>
                <w:bCs w:val="false"/>
                <w:i w:val="false"/>
                <w:iCs w:val="false"/>
                <w:color w:val="333333"/>
                <w:sz w:val="14"/>
                <w:szCs w:val="14"/>
              </w:rPr>
              <w:t xml:space="preserve">Les blocs suivent ton cours : un bloc par fichier de fiches, dans l’ordre du manuel Objectif Barreau.</w:t>
            </w:r>
          </w:p>
        </w:tc>
      </w:tr>
      <w:tr>
        <w:tc>
          <w:tcPr>
            <w:tcW w:type="dxa" w:w="27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4"/>
                <w:szCs w:val="14"/>
              </w:rPr>
              <w:t xml:space="preserve">Arêtes</w:t>
            </w:r>
          </w:p>
        </w:tc>
        <w:tc>
          <w:tcPr>
            <w:tcW w:type="dxa" w:w="61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Une seule (latérale), 4 couloirs, sans saturation.</w:t>
            </w:r>
          </w:p>
        </w:tc>
        <w:tc>
          <w:tcPr>
            <w:tcW w:type="dxa" w:w="6150"/>
            <w:tcBorders>
              <w:top w:val="single" w:color="BFBFBF" w:sz="2"/>
              <w:left w:val="single" w:color="BFBFBF" w:sz="2"/>
              <w:bottom w:val="single" w:color="BFBFBF" w:sz="2"/>
              <w:right w:val="single" w:color="BFBFBF" w:sz="2"/>
            </w:tcBorders>
            <w:shd w:fill="FBF8F0" w:color="auto" w:val="clear"/>
          </w:tcPr>
          <w:p>
            <w:pPr>
              <w:spacing w:after="16" w:before="16"/>
            </w:pPr>
            <w:r>
              <w:rPr>
                <w:b w:val="false"/>
                <w:bCs w:val="false"/>
                <w:i w:val="false"/>
                <w:iCs w:val="false"/>
                <w:color w:val="333333"/>
                <w:sz w:val="14"/>
                <w:szCs w:val="14"/>
              </w:rPr>
              <w:t xml:space="preserve">Trois : latérale (Partie VI), haute (I à V), basse (VII-VIII). Besoin total 368 mm de bandes, impossible sur la seule tranche.</w:t>
            </w:r>
          </w:p>
        </w:tc>
      </w:tr>
      <w:tr>
        <w:tc>
          <w:tcPr>
            <w:tcW w:type="dxa" w:w="27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4"/>
                <w:szCs w:val="14"/>
              </w:rPr>
              <w:t xml:space="preserve">Ce que dit la couleur</w:t>
            </w:r>
          </w:p>
        </w:tc>
        <w:tc>
          <w:tcPr>
            <w:tcW w:type="dxa" w:w="61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Où tu es dans le livre (Partie I : couleurs franches ; Partie II : teintes claires).</w:t>
            </w:r>
          </w:p>
        </w:tc>
        <w:tc>
          <w:tcPr>
            <w:tcW w:type="dxa" w:w="6150"/>
            <w:tcBorders>
              <w:top w:val="single" w:color="BFBFBF" w:sz="2"/>
              <w:left w:val="single" w:color="BFBFBF" w:sz="2"/>
              <w:bottom w:val="single" w:color="BFBFBF" w:sz="2"/>
              <w:right w:val="single" w:color="BFBFBF" w:sz="2"/>
            </w:tcBorders>
            <w:shd w:fill="FBF8F0" w:color="auto" w:val="clear"/>
          </w:tcPr>
          <w:p>
            <w:pPr>
              <w:spacing w:after="16" w:before="16"/>
            </w:pPr>
            <w:r>
              <w:rPr>
                <w:b w:val="false"/>
                <w:bCs w:val="false"/>
                <w:i w:val="false"/>
                <w:iCs w:val="false"/>
                <w:color w:val="333333"/>
                <w:sz w:val="14"/>
                <w:szCs w:val="14"/>
              </w:rPr>
              <w:t xml:space="preserve">À quelle partie de ton cours appartient le texte. L’arête dit déjà la grande partie (I-V, VI ou VII-VIII).</w:t>
            </w:r>
          </w:p>
        </w:tc>
      </w:tr>
      <w:tr>
        <w:tc>
          <w:tcPr>
            <w:tcW w:type="dxa" w:w="27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4"/>
                <w:szCs w:val="14"/>
              </w:rPr>
              <w:t xml:space="preserve">Recherche « je cherche un texte »</w:t>
            </w:r>
          </w:p>
        </w:tc>
        <w:tc>
          <w:tcPr>
            <w:tcW w:type="dxa" w:w="61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Très directe : le texte est dans le bloc de sa source, à sa place dans le recueil.</w:t>
            </w:r>
          </w:p>
        </w:tc>
        <w:tc>
          <w:tcPr>
            <w:tcW w:type="dxa" w:w="6150"/>
            <w:tcBorders>
              <w:top w:val="single" w:color="BFBFBF" w:sz="2"/>
              <w:left w:val="single" w:color="BFBFBF" w:sz="2"/>
              <w:bottom w:val="single" w:color="BFBFBF" w:sz="2"/>
              <w:right w:val="single" w:color="BFBFBF" w:sz="2"/>
            </w:tcBorders>
            <w:shd w:fill="FBF8F0" w:color="auto" w:val="clear"/>
          </w:tcPr>
          <w:p>
            <w:pPr>
              <w:spacing w:after="16" w:before="16"/>
            </w:pPr>
            <w:r>
              <w:rPr>
                <w:b w:val="false"/>
                <w:bCs w:val="false"/>
                <w:i w:val="false"/>
                <w:iCs w:val="false"/>
                <w:color w:val="333333"/>
                <w:sz w:val="14"/>
                <w:szCs w:val="14"/>
              </w:rPr>
              <w:t xml:space="preserve">Moins directe : il faut connaître la fiche principale du texte pour savoir sur quelle arête et dans quelle couleur le chercher.</w:t>
            </w:r>
          </w:p>
        </w:tc>
      </w:tr>
      <w:tr>
        <w:tc>
          <w:tcPr>
            <w:tcW w:type="dxa" w:w="27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4"/>
                <w:szCs w:val="14"/>
              </w:rPr>
              <w:t xml:space="preserve">Recherche « j’ai un sujet sur une liberté »</w:t>
            </w:r>
          </w:p>
        </w:tc>
        <w:tc>
          <w:tcPr>
            <w:tcW w:type="dxa" w:w="61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Par le numéro de fiche écrit sur les onglets et par l’index des correspondances.</w:t>
            </w:r>
          </w:p>
        </w:tc>
        <w:tc>
          <w:tcPr>
            <w:tcW w:type="dxa" w:w="6150"/>
            <w:tcBorders>
              <w:top w:val="single" w:color="BFBFBF" w:sz="2"/>
              <w:left w:val="single" w:color="BFBFBF" w:sz="2"/>
              <w:bottom w:val="single" w:color="BFBFBF" w:sz="2"/>
              <w:right w:val="single" w:color="BFBFBF" w:sz="2"/>
            </w:tcBorders>
            <w:shd w:fill="FBF8F0" w:color="auto" w:val="clear"/>
          </w:tcPr>
          <w:p>
            <w:pPr>
              <w:spacing w:after="16" w:before="16"/>
            </w:pPr>
            <w:r>
              <w:rPr>
                <w:b w:val="false"/>
                <w:bCs w:val="false"/>
                <w:i w:val="false"/>
                <w:iCs w:val="false"/>
                <w:color w:val="333333"/>
                <w:sz w:val="14"/>
                <w:szCs w:val="14"/>
              </w:rPr>
              <w:t xml:space="preserve">Immédiate : tous les onglets de la partie du cours ont la même couleur et la même bande, de la DDHC au droit français.</w:t>
            </w:r>
          </w:p>
        </w:tc>
      </w:tr>
      <w:tr>
        <w:tc>
          <w:tcPr>
            <w:tcW w:type="dxa" w:w="27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4"/>
                <w:szCs w:val="14"/>
              </w:rPr>
              <w:t xml:space="preserve">Lecture de la tranche</w:t>
            </w:r>
          </w:p>
        </w:tc>
        <w:tc>
          <w:tcPr>
            <w:tcW w:type="dxa" w:w="61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Diagonales régulières : chaque bloc descend dans son couloir, page après page.</w:t>
            </w:r>
          </w:p>
        </w:tc>
        <w:tc>
          <w:tcPr>
            <w:tcW w:type="dxa" w:w="6150"/>
            <w:tcBorders>
              <w:top w:val="single" w:color="BFBFBF" w:sz="2"/>
              <w:left w:val="single" w:color="BFBFBF" w:sz="2"/>
              <w:bottom w:val="single" w:color="BFBFBF" w:sz="2"/>
              <w:right w:val="single" w:color="BFBFBF" w:sz="2"/>
            </w:tcBorders>
            <w:shd w:fill="FBF8F0" w:color="auto" w:val="clear"/>
          </w:tcPr>
          <w:p>
            <w:pPr>
              <w:spacing w:after="16" w:before="16"/>
            </w:pPr>
            <w:r>
              <w:rPr>
                <w:b w:val="false"/>
                <w:bCs w:val="false"/>
                <w:i w:val="false"/>
                <w:iCs w:val="false"/>
                <w:color w:val="333333"/>
                <w:sz w:val="14"/>
                <w:szCs w:val="14"/>
              </w:rPr>
              <w:t xml:space="preserve">Dents de scie : un groupe réutilise ses créneaux dès qu’il a avancé de ≈ 136 pages ; ses onglets reviennent en haut de sa bande.</w:t>
            </w:r>
          </w:p>
        </w:tc>
      </w:tr>
      <w:tr>
        <w:tc>
          <w:tcPr>
            <w:tcW w:type="dxa" w:w="27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4"/>
                <w:szCs w:val="14"/>
              </w:rPr>
              <w:t xml:space="preserve">Densité</w:t>
            </w:r>
          </w:p>
        </w:tc>
        <w:tc>
          <w:tcPr>
            <w:tcW w:type="dxa" w:w="61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Escaliers de 4 à 9 mm sur la tranche ; un seul couloir plein (ONU spécialisé).</w:t>
            </w:r>
          </w:p>
        </w:tc>
        <w:tc>
          <w:tcPr>
            <w:tcW w:type="dxa" w:w="6150"/>
            <w:tcBorders>
              <w:top w:val="single" w:color="BFBFBF" w:sz="2"/>
              <w:left w:val="single" w:color="BFBFBF" w:sz="2"/>
              <w:bottom w:val="single" w:color="BFBFBF" w:sz="2"/>
              <w:right w:val="single" w:color="BFBFBF" w:sz="2"/>
            </w:tcBorders>
            <w:shd w:fill="FBF8F0" w:color="auto" w:val="clear"/>
          </w:tcPr>
          <w:p>
            <w:pPr>
              <w:spacing w:after="16" w:before="16"/>
            </w:pPr>
            <w:r>
              <w:rPr>
                <w:b w:val="false"/>
                <w:bCs w:val="false"/>
                <w:i w:val="false"/>
                <w:iCs w:val="false"/>
                <w:color w:val="333333"/>
                <w:sz w:val="14"/>
                <w:szCs w:val="14"/>
              </w:rPr>
              <w:t xml:space="preserve">Tranche chargée : la Partie VI y met 102 onglets, avec des pas de 4,2 à 4,4 mm. Arêtes haute et basse aérées (7,8 à 9 mm).</w:t>
            </w:r>
          </w:p>
        </w:tc>
      </w:tr>
      <w:tr>
        <w:tc>
          <w:tcPr>
            <w:tcW w:type="dxa" w:w="27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4"/>
                <w:szCs w:val="14"/>
              </w:rPr>
              <w:t xml:space="preserve">Risque</w:t>
            </w:r>
          </w:p>
        </w:tc>
        <w:tc>
          <w:tcPr>
            <w:tcW w:type="dxa" w:w="61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Faible : arête unique, couloirs contrôlés.</w:t>
            </w:r>
          </w:p>
        </w:tc>
        <w:tc>
          <w:tcPr>
            <w:tcW w:type="dxa" w:w="6150"/>
            <w:tcBorders>
              <w:top w:val="single" w:color="BFBFBF" w:sz="2"/>
              <w:left w:val="single" w:color="BFBFBF" w:sz="2"/>
              <w:bottom w:val="single" w:color="BFBFBF" w:sz="2"/>
              <w:right w:val="single" w:color="BFBFBF" w:sz="2"/>
            </w:tcBorders>
            <w:shd w:fill="FBF8F0" w:color="auto" w:val="clear"/>
          </w:tcPr>
          <w:p>
            <w:pPr>
              <w:spacing w:after="16" w:before="16"/>
            </w:pPr>
            <w:r>
              <w:rPr>
                <w:b w:val="false"/>
                <w:bCs w:val="false"/>
                <w:i w:val="false"/>
                <w:iCs w:val="false"/>
                <w:color w:val="333333"/>
                <w:sz w:val="14"/>
                <w:szCs w:val="14"/>
              </w:rPr>
              <w:t xml:space="preserve">Les onglets de tête et de pied s’abîment plus vite (manipulation, rangement debout). Les Parties I à V et VII-VIII sont plus lisibles à plat, livre posé.</w:t>
            </w:r>
          </w:p>
        </w:tc>
      </w:tr>
      <w:tr>
        <w:tc>
          <w:tcPr>
            <w:tcW w:type="dxa" w:w="2700"/>
            <w:tcBorders>
              <w:top w:val="single" w:color="BFBFBF" w:sz="2"/>
              <w:left w:val="single" w:color="BFBFBF" w:sz="2"/>
              <w:bottom w:val="single" w:color="BFBFBF" w:sz="2"/>
              <w:right w:val="single" w:color="BFBFBF" w:sz="2"/>
            </w:tcBorders>
          </w:tcPr>
          <w:p>
            <w:pPr>
              <w:spacing w:after="16" w:before="16"/>
            </w:pPr>
            <w:r>
              <w:rPr>
                <w:b/>
                <w:bCs/>
                <w:i w:val="false"/>
                <w:iCs w:val="false"/>
                <w:color w:val="333333"/>
                <w:sz w:val="14"/>
                <w:szCs w:val="14"/>
              </w:rPr>
              <w:t xml:space="preserve">Quand la préférer</w:t>
            </w:r>
          </w:p>
        </w:tc>
        <w:tc>
          <w:tcPr>
            <w:tcW w:type="dxa" w:w="61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4"/>
                <w:szCs w:val="14"/>
              </w:rPr>
              <w:t xml:space="preserve">Si tu raisonnes d’abord par source (« que dit la CEDH, la Charte, le droit français ? »).</w:t>
            </w:r>
          </w:p>
        </w:tc>
        <w:tc>
          <w:tcPr>
            <w:tcW w:type="dxa" w:w="6150"/>
            <w:tcBorders>
              <w:top w:val="single" w:color="BFBFBF" w:sz="2"/>
              <w:left w:val="single" w:color="BFBFBF" w:sz="2"/>
              <w:bottom w:val="single" w:color="BFBFBF" w:sz="2"/>
              <w:right w:val="single" w:color="BFBFBF" w:sz="2"/>
            </w:tcBorders>
            <w:shd w:fill="FBF8F0" w:color="auto" w:val="clear"/>
          </w:tcPr>
          <w:p>
            <w:pPr>
              <w:spacing w:after="16" w:before="16"/>
            </w:pPr>
            <w:r>
              <w:rPr>
                <w:b w:val="false"/>
                <w:bCs w:val="false"/>
                <w:i w:val="false"/>
                <w:iCs w:val="false"/>
                <w:color w:val="333333"/>
                <w:sz w:val="14"/>
                <w:szCs w:val="14"/>
              </w:rPr>
              <w:t xml:space="preserve">Si tu raisonnes d’abord par ta fiche (« sujet sur la fiche 37, j’ouvre tous les fuchsia »).</w:t>
            </w:r>
          </w:p>
        </w:tc>
      </w:tr>
    </w:tbl>
    <w:p>
      <w:pPr>
        <w:spacing w:after="40"/>
      </w:pPr>
      <w:r>
        <w:rPr>
          <w:i/>
          <w:iCs/>
          <w:color w:val="595959"/>
          <w:sz w:val="16"/>
          <w:szCs w:val="16"/>
        </w:rPr>
        <w:t xml:space="preserve">Les deux versions sont compatibles avec l’index des correspondances par fiche (inchangé) : il liste, pour chaque fiche, tous les onglets concernés, y compris ceux qui portent plusieurs numéros et sont classés, en version B, dans le groupe de leur premier numéro.</w:t>
      </w:r>
    </w:p>
    <w:p>
      <w:pPr>
        <w:spacing w:after="60" w:before="140"/>
      </w:pPr>
      <w:r>
        <w:rPr>
          <w:b/>
          <w:bCs/>
          <w:color w:val="1F3864"/>
          <w:sz w:val="21"/>
          <w:szCs w:val="21"/>
        </w:rPr>
        <w:t xml:space="preserve">Lire les positions</w:t>
      </w:r>
    </w:p>
    <w:p>
      <w:pPr>
        <w:spacing w:after="30"/>
        <w:ind w:left="280" w:hanging="200"/>
      </w:pPr>
      <w:r>
        <w:rPr>
          <w:b/>
          <w:bCs/>
          <w:color w:val="1F3864"/>
          <w:sz w:val="16"/>
          <w:szCs w:val="16"/>
        </w:rPr>
        <w:t xml:space="preserve">▪ </w:t>
      </w:r>
      <w:r>
        <w:rPr>
          <w:b/>
          <w:bCs/>
          <w:sz w:val="16"/>
          <w:szCs w:val="16"/>
        </w:rPr>
        <w:t xml:space="preserve">Arête latérale : </w:t>
      </w:r>
      <w:r>
        <w:rPr>
          <w:color w:val="404040"/>
          <w:sz w:val="16"/>
          <w:szCs w:val="16"/>
        </w:rPr>
        <w:t xml:space="preserve">distance entre la tête du livre et le bord supérieur de l’onglet (comme en version A).</w:t>
      </w:r>
    </w:p>
    <w:p>
      <w:pPr>
        <w:spacing w:after="30"/>
        <w:ind w:left="280" w:hanging="200"/>
      </w:pPr>
      <w:r>
        <w:rPr>
          <w:b/>
          <w:bCs/>
          <w:color w:val="1F3864"/>
          <w:sz w:val="16"/>
          <w:szCs w:val="16"/>
        </w:rPr>
        <w:t xml:space="preserve">▪ </w:t>
      </w:r>
      <w:r>
        <w:rPr>
          <w:b/>
          <w:bCs/>
          <w:sz w:val="16"/>
          <w:szCs w:val="16"/>
        </w:rPr>
        <w:t xml:space="preserve">Arêtes haute et basse : </w:t>
      </w:r>
      <w:r>
        <w:rPr>
          <w:color w:val="404040"/>
          <w:sz w:val="16"/>
          <w:szCs w:val="16"/>
        </w:rPr>
        <w:t xml:space="preserve">distance entre le coin de la tranche (côté où le livre s’ouvre) et le bord de l’onglet le plus proche de ce coin, mesurée le long de la tête ou du pied. L’onglet dépasse de 8 mm vers le haut (ou le bas), 12 mm pour un phare.</w:t>
      </w:r>
    </w:p>
    <w:p>
      <w:pPr>
        <w:spacing w:after="30"/>
        <w:ind w:left="280" w:hanging="200"/>
      </w:pPr>
      <w:r>
        <w:rPr>
          <w:b/>
          <w:bCs/>
          <w:color w:val="1F3864"/>
          <w:sz w:val="16"/>
          <w:szCs w:val="16"/>
        </w:rPr>
        <w:t xml:space="preserve">▪ </w:t>
      </w:r>
      <w:r>
        <w:rPr>
          <w:b/>
          <w:bCs/>
          <w:sz w:val="16"/>
          <w:szCs w:val="16"/>
        </w:rPr>
        <w:t xml:space="preserve">Ordre de pose : </w:t>
      </w:r>
      <w:r>
        <w:rPr>
          <w:color w:val="404040"/>
          <w:sz w:val="16"/>
          <w:szCs w:val="16"/>
        </w:rPr>
        <w:t xml:space="preserve">dans chaque groupe, l’ordre des pages ; le numéro (#n) indique le créneau (#1 = le plus proche du début de la bande).</w:t>
      </w:r>
    </w:p>
    <w:p>
      <w:pPr>
        <w:spacing w:after="16"/>
      </w:pPr>
      <w:r>
        <w:rPr>
          <w:b/>
          <w:bCs/>
          <w:color w:val="6B4E00"/>
          <w:sz w:val="16"/>
          <w:szCs w:val="16"/>
          <w:shd w:fill="FFD24A" w:color="auto" w:val="clear"/>
        </w:rPr>
        <w:t xml:space="preserve"> ★ </w:t>
      </w:r>
      <w:r>
        <w:rPr>
          <w:color w:val="404040"/>
          <w:sz w:val="15"/>
          <w:szCs w:val="15"/>
        </w:rPr>
        <w:t xml:space="preserve">  phare (les 14 de l’étape 5)</w:t>
      </w:r>
    </w:p>
    <w:p>
      <w:pPr>
        <w:spacing w:after="16"/>
      </w:pPr>
      <w:r>
        <w:rPr>
          <w:b/>
          <w:bCs/>
          <w:color w:val="FFFFFF"/>
          <w:sz w:val="16"/>
          <w:szCs w:val="16"/>
          <w:shd w:fill="1F4E79" w:color="auto" w:val="clear"/>
        </w:rPr>
        <w:t xml:space="preserve"> 1 </w:t>
      </w:r>
      <w:r>
        <w:rPr>
          <w:color w:val="404040"/>
          <w:sz w:val="15"/>
          <w:szCs w:val="15"/>
        </w:rPr>
        <w:t xml:space="preserve">  essentiel</w:t>
      </w:r>
    </w:p>
    <w:p>
      <w:pPr>
        <w:spacing w:after="16"/>
      </w:pPr>
      <w:r>
        <w:rPr>
          <w:b/>
          <w:bCs/>
          <w:color w:val="808080"/>
          <w:sz w:val="16"/>
          <w:szCs w:val="16"/>
          <w:shd w:fill="F2F2F2" w:color="auto" w:val="clear"/>
        </w:rPr>
        <w:t xml:space="preserve"> 2 </w:t>
      </w:r>
      <w:r>
        <w:rPr>
          <w:color w:val="404040"/>
          <w:sz w:val="15"/>
          <w:szCs w:val="15"/>
        </w:rPr>
        <w:t xml:space="preserve">  complémentaire</w:t>
      </w:r>
    </w:p>
    <w:p>
      <w:pPr>
        <w:spacing w:after="16"/>
      </w:pPr>
      <w:r>
        <w:rPr>
          <w:b/>
          <w:bCs/>
          <w:color w:val="FFFFFF"/>
          <w:sz w:val="16"/>
          <w:szCs w:val="16"/>
          <w:shd w:fill="595959" w:color="auto" w:val="clear"/>
        </w:rPr>
        <w:t xml:space="preserve"> ⇄ </w:t>
      </w:r>
      <w:r>
        <w:rPr>
          <w:color w:val="404040"/>
          <w:sz w:val="15"/>
          <w:szCs w:val="15"/>
        </w:rPr>
        <w:t xml:space="preserve">  texte transversal</w:t>
      </w:r>
    </w:p>
    <w:p>
      <w:pPr>
        <w:spacing w:after="60" w:before="220"/>
      </w:pPr>
      <w:r>
        <w:rPr>
          <w:b/>
          <w:bCs/>
          <w:color w:val="1F3864"/>
          <w:sz w:val="24"/>
          <w:szCs w:val="24"/>
        </w:rPr>
        <w:t xml:space="preserve">Partie I — Éléments introductifs</w:t>
      </w:r>
    </w:p>
    <w:tbl>
      <w:tblPr>
        <w:tblW w:type="dxa" w:w="15598"/>
        <w:tblBorders>
          <w:top w:val="single" w:color="BFBFBF" w:sz="2"/>
          <w:left w:val="single" w:color="BFBFBF" w:sz="2"/>
          <w:bottom w:val="single" w:color="BFBFBF" w:sz="2"/>
          <w:right w:val="single" w:color="BFBFBF" w:sz="2"/>
          <w:insideH w:val="single" w:color="D9D9D9" w:sz="2"/>
          <w:insideV w:val="single" w:color="BFBFBF" w:sz="2"/>
        </w:tblBorders>
      </w:tblPr>
      <w:tblGrid>
        <w:gridCol w:w="460"/>
        <w:gridCol w:w="2000"/>
        <w:gridCol w:w="700"/>
        <w:gridCol w:w="1150"/>
        <w:gridCol w:w="2050"/>
        <w:gridCol w:w="800"/>
        <w:gridCol w:w="3200"/>
        <w:gridCol w:w="5238"/>
      </w:tblGrid>
      <w:tr>
        <w:tc>
          <w:tcPr>
            <w:gridSpan w:val="8"/>
            <w:tcBorders>
              <w:top w:val="single" w:color="BFBFBF" w:sz="2"/>
              <w:left w:val="single" w:color="BFBFBF" w:sz="2"/>
              <w:bottom w:val="single" w:color="BFBFBF" w:sz="2"/>
              <w:right w:val="single" w:color="BFBFBF" w:sz="2"/>
            </w:tcBorders>
            <w:shd w:fill="EDEDED" w:color="auto" w:val="clear"/>
          </w:tcPr>
          <w:p>
            <w:pPr>
              <w:spacing w:after="20" w:before="50"/>
            </w:pPr>
            <w:r>
              <w:rPr>
                <w:b/>
                <w:bCs/>
                <w:color w:val="6E6E6E"/>
                <w:sz w:val="21"/>
                <w:szCs w:val="21"/>
              </w:rPr>
              <w:t xml:space="preserve">I — Éléments introductifs</w:t>
            </w:r>
            <w:r>
              <w:rPr>
                <w:b/>
                <w:bCs/>
                <w:color w:val="6E6E6E"/>
                <w:sz w:val="15"/>
                <w:szCs w:val="15"/>
              </w:rPr>
              <w:t xml:space="preserve">     ■ GRIS · arête haute · bande 8 → 37,6 mm du coin de la tranche · pas 8,8 mm · 5 onglets</w:t>
            </w:r>
          </w:p>
          <w:p>
            <w:pPr>
              <w:spacing w:after="40"/>
            </w:pPr>
            <w:r>
              <w:rPr>
                <w:i/>
                <w:iCs/>
                <w:color w:val="6E6E6E"/>
                <w:sz w:val="14"/>
                <w:szCs w:val="14"/>
              </w:rPr>
              <w:t xml:space="preserve">↳ Fiches 1 les notions · 2 les origines philosophiques et religieuses · 3 les origines textuelles · 4 les classifications · 5 les principes directeurs · 6 les régimes · 7 limitations et états d’exception · 8 la crise des droits humains et l’état de droit</w:t>
            </w:r>
          </w:p>
        </w:tc>
      </w:tr>
      <w:tr>
        <w:trPr>
          <w:tblHeader/>
        </w:trPr>
        <w:tc>
          <w:tcPr>
            <w:tcW w:type="dxa" w:w="460"/>
            <w:tcBorders>
              <w:top w:val="single" w:color="BFBFBF" w:sz="2"/>
              <w:left w:val="single" w:color="BFBFBF" w:sz="2"/>
              <w:bottom w:val="single" w:color="BFBFBF" w:sz="2"/>
              <w:right w:val="single" w:color="BFBFBF" w:sz="2"/>
            </w:tcBorders>
            <w:shd w:fill="EDEDED" w:color="auto" w:val="clear"/>
          </w:tcPr>
          <w:p>
            <w:pPr>
              <w:spacing w:after="16" w:before="16"/>
            </w:pPr>
            <w:r>
              <w:rPr>
                <w:b/>
                <w:bCs/>
                <w:i w:val="false"/>
                <w:iCs w:val="false"/>
                <w:color w:val="404040"/>
                <w:sz w:val="13"/>
                <w:szCs w:val="13"/>
              </w:rPr>
              <w:t xml:space="preserve">P</w:t>
            </w:r>
          </w:p>
        </w:tc>
        <w:tc>
          <w:tcPr>
            <w:tcW w:type="dxa" w:w="2000"/>
            <w:tcBorders>
              <w:top w:val="single" w:color="BFBFBF" w:sz="2"/>
              <w:left w:val="single" w:color="BFBFBF" w:sz="2"/>
              <w:bottom w:val="single" w:color="BFBFBF" w:sz="2"/>
              <w:right w:val="single" w:color="BFBFBF" w:sz="2"/>
            </w:tcBorders>
            <w:shd w:fill="EDEDED" w:color="auto" w:val="clear"/>
          </w:tcPr>
          <w:p>
            <w:pPr>
              <w:spacing w:after="16" w:before="16"/>
            </w:pPr>
            <w:r>
              <w:rPr>
                <w:b/>
                <w:bCs/>
                <w:i w:val="false"/>
                <w:iCs w:val="false"/>
                <w:color w:val="404040"/>
                <w:sz w:val="13"/>
                <w:szCs w:val="13"/>
              </w:rPr>
              <w:t xml:space="preserve">À écrire sur l’onglet</w:t>
            </w:r>
          </w:p>
        </w:tc>
        <w:tc>
          <w:tcPr>
            <w:tcW w:type="dxa" w:w="700"/>
            <w:tcBorders>
              <w:top w:val="single" w:color="BFBFBF" w:sz="2"/>
              <w:left w:val="single" w:color="BFBFBF" w:sz="2"/>
              <w:bottom w:val="single" w:color="BFBFBF" w:sz="2"/>
              <w:right w:val="single" w:color="BFBFBF" w:sz="2"/>
            </w:tcBorders>
            <w:shd w:fill="EDEDED" w:color="auto" w:val="clear"/>
          </w:tcPr>
          <w:p>
            <w:pPr>
              <w:spacing w:after="16" w:before="16"/>
            </w:pPr>
            <w:r>
              <w:rPr>
                <w:b/>
                <w:bCs/>
                <w:i w:val="false"/>
                <w:iCs w:val="false"/>
                <w:color w:val="404040"/>
                <w:sz w:val="13"/>
                <w:szCs w:val="13"/>
              </w:rPr>
              <w:t xml:space="preserve">N° · p.</w:t>
            </w:r>
          </w:p>
        </w:tc>
        <w:tc>
          <w:tcPr>
            <w:tcW w:type="dxa" w:w="1150"/>
            <w:tcBorders>
              <w:top w:val="single" w:color="BFBFBF" w:sz="2"/>
              <w:left w:val="single" w:color="BFBFBF" w:sz="2"/>
              <w:bottom w:val="single" w:color="BFBFBF" w:sz="2"/>
              <w:right w:val="single" w:color="BFBFBF" w:sz="2"/>
            </w:tcBorders>
            <w:shd w:fill="EDEDED" w:color="auto" w:val="clear"/>
          </w:tcPr>
          <w:p>
            <w:pPr>
              <w:spacing w:after="16" w:before="16"/>
            </w:pPr>
            <w:r>
              <w:rPr>
                <w:b/>
                <w:bCs/>
                <w:i w:val="false"/>
                <w:iCs w:val="false"/>
                <w:color w:val="404040"/>
                <w:sz w:val="13"/>
                <w:szCs w:val="13"/>
              </w:rPr>
              <w:t xml:space="preserve">Position</w:t>
            </w:r>
          </w:p>
        </w:tc>
        <w:tc>
          <w:tcPr>
            <w:tcW w:type="dxa" w:w="2050"/>
            <w:tcBorders>
              <w:top w:val="single" w:color="BFBFBF" w:sz="2"/>
              <w:left w:val="single" w:color="BFBFBF" w:sz="2"/>
              <w:bottom w:val="single" w:color="BFBFBF" w:sz="2"/>
              <w:right w:val="single" w:color="BFBFBF" w:sz="2"/>
            </w:tcBorders>
            <w:shd w:fill="EDEDED" w:color="auto" w:val="clear"/>
          </w:tcPr>
          <w:p>
            <w:pPr>
              <w:spacing w:after="16" w:before="16"/>
            </w:pPr>
            <w:r>
              <w:rPr>
                <w:b/>
                <w:bCs/>
                <w:i w:val="false"/>
                <w:iCs w:val="false"/>
                <w:color w:val="404040"/>
                <w:sz w:val="13"/>
                <w:szCs w:val="13"/>
              </w:rPr>
              <w:t xml:space="preserve">Intitulé</w:t>
            </w:r>
          </w:p>
        </w:tc>
        <w:tc>
          <w:tcPr>
            <w:tcW w:type="dxa" w:w="800"/>
            <w:tcBorders>
              <w:top w:val="single" w:color="BFBFBF" w:sz="2"/>
              <w:left w:val="single" w:color="BFBFBF" w:sz="2"/>
              <w:bottom w:val="single" w:color="BFBFBF" w:sz="2"/>
              <w:right w:val="single" w:color="BFBFBF" w:sz="2"/>
            </w:tcBorders>
            <w:shd w:fill="EDEDED" w:color="auto" w:val="clear"/>
          </w:tcPr>
          <w:p>
            <w:pPr>
              <w:spacing w:after="16" w:before="16"/>
            </w:pPr>
            <w:r>
              <w:rPr>
                <w:b/>
                <w:bCs/>
                <w:i w:val="false"/>
                <w:iCs w:val="false"/>
                <w:color w:val="404040"/>
                <w:sz w:val="13"/>
                <w:szCs w:val="13"/>
              </w:rPr>
              <w:t xml:space="preserve">Fiche(s)</w:t>
            </w:r>
          </w:p>
        </w:tc>
        <w:tc>
          <w:tcPr>
            <w:tcW w:type="dxa" w:w="3200"/>
            <w:tcBorders>
              <w:top w:val="single" w:color="BFBFBF" w:sz="2"/>
              <w:left w:val="single" w:color="BFBFBF" w:sz="2"/>
              <w:bottom w:val="single" w:color="BFBFBF" w:sz="2"/>
              <w:right w:val="single" w:color="BFBFBF" w:sz="2"/>
            </w:tcBorders>
            <w:shd w:fill="EDEDED" w:color="auto" w:val="clear"/>
          </w:tcPr>
          <w:p>
            <w:pPr>
              <w:spacing w:after="16" w:before="16"/>
            </w:pPr>
            <w:r>
              <w:rPr>
                <w:b/>
                <w:bCs/>
                <w:i w:val="false"/>
                <w:iCs w:val="false"/>
                <w:color w:val="404040"/>
                <w:sz w:val="13"/>
                <w:szCs w:val="13"/>
              </w:rPr>
              <w:t xml:space="preserve">Correspondances dans le recueil</w:t>
            </w:r>
          </w:p>
        </w:tc>
        <w:tc>
          <w:tcPr>
            <w:tcW w:type="dxa" w:w="5238"/>
            <w:tcBorders>
              <w:top w:val="single" w:color="BFBFBF" w:sz="2"/>
              <w:left w:val="single" w:color="BFBFBF" w:sz="2"/>
              <w:bottom w:val="single" w:color="BFBFBF" w:sz="2"/>
              <w:right w:val="single" w:color="BFBFBF" w:sz="2"/>
            </w:tcBorders>
            <w:shd w:fill="EDEDED" w:color="auto" w:val="clear"/>
          </w:tcPr>
          <w:p>
            <w:pPr>
              <w:spacing w:after="16" w:before="16"/>
            </w:pPr>
            <w:r>
              <w:rPr>
                <w:b/>
                <w:bCs/>
                <w:i w:val="false"/>
                <w:iCs w:val="false"/>
                <w:color w:val="404040"/>
                <w:sz w:val="13"/>
                <w:szCs w:val="13"/>
              </w:rPr>
              <w:t xml:space="preserve">Réflexe Grand Oral (tes fiches)</w:t>
            </w:r>
          </w:p>
        </w:tc>
      </w:tr>
      <w:tr>
        <w:tc>
          <w:tcPr>
            <w:tcW w:type="dxa" w:w="460"/>
            <w:tcBorders>
              <w:top w:val="single" w:color="BFBFBF" w:sz="2"/>
              <w:left w:val="single" w:color="BFBFBF" w:sz="2"/>
              <w:bottom w:val="single" w:color="BFBFBF" w:sz="2"/>
              <w:right w:val="single" w:color="BFBFBF" w:sz="2"/>
            </w:tcBorders>
            <w:shd w:fill="6E6E6E"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CONST. art. 16 (7)</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N°3.1 · ≈ p. 9</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6E6E6E"/>
                <w:sz w:val="13"/>
                <w:szCs w:val="13"/>
              </w:rPr>
              <w:t xml:space="preserve">haut. 8 mm (#1)</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Pouvoirs exceptionnels — et art. 36 (état de siège)</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6E6E6E"/>
                <w:sz w:val="13"/>
                <w:szCs w:val="13"/>
              </w:rPr>
              <w:t xml:space="preserve">7</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État de siège N°115 · état d’urgence N°116 · EUS N°117 · art. 15 CEDH (N°4.1)</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Rubin de Servens (CE Ass., 1962) : décision de recourir à l’art. 16 = acte de gouvernement. Pont vers les régimes de crise (fiche 7).</w:t>
            </w:r>
          </w:p>
        </w:tc>
      </w:tr>
      <w:tr>
        <w:tc>
          <w:tcPr>
            <w:tcW w:type="dxa" w:w="460"/>
            <w:tcBorders>
              <w:top w:val="single" w:color="BFBFBF" w:sz="2"/>
              <w:left w:val="single" w:color="BFBFBF" w:sz="2"/>
              <w:bottom w:val="single" w:color="BFBFBF" w:sz="2"/>
              <w:right w:val="single" w:color="BFBFBF" w:sz="2"/>
            </w:tcBorders>
            <w:shd w:fill="6E6E6E"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CEDH art. 15–18 (7)</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N°4.1 · ≈ p. 36</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6E6E6E"/>
                <w:sz w:val="13"/>
                <w:szCs w:val="13"/>
              </w:rPr>
              <w:t xml:space="preserve">haut. 16,8 mm (#2)</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Dérogation en cas d’urgence (15) · abus de droit (17) · détournement de pouvoir (18)</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6E6E6E"/>
                <w:sz w:val="13"/>
                <w:szCs w:val="13"/>
              </w:rPr>
              <w:t xml:space="preserve">7 · 37</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art. 16 C. · état d’urgence (N°116) · art. 4 PIDCP (N°24.1) · art. 52-54 Charte UE</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Lawless c. Irlande (1961) : danger public menaçant la vie de la nation, mesures strictement exigées ; noyau indérogeable (2, 3, 4 § 1, 7). Art. 17 : effet guillotine (Garaudy, 2003 ; M’Bala M’Bala, 2015).</w:t>
            </w:r>
          </w:p>
        </w:tc>
      </w:tr>
      <w:tr>
        <w:tc>
          <w:tcPr>
            <w:tcW w:type="dxa" w:w="460"/>
            <w:tcBorders>
              <w:top w:val="single" w:color="BFBFBF" w:sz="2"/>
              <w:left w:val="single" w:color="BFBFBF" w:sz="2"/>
              <w:bottom w:val="single" w:color="BFBFBF" w:sz="2"/>
              <w:right w:val="single" w:color="BFBFBF" w:sz="2"/>
            </w:tcBorders>
            <w:shd w:fill="F2F2F2" w:color="auto" w:val="clear"/>
          </w:tcPr>
          <w:p>
            <w:pPr>
              <w:spacing w:after="16" w:before="16"/>
              <w:jc w:val="center"/>
            </w:pPr>
            <w:r>
              <w:rPr>
                <w:b/>
                <w:bCs/>
                <w:i w:val="false"/>
                <w:iCs w:val="false"/>
                <w:color w:val="808080"/>
                <w:sz w:val="16"/>
                <w:szCs w:val="16"/>
              </w:rPr>
              <w:t xml:space="preserve">2</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N°115 ÉTAT DE SIÈGE (7)</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N°115 · p. 1195</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6E6E6E"/>
                <w:sz w:val="13"/>
                <w:szCs w:val="13"/>
              </w:rPr>
              <w:t xml:space="preserve">haut. 8 mm (#1)</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État de siège — Code de la défense</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6E6E6E"/>
                <w:sz w:val="13"/>
                <w:szCs w:val="13"/>
              </w:rPr>
              <w:t xml:space="preserve">7</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art. 36 C. (N°3.1)</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Décrété en conseil des ministres, prorogation au-delà de douze jours autorisée par le Parlement (art. 36 C.).</w:t>
            </w:r>
          </w:p>
        </w:tc>
      </w:tr>
      <w:tr>
        <w:tc>
          <w:tcPr>
            <w:tcW w:type="dxa" w:w="460"/>
            <w:tcBorders>
              <w:top w:val="single" w:color="BFBFBF" w:sz="2"/>
              <w:left w:val="single" w:color="BFBFBF" w:sz="2"/>
              <w:bottom w:val="single" w:color="BFBFBF" w:sz="2"/>
              <w:right w:val="single" w:color="BFBFBF" w:sz="2"/>
            </w:tcBorders>
            <w:shd w:fill="FFD24A" w:color="auto" w:val="clear"/>
          </w:tcPr>
          <w:p>
            <w:pPr>
              <w:spacing w:after="16" w:before="16"/>
              <w:jc w:val="center"/>
            </w:pPr>
            <w:r>
              <w:rPr>
                <w:b/>
                <w:bCs/>
                <w:i w:val="false"/>
                <w:iCs w:val="false"/>
                <w:color w:val="6B4E00"/>
                <w:sz w:val="16"/>
                <w:szCs w:val="16"/>
              </w:rPr>
              <w:t xml:space="preserve">★</w:t>
            </w:r>
          </w:p>
        </w:tc>
        <w:tc>
          <w:tcPr>
            <w:tcW w:type="dxa" w:w="2000"/>
            <w:tcBorders>
              <w:top w:val="single" w:color="BFBFBF" w:sz="2"/>
              <w:left w:val="single" w:color="BFBFBF" w:sz="2"/>
              <w:bottom w:val="single" w:color="BFBFBF" w:sz="2"/>
              <w:right w:val="single" w:color="BFBFBF" w:sz="2"/>
            </w:tcBorders>
            <w:shd w:fill="FFF6DC" w:color="auto" w:val="clear"/>
          </w:tcPr>
          <w:p>
            <w:pPr>
              <w:spacing w:after="16" w:before="16"/>
            </w:pPr>
            <w:r>
              <w:rPr>
                <w:b/>
                <w:bCs/>
                <w:i w:val="false"/>
                <w:iCs w:val="false"/>
                <w:color w:val="1F1F1F"/>
                <w:sz w:val="14"/>
                <w:szCs w:val="14"/>
              </w:rPr>
              <w:t xml:space="preserve">N°116 ÉTAT D’URGENCE (7·40)  ★</w:t>
            </w:r>
          </w:p>
        </w:tc>
        <w:tc>
          <w:tcPr>
            <w:tcW w:type="dxa" w:w="70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595959"/>
                <w:sz w:val="12"/>
                <w:szCs w:val="12"/>
              </w:rPr>
              <w:t xml:space="preserve">N°116 · p. 1196</w:t>
            </w:r>
          </w:p>
        </w:tc>
        <w:tc>
          <w:tcPr>
            <w:tcW w:type="dxa" w:w="1150"/>
            <w:tcBorders>
              <w:top w:val="single" w:color="BFBFBF" w:sz="2"/>
              <w:left w:val="single" w:color="BFBFBF" w:sz="2"/>
              <w:bottom w:val="single" w:color="BFBFBF" w:sz="2"/>
              <w:right w:val="single" w:color="BFBFBF" w:sz="2"/>
            </w:tcBorders>
            <w:shd w:fill="FFF6DC" w:color="auto" w:val="clear"/>
          </w:tcPr>
          <w:p>
            <w:pPr>
              <w:spacing w:after="16" w:before="16"/>
              <w:jc w:val="center"/>
            </w:pPr>
            <w:r>
              <w:rPr>
                <w:b/>
                <w:bCs/>
                <w:i w:val="false"/>
                <w:iCs w:val="false"/>
                <w:color w:val="6E6E6E"/>
                <w:sz w:val="13"/>
                <w:szCs w:val="13"/>
              </w:rPr>
              <w:t xml:space="preserve">haut. 16,8 mm (#2)</w:t>
            </w:r>
          </w:p>
        </w:tc>
        <w:tc>
          <w:tcPr>
            <w:tcW w:type="dxa" w:w="205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333333"/>
                <w:sz w:val="13"/>
                <w:szCs w:val="13"/>
              </w:rPr>
              <w:t xml:space="preserve">État d’urgence — C. déf. L.2131-1 et loi n° 55-385 du 3 avril 1955</w:t>
            </w:r>
          </w:p>
        </w:tc>
        <w:tc>
          <w:tcPr>
            <w:tcW w:type="dxa" w:w="800"/>
            <w:tcBorders>
              <w:top w:val="single" w:color="BFBFBF" w:sz="2"/>
              <w:left w:val="single" w:color="BFBFBF" w:sz="2"/>
              <w:bottom w:val="single" w:color="BFBFBF" w:sz="2"/>
              <w:right w:val="single" w:color="BFBFBF" w:sz="2"/>
            </w:tcBorders>
            <w:shd w:fill="FFF6DC" w:color="auto" w:val="clear"/>
          </w:tcPr>
          <w:p>
            <w:pPr>
              <w:spacing w:after="16" w:before="16"/>
              <w:jc w:val="center"/>
            </w:pPr>
            <w:r>
              <w:rPr>
                <w:b/>
                <w:bCs/>
                <w:i w:val="false"/>
                <w:iCs w:val="false"/>
                <w:color w:val="6E6E6E"/>
                <w:sz w:val="13"/>
                <w:szCs w:val="13"/>
              </w:rPr>
              <w:t xml:space="preserve">7 · 40 · 38 · 33</w:t>
            </w:r>
          </w:p>
        </w:tc>
        <w:tc>
          <w:tcPr>
            <w:tcW w:type="dxa" w:w="320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333333"/>
                <w:sz w:val="12"/>
                <w:szCs w:val="12"/>
              </w:rPr>
              <w:t xml:space="preserve">art. 15 CEDH · art. 4 PIDCP · art. 16 C.</w:t>
            </w:r>
          </w:p>
        </w:tc>
        <w:tc>
          <w:tcPr>
            <w:tcW w:type="dxa" w:w="5238"/>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333333"/>
                <w:sz w:val="12"/>
                <w:szCs w:val="12"/>
              </w:rPr>
              <w:t xml:space="preserve">Constitutionnalité de la loi de 1955 (85-187 DC) ; assignation à résidence (2015-527 QPC) ; contrôles d’identité généralisés censurés (2017-677 QPC) ; Domenjoud c. France (2024).</w:t>
            </w:r>
          </w:p>
        </w:tc>
      </w:tr>
      <w:tr>
        <w:tc>
          <w:tcPr>
            <w:tcW w:type="dxa" w:w="460"/>
            <w:tcBorders>
              <w:top w:val="single" w:color="BFBFBF" w:sz="2"/>
              <w:left w:val="single" w:color="BFBFBF" w:sz="2"/>
              <w:bottom w:val="single" w:color="BFBFBF" w:sz="2"/>
              <w:right w:val="single" w:color="BFBFBF" w:sz="2"/>
            </w:tcBorders>
            <w:shd w:fill="FFD24A" w:color="auto" w:val="clear"/>
          </w:tcPr>
          <w:p>
            <w:pPr>
              <w:spacing w:after="16" w:before="16"/>
              <w:jc w:val="center"/>
            </w:pPr>
            <w:r>
              <w:rPr>
                <w:b/>
                <w:bCs/>
                <w:i w:val="false"/>
                <w:iCs w:val="false"/>
                <w:color w:val="6B4E00"/>
                <w:sz w:val="16"/>
                <w:szCs w:val="16"/>
              </w:rPr>
              <w:t xml:space="preserve">★</w:t>
            </w:r>
          </w:p>
        </w:tc>
        <w:tc>
          <w:tcPr>
            <w:tcW w:type="dxa" w:w="2000"/>
            <w:tcBorders>
              <w:top w:val="single" w:color="BFBFBF" w:sz="2"/>
              <w:left w:val="single" w:color="BFBFBF" w:sz="2"/>
              <w:bottom w:val="single" w:color="BFBFBF" w:sz="2"/>
              <w:right w:val="single" w:color="BFBFBF" w:sz="2"/>
            </w:tcBorders>
            <w:shd w:fill="FFF6DC" w:color="auto" w:val="clear"/>
          </w:tcPr>
          <w:p>
            <w:pPr>
              <w:spacing w:after="16" w:before="16"/>
            </w:pPr>
            <w:r>
              <w:rPr>
                <w:b/>
                <w:bCs/>
                <w:i w:val="false"/>
                <w:iCs w:val="false"/>
                <w:color w:val="1F1F1F"/>
                <w:sz w:val="14"/>
                <w:szCs w:val="14"/>
              </w:rPr>
              <w:t xml:space="preserve">N°117 ÉTAT D’URGENCE SANITAIRE (7·40·48)  ★</w:t>
            </w:r>
          </w:p>
        </w:tc>
        <w:tc>
          <w:tcPr>
            <w:tcW w:type="dxa" w:w="70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595959"/>
                <w:sz w:val="12"/>
                <w:szCs w:val="12"/>
              </w:rPr>
              <w:t xml:space="preserve">N°117 · p. 1202</w:t>
            </w:r>
          </w:p>
        </w:tc>
        <w:tc>
          <w:tcPr>
            <w:tcW w:type="dxa" w:w="1150"/>
            <w:tcBorders>
              <w:top w:val="single" w:color="BFBFBF" w:sz="2"/>
              <w:left w:val="single" w:color="BFBFBF" w:sz="2"/>
              <w:bottom w:val="single" w:color="BFBFBF" w:sz="2"/>
              <w:right w:val="single" w:color="BFBFBF" w:sz="2"/>
            </w:tcBorders>
            <w:shd w:fill="FFF6DC" w:color="auto" w:val="clear"/>
          </w:tcPr>
          <w:p>
            <w:pPr>
              <w:spacing w:after="16" w:before="16"/>
              <w:jc w:val="center"/>
            </w:pPr>
            <w:r>
              <w:rPr>
                <w:b/>
                <w:bCs/>
                <w:i w:val="false"/>
                <w:iCs w:val="false"/>
                <w:color w:val="6E6E6E"/>
                <w:sz w:val="13"/>
                <w:szCs w:val="13"/>
              </w:rPr>
              <w:t xml:space="preserve">haut. 25,6 mm (#3)</w:t>
            </w:r>
          </w:p>
        </w:tc>
        <w:tc>
          <w:tcPr>
            <w:tcW w:type="dxa" w:w="205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333333"/>
                <w:sz w:val="13"/>
                <w:szCs w:val="13"/>
              </w:rPr>
              <w:t xml:space="preserve">Menaces sanitaires graves et état d’urgence sanitaire — CSP L.3131-1, L.3131-12 et L.3131-13</w:t>
            </w:r>
          </w:p>
        </w:tc>
        <w:tc>
          <w:tcPr>
            <w:tcW w:type="dxa" w:w="800"/>
            <w:tcBorders>
              <w:top w:val="single" w:color="BFBFBF" w:sz="2"/>
              <w:left w:val="single" w:color="BFBFBF" w:sz="2"/>
              <w:bottom w:val="single" w:color="BFBFBF" w:sz="2"/>
              <w:right w:val="single" w:color="BFBFBF" w:sz="2"/>
            </w:tcBorders>
            <w:shd w:fill="FFF6DC" w:color="auto" w:val="clear"/>
          </w:tcPr>
          <w:p>
            <w:pPr>
              <w:spacing w:after="16" w:before="16"/>
              <w:jc w:val="center"/>
            </w:pPr>
            <w:r>
              <w:rPr>
                <w:b/>
                <w:bCs/>
                <w:i w:val="false"/>
                <w:iCs w:val="false"/>
                <w:color w:val="6E6E6E"/>
                <w:sz w:val="13"/>
                <w:szCs w:val="13"/>
              </w:rPr>
              <w:t xml:space="preserve">7 · 40 · 48 · 35</w:t>
            </w:r>
          </w:p>
        </w:tc>
        <w:tc>
          <w:tcPr>
            <w:tcW w:type="dxa" w:w="320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333333"/>
                <w:sz w:val="12"/>
                <w:szCs w:val="12"/>
              </w:rPr>
              <w:t xml:space="preserve">art. 15 CEDH · al. 11 Préambule (protection de la santé) · Charte UE art. 35</w:t>
            </w:r>
          </w:p>
        </w:tc>
        <w:tc>
          <w:tcPr>
            <w:tcW w:type="dxa" w:w="5238"/>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333333"/>
                <w:sz w:val="12"/>
                <w:szCs w:val="12"/>
              </w:rPr>
              <w:t xml:space="preserve">Loi du 23 mars 2020 et 2020-800 DC ; objectif de valeur constitutionnelle de protection de la santé ; contrôle de proportionnalité par le juge du référé-liberté (CE, ord., 22 mars 2020, Syndicat des jeunes médecins).</w:t>
            </w:r>
          </w:p>
        </w:tc>
      </w:tr>
    </w:tbl>
    <w:p>
      <w:pPr>
        <w:spacing w:after="120"/>
      </w:pPr>
    </w:p>
    <w:p>
      <w:pPr>
        <w:spacing w:after="60" w:before="220"/>
      </w:pPr>
      <w:r>
        <w:rPr>
          <w:b/>
          <w:bCs/>
          <w:color w:val="1F3864"/>
          <w:sz w:val="24"/>
          <w:szCs w:val="24"/>
        </w:rPr>
        <w:t xml:space="preserve">Partie II — Les sources internes</w:t>
      </w:r>
    </w:p>
    <w:tbl>
      <w:tblPr>
        <w:tblW w:type="dxa" w:w="15598"/>
        <w:tblBorders>
          <w:top w:val="single" w:color="BFBFBF" w:sz="2"/>
          <w:left w:val="single" w:color="BFBFBF" w:sz="2"/>
          <w:bottom w:val="single" w:color="BFBFBF" w:sz="2"/>
          <w:right w:val="single" w:color="BFBFBF" w:sz="2"/>
          <w:insideH w:val="single" w:color="D9D9D9" w:sz="2"/>
          <w:insideV w:val="single" w:color="BFBFBF" w:sz="2"/>
        </w:tblBorders>
      </w:tblPr>
      <w:tblGrid>
        <w:gridCol w:w="460"/>
        <w:gridCol w:w="2000"/>
        <w:gridCol w:w="700"/>
        <w:gridCol w:w="1150"/>
        <w:gridCol w:w="2050"/>
        <w:gridCol w:w="800"/>
        <w:gridCol w:w="3200"/>
        <w:gridCol w:w="5238"/>
      </w:tblGrid>
      <w:tr>
        <w:tc>
          <w:tcPr>
            <w:gridSpan w:val="8"/>
            <w:tcBorders>
              <w:top w:val="single" w:color="BFBFBF" w:sz="2"/>
              <w:left w:val="single" w:color="BFBFBF" w:sz="2"/>
              <w:bottom w:val="single" w:color="BFBFBF" w:sz="2"/>
              <w:right w:val="single" w:color="BFBFBF" w:sz="2"/>
            </w:tcBorders>
            <w:shd w:fill="DDEBF7" w:color="auto" w:val="clear"/>
          </w:tcPr>
          <w:p>
            <w:pPr>
              <w:spacing w:after="20" w:before="50"/>
            </w:pPr>
            <w:r>
              <w:rPr>
                <w:b/>
                <w:bCs/>
                <w:color w:val="1F4E79"/>
                <w:sz w:val="21"/>
                <w:szCs w:val="21"/>
              </w:rPr>
              <w:t xml:space="preserve">II — Sources internes</w:t>
            </w:r>
            <w:r>
              <w:rPr>
                <w:b/>
                <w:bCs/>
                <w:color w:val="1F4E79"/>
                <w:sz w:val="15"/>
                <w:szCs w:val="15"/>
              </w:rPr>
              <w:t xml:space="preserve">     ■ BLEU MARINE · arête haute · bande 37,6 → 65,2 mm du coin de la tranche · pas 7,8 mm · 4 onglets</w:t>
            </w:r>
          </w:p>
          <w:p>
            <w:pPr>
              <w:spacing w:after="40"/>
            </w:pPr>
            <w:r>
              <w:rPr>
                <w:i/>
                <w:iCs/>
                <w:color w:val="1F4E79"/>
                <w:sz w:val="14"/>
                <w:szCs w:val="14"/>
              </w:rPr>
              <w:t xml:space="preserve">↳ Fiches 9 les sources constitutionnelles · 10 le bloc de légalité · 11 le règlement et les libertés</w:t>
            </w:r>
          </w:p>
        </w:tc>
      </w:tr>
      <w:tr>
        <w:trPr>
          <w:tblHeader/>
        </w:trPr>
        <w:tc>
          <w:tcPr>
            <w:tcW w:type="dxa" w:w="460"/>
            <w:tcBorders>
              <w:top w:val="single" w:color="BFBFBF" w:sz="2"/>
              <w:left w:val="single" w:color="BFBFBF" w:sz="2"/>
              <w:bottom w:val="single" w:color="BFBFBF" w:sz="2"/>
              <w:right w:val="single" w:color="BFBFBF" w:sz="2"/>
            </w:tcBorders>
            <w:shd w:fill="DDEBF7" w:color="auto" w:val="clear"/>
          </w:tcPr>
          <w:p>
            <w:pPr>
              <w:spacing w:after="16" w:before="16"/>
            </w:pPr>
            <w:r>
              <w:rPr>
                <w:b/>
                <w:bCs/>
                <w:i w:val="false"/>
                <w:iCs w:val="false"/>
                <w:color w:val="404040"/>
                <w:sz w:val="13"/>
                <w:szCs w:val="13"/>
              </w:rPr>
              <w:t xml:space="preserve">P</w:t>
            </w:r>
          </w:p>
        </w:tc>
        <w:tc>
          <w:tcPr>
            <w:tcW w:type="dxa" w:w="2000"/>
            <w:tcBorders>
              <w:top w:val="single" w:color="BFBFBF" w:sz="2"/>
              <w:left w:val="single" w:color="BFBFBF" w:sz="2"/>
              <w:bottom w:val="single" w:color="BFBFBF" w:sz="2"/>
              <w:right w:val="single" w:color="BFBFBF" w:sz="2"/>
            </w:tcBorders>
            <w:shd w:fill="DDEBF7" w:color="auto" w:val="clear"/>
          </w:tcPr>
          <w:p>
            <w:pPr>
              <w:spacing w:after="16" w:before="16"/>
            </w:pPr>
            <w:r>
              <w:rPr>
                <w:b/>
                <w:bCs/>
                <w:i w:val="false"/>
                <w:iCs w:val="false"/>
                <w:color w:val="404040"/>
                <w:sz w:val="13"/>
                <w:szCs w:val="13"/>
              </w:rPr>
              <w:t xml:space="preserve">À écrire sur l’onglet</w:t>
            </w:r>
          </w:p>
        </w:tc>
        <w:tc>
          <w:tcPr>
            <w:tcW w:type="dxa" w:w="700"/>
            <w:tcBorders>
              <w:top w:val="single" w:color="BFBFBF" w:sz="2"/>
              <w:left w:val="single" w:color="BFBFBF" w:sz="2"/>
              <w:bottom w:val="single" w:color="BFBFBF" w:sz="2"/>
              <w:right w:val="single" w:color="BFBFBF" w:sz="2"/>
            </w:tcBorders>
            <w:shd w:fill="DDEBF7" w:color="auto" w:val="clear"/>
          </w:tcPr>
          <w:p>
            <w:pPr>
              <w:spacing w:after="16" w:before="16"/>
            </w:pPr>
            <w:r>
              <w:rPr>
                <w:b/>
                <w:bCs/>
                <w:i w:val="false"/>
                <w:iCs w:val="false"/>
                <w:color w:val="404040"/>
                <w:sz w:val="13"/>
                <w:szCs w:val="13"/>
              </w:rPr>
              <w:t xml:space="preserve">N° · p.</w:t>
            </w:r>
          </w:p>
        </w:tc>
        <w:tc>
          <w:tcPr>
            <w:tcW w:type="dxa" w:w="1150"/>
            <w:tcBorders>
              <w:top w:val="single" w:color="BFBFBF" w:sz="2"/>
              <w:left w:val="single" w:color="BFBFBF" w:sz="2"/>
              <w:bottom w:val="single" w:color="BFBFBF" w:sz="2"/>
              <w:right w:val="single" w:color="BFBFBF" w:sz="2"/>
            </w:tcBorders>
            <w:shd w:fill="DDEBF7" w:color="auto" w:val="clear"/>
          </w:tcPr>
          <w:p>
            <w:pPr>
              <w:spacing w:after="16" w:before="16"/>
            </w:pPr>
            <w:r>
              <w:rPr>
                <w:b/>
                <w:bCs/>
                <w:i w:val="false"/>
                <w:iCs w:val="false"/>
                <w:color w:val="404040"/>
                <w:sz w:val="13"/>
                <w:szCs w:val="13"/>
              </w:rPr>
              <w:t xml:space="preserve">Position</w:t>
            </w:r>
          </w:p>
        </w:tc>
        <w:tc>
          <w:tcPr>
            <w:tcW w:type="dxa" w:w="2050"/>
            <w:tcBorders>
              <w:top w:val="single" w:color="BFBFBF" w:sz="2"/>
              <w:left w:val="single" w:color="BFBFBF" w:sz="2"/>
              <w:bottom w:val="single" w:color="BFBFBF" w:sz="2"/>
              <w:right w:val="single" w:color="BFBFBF" w:sz="2"/>
            </w:tcBorders>
            <w:shd w:fill="DDEBF7" w:color="auto" w:val="clear"/>
          </w:tcPr>
          <w:p>
            <w:pPr>
              <w:spacing w:after="16" w:before="16"/>
            </w:pPr>
            <w:r>
              <w:rPr>
                <w:b/>
                <w:bCs/>
                <w:i w:val="false"/>
                <w:iCs w:val="false"/>
                <w:color w:val="404040"/>
                <w:sz w:val="13"/>
                <w:szCs w:val="13"/>
              </w:rPr>
              <w:t xml:space="preserve">Intitulé</w:t>
            </w:r>
          </w:p>
        </w:tc>
        <w:tc>
          <w:tcPr>
            <w:tcW w:type="dxa" w:w="800"/>
            <w:tcBorders>
              <w:top w:val="single" w:color="BFBFBF" w:sz="2"/>
              <w:left w:val="single" w:color="BFBFBF" w:sz="2"/>
              <w:bottom w:val="single" w:color="BFBFBF" w:sz="2"/>
              <w:right w:val="single" w:color="BFBFBF" w:sz="2"/>
            </w:tcBorders>
            <w:shd w:fill="DDEBF7" w:color="auto" w:val="clear"/>
          </w:tcPr>
          <w:p>
            <w:pPr>
              <w:spacing w:after="16" w:before="16"/>
            </w:pPr>
            <w:r>
              <w:rPr>
                <w:b/>
                <w:bCs/>
                <w:i w:val="false"/>
                <w:iCs w:val="false"/>
                <w:color w:val="404040"/>
                <w:sz w:val="13"/>
                <w:szCs w:val="13"/>
              </w:rPr>
              <w:t xml:space="preserve">Fiche(s)</w:t>
            </w:r>
          </w:p>
        </w:tc>
        <w:tc>
          <w:tcPr>
            <w:tcW w:type="dxa" w:w="3200"/>
            <w:tcBorders>
              <w:top w:val="single" w:color="BFBFBF" w:sz="2"/>
              <w:left w:val="single" w:color="BFBFBF" w:sz="2"/>
              <w:bottom w:val="single" w:color="BFBFBF" w:sz="2"/>
              <w:right w:val="single" w:color="BFBFBF" w:sz="2"/>
            </w:tcBorders>
            <w:shd w:fill="DDEBF7" w:color="auto" w:val="clear"/>
          </w:tcPr>
          <w:p>
            <w:pPr>
              <w:spacing w:after="16" w:before="16"/>
            </w:pPr>
            <w:r>
              <w:rPr>
                <w:b/>
                <w:bCs/>
                <w:i w:val="false"/>
                <w:iCs w:val="false"/>
                <w:color w:val="404040"/>
                <w:sz w:val="13"/>
                <w:szCs w:val="13"/>
              </w:rPr>
              <w:t xml:space="preserve">Correspondances dans le recueil</w:t>
            </w:r>
          </w:p>
        </w:tc>
        <w:tc>
          <w:tcPr>
            <w:tcW w:type="dxa" w:w="5238"/>
            <w:tcBorders>
              <w:top w:val="single" w:color="BFBFBF" w:sz="2"/>
              <w:left w:val="single" w:color="BFBFBF" w:sz="2"/>
              <w:bottom w:val="single" w:color="BFBFBF" w:sz="2"/>
              <w:right w:val="single" w:color="BFBFBF" w:sz="2"/>
            </w:tcBorders>
            <w:shd w:fill="DDEBF7" w:color="auto" w:val="clear"/>
          </w:tcPr>
          <w:p>
            <w:pPr>
              <w:spacing w:after="16" w:before="16"/>
            </w:pPr>
            <w:r>
              <w:rPr>
                <w:b/>
                <w:bCs/>
                <w:i w:val="false"/>
                <w:iCs w:val="false"/>
                <w:color w:val="404040"/>
                <w:sz w:val="13"/>
                <w:szCs w:val="13"/>
              </w:rPr>
              <w:t xml:space="preserve">Réflexe Grand Oral (tes fiches)</w:t>
            </w:r>
          </w:p>
        </w:tc>
      </w:tr>
      <w:tr>
        <w:tc>
          <w:tcPr>
            <w:tcW w:type="dxa" w:w="460"/>
            <w:tcBorders>
              <w:top w:val="single" w:color="BFBFBF" w:sz="2"/>
              <w:left w:val="single" w:color="BFBFBF" w:sz="2"/>
              <w:bottom w:val="single" w:color="BFBFBF" w:sz="2"/>
              <w:right w:val="single" w:color="BFBFBF" w:sz="2"/>
            </w:tcBorders>
            <w:shd w:fill="595959" w:color="auto" w:val="clear"/>
          </w:tcPr>
          <w:p>
            <w:pPr>
              <w:spacing w:after="16" w:before="16"/>
              <w:jc w:val="center"/>
            </w:pPr>
            <w:r>
              <w:rPr>
                <w:b/>
                <w:bCs/>
                <w:i w:val="false"/>
                <w:iCs w:val="false"/>
                <w:color w:val="FFFFFF"/>
                <w:sz w:val="16"/>
                <w:szCs w:val="16"/>
              </w:rPr>
              <w:t xml:space="preserve">⇄</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N°1 DDHC</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N°1 · p. 3</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1F4E79"/>
                <w:sz w:val="13"/>
                <w:szCs w:val="13"/>
              </w:rPr>
              <w:t xml:space="preserve">haut. 37,6 mm (#1)</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Déclaration des droits de l’homme et du citoyen (1789)</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1F4E79"/>
                <w:sz w:val="13"/>
                <w:szCs w:val="13"/>
              </w:rPr>
              <w:t xml:space="preserve">3 · 9 · toutes</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Préambule 1946 (N°2) · Constitution (N°3.1) · Charte env. (N°3.2) · DUDH (N°23)</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Norme de contrôle depuis 73-51 DC (Taxation d’office). Mini-index : art. 2 → vie privée (99-416 DC) f.33 &amp; aller et venir f.40 · 4 → liberté, abus f.6 · 6 → égalité f.54/42 · 7-9 → garanties pénales f.32 · 10 → religion f.36 · 11 → expression f.37 · 16 → recours effectif (96-373 DC) f.31 · 17 → propriété (81-132 DC) f.46.</w:t>
            </w:r>
          </w:p>
        </w:tc>
      </w:tr>
      <w:tr>
        <w:tc>
          <w:tcPr>
            <w:tcW w:type="dxa" w:w="460"/>
            <w:tcBorders>
              <w:top w:val="single" w:color="BFBFBF" w:sz="2"/>
              <w:left w:val="single" w:color="BFBFBF" w:sz="2"/>
              <w:bottom w:val="single" w:color="BFBFBF" w:sz="2"/>
              <w:right w:val="single" w:color="BFBFBF" w:sz="2"/>
            </w:tcBorders>
            <w:shd w:fill="595959" w:color="auto" w:val="clear"/>
          </w:tcPr>
          <w:p>
            <w:pPr>
              <w:spacing w:after="16" w:before="16"/>
              <w:jc w:val="center"/>
            </w:pPr>
            <w:r>
              <w:rPr>
                <w:b/>
                <w:bCs/>
                <w:i w:val="false"/>
                <w:iCs w:val="false"/>
                <w:color w:val="FFFFFF"/>
                <w:sz w:val="16"/>
                <w:szCs w:val="16"/>
              </w:rPr>
              <w:t xml:space="preserve">⇄</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N°2 PRÉAMB. 46</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N°2 · p. 4</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1F4E79"/>
                <w:sz w:val="13"/>
                <w:szCs w:val="13"/>
              </w:rPr>
              <w:t xml:space="preserve">haut. 45,4 mm (#2)</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Préambule de la Constitution du 27 octobre 1946</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1F4E79"/>
                <w:sz w:val="13"/>
                <w:szCs w:val="13"/>
              </w:rPr>
              <w:t xml:space="preserve">9 · 5 · 47-53</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DDHC (N°1) · Charte sociale (N°14) · PIDESC (N°25.1) · Charte UE titre IV (N°17.2)</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Valeur constitutionnelle et PFRLR : 71-44 DC ; dignité dégagée de l’al. 1er : 94-343/344 DC. Mini-index : al. 3 égalité F/H f.54 · 4 asile f.53 · 5 emploi f.50 · 6 syndicat · 7 grève (79-105 DC) f.50 · 10 vie familiale (93-325 DC) f.34 · 11 santé f.48 · 13 instruction f.47 et culture f.52.</w:t>
            </w:r>
          </w:p>
        </w:tc>
      </w:tr>
      <w:tr>
        <w:tc>
          <w:tcPr>
            <w:tcW w:type="dxa" w:w="460"/>
            <w:tcBorders>
              <w:top w:val="single" w:color="BFBFBF" w:sz="2"/>
              <w:left w:val="single" w:color="BFBFBF" w:sz="2"/>
              <w:bottom w:val="single" w:color="BFBFBF" w:sz="2"/>
              <w:right w:val="single" w:color="BFBFBF" w:sz="2"/>
            </w:tcBorders>
            <w:shd w:fill="FFD24A" w:color="auto" w:val="clear"/>
          </w:tcPr>
          <w:p>
            <w:pPr>
              <w:spacing w:after="16" w:before="16"/>
              <w:jc w:val="center"/>
            </w:pPr>
            <w:r>
              <w:rPr>
                <w:b/>
                <w:bCs/>
                <w:i w:val="false"/>
                <w:iCs w:val="false"/>
                <w:color w:val="6B4E00"/>
                <w:sz w:val="16"/>
                <w:szCs w:val="16"/>
              </w:rPr>
              <w:t xml:space="preserve">★</w:t>
            </w:r>
          </w:p>
        </w:tc>
        <w:tc>
          <w:tcPr>
            <w:tcW w:type="dxa" w:w="2000"/>
            <w:tcBorders>
              <w:top w:val="single" w:color="BFBFBF" w:sz="2"/>
              <w:left w:val="single" w:color="BFBFBF" w:sz="2"/>
              <w:bottom w:val="single" w:color="BFBFBF" w:sz="2"/>
              <w:right w:val="single" w:color="BFBFBF" w:sz="2"/>
            </w:tcBorders>
            <w:shd w:fill="FFF6DC" w:color="auto" w:val="clear"/>
          </w:tcPr>
          <w:p>
            <w:pPr>
              <w:spacing w:after="16" w:before="16"/>
            </w:pPr>
            <w:r>
              <w:rPr>
                <w:b/>
                <w:bCs/>
                <w:i w:val="false"/>
                <w:iCs w:val="false"/>
                <w:color w:val="1F1F1F"/>
                <w:sz w:val="14"/>
                <w:szCs w:val="14"/>
              </w:rPr>
              <w:t xml:space="preserve">CONST. art. 34 (10·6)  ★</w:t>
            </w:r>
          </w:p>
        </w:tc>
        <w:tc>
          <w:tcPr>
            <w:tcW w:type="dxa" w:w="70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595959"/>
                <w:sz w:val="12"/>
                <w:szCs w:val="12"/>
              </w:rPr>
              <w:t xml:space="preserve">N°3.1 · ≈ p. 12</w:t>
            </w:r>
          </w:p>
        </w:tc>
        <w:tc>
          <w:tcPr>
            <w:tcW w:type="dxa" w:w="1150"/>
            <w:tcBorders>
              <w:top w:val="single" w:color="BFBFBF" w:sz="2"/>
              <w:left w:val="single" w:color="BFBFBF" w:sz="2"/>
              <w:bottom w:val="single" w:color="BFBFBF" w:sz="2"/>
              <w:right w:val="single" w:color="BFBFBF" w:sz="2"/>
            </w:tcBorders>
            <w:shd w:fill="FFF6DC" w:color="auto" w:val="clear"/>
          </w:tcPr>
          <w:p>
            <w:pPr>
              <w:spacing w:after="16" w:before="16"/>
              <w:jc w:val="center"/>
            </w:pPr>
            <w:r>
              <w:rPr>
                <w:b/>
                <w:bCs/>
                <w:i w:val="false"/>
                <w:iCs w:val="false"/>
                <w:color w:val="1F4E79"/>
                <w:sz w:val="13"/>
                <w:szCs w:val="13"/>
              </w:rPr>
              <w:t xml:space="preserve">haut. 53,2 mm (#3)</w:t>
            </w:r>
          </w:p>
        </w:tc>
        <w:tc>
          <w:tcPr>
            <w:tcW w:type="dxa" w:w="205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333333"/>
                <w:sz w:val="13"/>
                <w:szCs w:val="13"/>
              </w:rPr>
              <w:t xml:space="preserve">Domaine de la loi : garanties fondamentales des libertés publiques</w:t>
            </w:r>
          </w:p>
        </w:tc>
        <w:tc>
          <w:tcPr>
            <w:tcW w:type="dxa" w:w="800"/>
            <w:tcBorders>
              <w:top w:val="single" w:color="BFBFBF" w:sz="2"/>
              <w:left w:val="single" w:color="BFBFBF" w:sz="2"/>
              <w:bottom w:val="single" w:color="BFBFBF" w:sz="2"/>
              <w:right w:val="single" w:color="BFBFBF" w:sz="2"/>
            </w:tcBorders>
            <w:shd w:fill="FFF6DC" w:color="auto" w:val="clear"/>
          </w:tcPr>
          <w:p>
            <w:pPr>
              <w:spacing w:after="16" w:before="16"/>
              <w:jc w:val="center"/>
            </w:pPr>
            <w:r>
              <w:rPr>
                <w:b/>
                <w:bCs/>
                <w:i w:val="false"/>
                <w:iCs w:val="false"/>
                <w:color w:val="1F4E79"/>
                <w:sz w:val="13"/>
                <w:szCs w:val="13"/>
              </w:rPr>
              <w:t xml:space="preserve">10 · 6 · 11</w:t>
            </w:r>
          </w:p>
        </w:tc>
        <w:tc>
          <w:tcPr>
            <w:tcW w:type="dxa" w:w="320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333333"/>
                <w:sz w:val="12"/>
                <w:szCs w:val="12"/>
              </w:rPr>
              <w:t xml:space="preserve">art. 37 (règlement, fiche 11) · DDHC art. 4-5 (N°1)</w:t>
            </w:r>
          </w:p>
        </w:tc>
        <w:tc>
          <w:tcPr>
            <w:tcW w:type="dxa" w:w="5238"/>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333333"/>
                <w:sz w:val="12"/>
                <w:szCs w:val="12"/>
              </w:rPr>
              <w:t xml:space="preserve">Seule la loi fixe les garanties fondamentales : incompétence négative ; 85-197 DC (la loi n’exprime la volonté générale que dans le respect de la Constitution) ; 86-217 DC effet cliquet. Daudignac (CE 1951) : seule la loi institue un régime préventif.</w:t>
            </w:r>
          </w:p>
        </w:tc>
      </w:tr>
      <w:tr>
        <w:tc>
          <w:tcPr>
            <w:tcW w:type="dxa" w:w="460"/>
            <w:tcBorders>
              <w:top w:val="single" w:color="BFBFBF" w:sz="2"/>
              <w:left w:val="single" w:color="BFBFBF" w:sz="2"/>
              <w:bottom w:val="single" w:color="BFBFBF" w:sz="2"/>
              <w:right w:val="single" w:color="BFBFBF" w:sz="2"/>
            </w:tcBorders>
            <w:shd w:fill="F2F2F2" w:color="auto" w:val="clear"/>
          </w:tcPr>
          <w:p>
            <w:pPr>
              <w:spacing w:after="16" w:before="16"/>
              <w:jc w:val="center"/>
            </w:pPr>
            <w:r>
              <w:rPr>
                <w:b/>
                <w:bCs/>
                <w:i w:val="false"/>
                <w:iCs w:val="false"/>
                <w:color w:val="808080"/>
                <w:sz w:val="16"/>
                <w:szCs w:val="16"/>
              </w:rPr>
              <w:t xml:space="preserve">2</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N°110.1–110.2 DÉMOCRATIE LOCALE (11·42)</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N°110.1 · p. 1184</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1F4E79"/>
                <w:sz w:val="13"/>
                <w:szCs w:val="13"/>
              </w:rPr>
              <w:t xml:space="preserve">haut. 37,6 mm (#1)</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Libre administration (CGCT L.1111-1 s.) · référendum local et consultation (LO.1112-1 s., N°110.2 p. 1185)</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1F4E79"/>
                <w:sz w:val="13"/>
                <w:szCs w:val="13"/>
              </w:rPr>
              <w:t xml:space="preserve">11 · 42</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art. 72 C. · art. 3 Prot. 1</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Libre administration des collectivités territoriales, garantie constitutionnelle (art. 72 C.).</w:t>
            </w:r>
          </w:p>
        </w:tc>
      </w:tr>
    </w:tbl>
    <w:p>
      <w:pPr>
        <w:spacing w:after="120"/>
      </w:pPr>
    </w:p>
    <w:p>
      <w:pPr>
        <w:spacing w:after="60" w:before="220"/>
      </w:pPr>
      <w:r>
        <w:rPr>
          <w:b/>
          <w:bCs/>
          <w:color w:val="1F3864"/>
          <w:sz w:val="24"/>
          <w:szCs w:val="24"/>
        </w:rPr>
        <w:t xml:space="preserve">Partie III — Les sources externes</w:t>
      </w:r>
    </w:p>
    <w:tbl>
      <w:tblPr>
        <w:tblW w:type="dxa" w:w="15598"/>
        <w:tblBorders>
          <w:top w:val="single" w:color="BFBFBF" w:sz="2"/>
          <w:left w:val="single" w:color="BFBFBF" w:sz="2"/>
          <w:bottom w:val="single" w:color="BFBFBF" w:sz="2"/>
          <w:right w:val="single" w:color="BFBFBF" w:sz="2"/>
          <w:insideH w:val="single" w:color="D9D9D9" w:sz="2"/>
          <w:insideV w:val="single" w:color="BFBFBF" w:sz="2"/>
        </w:tblBorders>
      </w:tblPr>
      <w:tblGrid>
        <w:gridCol w:w="460"/>
        <w:gridCol w:w="2000"/>
        <w:gridCol w:w="700"/>
        <w:gridCol w:w="1150"/>
        <w:gridCol w:w="2050"/>
        <w:gridCol w:w="800"/>
        <w:gridCol w:w="3200"/>
        <w:gridCol w:w="5238"/>
      </w:tblGrid>
      <w:tr>
        <w:tc>
          <w:tcPr>
            <w:gridSpan w:val="8"/>
            <w:tcBorders>
              <w:top w:val="single" w:color="BFBFBF" w:sz="2"/>
              <w:left w:val="single" w:color="BFBFBF" w:sz="2"/>
              <w:bottom w:val="single" w:color="BFBFBF" w:sz="2"/>
              <w:right w:val="single" w:color="BFBFBF" w:sz="2"/>
            </w:tcBorders>
            <w:shd w:fill="D6F0EE" w:color="auto" w:val="clear"/>
          </w:tcPr>
          <w:p>
            <w:pPr>
              <w:spacing w:after="20" w:before="50"/>
            </w:pPr>
            <w:r>
              <w:rPr>
                <w:b/>
                <w:bCs/>
                <w:color w:val="2E938A"/>
                <w:sz w:val="21"/>
                <w:szCs w:val="21"/>
              </w:rPr>
              <w:t xml:space="preserve">III — Sources externes</w:t>
            </w:r>
            <w:r>
              <w:rPr>
                <w:b/>
                <w:bCs/>
                <w:color w:val="2E938A"/>
                <w:sz w:val="15"/>
                <w:szCs w:val="15"/>
              </w:rPr>
              <w:t xml:space="preserve">     ■ TURQUOISE · arête haute · bande 65,2 → 92,7 mm du coin de la tranche · pas 9 mm · 6 onglets</w:t>
            </w:r>
          </w:p>
          <w:p>
            <w:pPr>
              <w:spacing w:after="40"/>
            </w:pPr>
            <w:r>
              <w:rPr>
                <w:i/>
                <w:iCs/>
                <w:color w:val="2E938A"/>
                <w:sz w:val="14"/>
                <w:szCs w:val="14"/>
              </w:rPr>
              <w:t xml:space="preserve">↳ Fiches 12 l’internationalisation du droit des libertés · 13 le droit onusien · 14 le conseil de l’europe et la convention européenne des droits de l’homme · 15 le droit de l’union européenne</w:t>
            </w:r>
          </w:p>
        </w:tc>
      </w:tr>
      <w:tr>
        <w:trPr>
          <w:tblHeader/>
        </w:trPr>
        <w:tc>
          <w:tcPr>
            <w:tcW w:type="dxa" w:w="460"/>
            <w:tcBorders>
              <w:top w:val="single" w:color="BFBFBF" w:sz="2"/>
              <w:left w:val="single" w:color="BFBFBF" w:sz="2"/>
              <w:bottom w:val="single" w:color="BFBFBF" w:sz="2"/>
              <w:right w:val="single" w:color="BFBFBF" w:sz="2"/>
            </w:tcBorders>
            <w:shd w:fill="D6F0EE" w:color="auto" w:val="clear"/>
          </w:tcPr>
          <w:p>
            <w:pPr>
              <w:spacing w:after="16" w:before="16"/>
            </w:pPr>
            <w:r>
              <w:rPr>
                <w:b/>
                <w:bCs/>
                <w:i w:val="false"/>
                <w:iCs w:val="false"/>
                <w:color w:val="404040"/>
                <w:sz w:val="13"/>
                <w:szCs w:val="13"/>
              </w:rPr>
              <w:t xml:space="preserve">P</w:t>
            </w:r>
          </w:p>
        </w:tc>
        <w:tc>
          <w:tcPr>
            <w:tcW w:type="dxa" w:w="2000"/>
            <w:tcBorders>
              <w:top w:val="single" w:color="BFBFBF" w:sz="2"/>
              <w:left w:val="single" w:color="BFBFBF" w:sz="2"/>
              <w:bottom w:val="single" w:color="BFBFBF" w:sz="2"/>
              <w:right w:val="single" w:color="BFBFBF" w:sz="2"/>
            </w:tcBorders>
            <w:shd w:fill="D6F0EE" w:color="auto" w:val="clear"/>
          </w:tcPr>
          <w:p>
            <w:pPr>
              <w:spacing w:after="16" w:before="16"/>
            </w:pPr>
            <w:r>
              <w:rPr>
                <w:b/>
                <w:bCs/>
                <w:i w:val="false"/>
                <w:iCs w:val="false"/>
                <w:color w:val="404040"/>
                <w:sz w:val="13"/>
                <w:szCs w:val="13"/>
              </w:rPr>
              <w:t xml:space="preserve">À écrire sur l’onglet</w:t>
            </w:r>
          </w:p>
        </w:tc>
        <w:tc>
          <w:tcPr>
            <w:tcW w:type="dxa" w:w="700"/>
            <w:tcBorders>
              <w:top w:val="single" w:color="BFBFBF" w:sz="2"/>
              <w:left w:val="single" w:color="BFBFBF" w:sz="2"/>
              <w:bottom w:val="single" w:color="BFBFBF" w:sz="2"/>
              <w:right w:val="single" w:color="BFBFBF" w:sz="2"/>
            </w:tcBorders>
            <w:shd w:fill="D6F0EE" w:color="auto" w:val="clear"/>
          </w:tcPr>
          <w:p>
            <w:pPr>
              <w:spacing w:after="16" w:before="16"/>
            </w:pPr>
            <w:r>
              <w:rPr>
                <w:b/>
                <w:bCs/>
                <w:i w:val="false"/>
                <w:iCs w:val="false"/>
                <w:color w:val="404040"/>
                <w:sz w:val="13"/>
                <w:szCs w:val="13"/>
              </w:rPr>
              <w:t xml:space="preserve">N° · p.</w:t>
            </w:r>
          </w:p>
        </w:tc>
        <w:tc>
          <w:tcPr>
            <w:tcW w:type="dxa" w:w="1150"/>
            <w:tcBorders>
              <w:top w:val="single" w:color="BFBFBF" w:sz="2"/>
              <w:left w:val="single" w:color="BFBFBF" w:sz="2"/>
              <w:bottom w:val="single" w:color="BFBFBF" w:sz="2"/>
              <w:right w:val="single" w:color="BFBFBF" w:sz="2"/>
            </w:tcBorders>
            <w:shd w:fill="D6F0EE" w:color="auto" w:val="clear"/>
          </w:tcPr>
          <w:p>
            <w:pPr>
              <w:spacing w:after="16" w:before="16"/>
            </w:pPr>
            <w:r>
              <w:rPr>
                <w:b/>
                <w:bCs/>
                <w:i w:val="false"/>
                <w:iCs w:val="false"/>
                <w:color w:val="404040"/>
                <w:sz w:val="13"/>
                <w:szCs w:val="13"/>
              </w:rPr>
              <w:t xml:space="preserve">Position</w:t>
            </w:r>
          </w:p>
        </w:tc>
        <w:tc>
          <w:tcPr>
            <w:tcW w:type="dxa" w:w="2050"/>
            <w:tcBorders>
              <w:top w:val="single" w:color="BFBFBF" w:sz="2"/>
              <w:left w:val="single" w:color="BFBFBF" w:sz="2"/>
              <w:bottom w:val="single" w:color="BFBFBF" w:sz="2"/>
              <w:right w:val="single" w:color="BFBFBF" w:sz="2"/>
            </w:tcBorders>
            <w:shd w:fill="D6F0EE" w:color="auto" w:val="clear"/>
          </w:tcPr>
          <w:p>
            <w:pPr>
              <w:spacing w:after="16" w:before="16"/>
            </w:pPr>
            <w:r>
              <w:rPr>
                <w:b/>
                <w:bCs/>
                <w:i w:val="false"/>
                <w:iCs w:val="false"/>
                <w:color w:val="404040"/>
                <w:sz w:val="13"/>
                <w:szCs w:val="13"/>
              </w:rPr>
              <w:t xml:space="preserve">Intitulé</w:t>
            </w:r>
          </w:p>
        </w:tc>
        <w:tc>
          <w:tcPr>
            <w:tcW w:type="dxa" w:w="800"/>
            <w:tcBorders>
              <w:top w:val="single" w:color="BFBFBF" w:sz="2"/>
              <w:left w:val="single" w:color="BFBFBF" w:sz="2"/>
              <w:bottom w:val="single" w:color="BFBFBF" w:sz="2"/>
              <w:right w:val="single" w:color="BFBFBF" w:sz="2"/>
            </w:tcBorders>
            <w:shd w:fill="D6F0EE" w:color="auto" w:val="clear"/>
          </w:tcPr>
          <w:p>
            <w:pPr>
              <w:spacing w:after="16" w:before="16"/>
            </w:pPr>
            <w:r>
              <w:rPr>
                <w:b/>
                <w:bCs/>
                <w:i w:val="false"/>
                <w:iCs w:val="false"/>
                <w:color w:val="404040"/>
                <w:sz w:val="13"/>
                <w:szCs w:val="13"/>
              </w:rPr>
              <w:t xml:space="preserve">Fiche(s)</w:t>
            </w:r>
          </w:p>
        </w:tc>
        <w:tc>
          <w:tcPr>
            <w:tcW w:type="dxa" w:w="3200"/>
            <w:tcBorders>
              <w:top w:val="single" w:color="BFBFBF" w:sz="2"/>
              <w:left w:val="single" w:color="BFBFBF" w:sz="2"/>
              <w:bottom w:val="single" w:color="BFBFBF" w:sz="2"/>
              <w:right w:val="single" w:color="BFBFBF" w:sz="2"/>
            </w:tcBorders>
            <w:shd w:fill="D6F0EE" w:color="auto" w:val="clear"/>
          </w:tcPr>
          <w:p>
            <w:pPr>
              <w:spacing w:after="16" w:before="16"/>
            </w:pPr>
            <w:r>
              <w:rPr>
                <w:b/>
                <w:bCs/>
                <w:i w:val="false"/>
                <w:iCs w:val="false"/>
                <w:color w:val="404040"/>
                <w:sz w:val="13"/>
                <w:szCs w:val="13"/>
              </w:rPr>
              <w:t xml:space="preserve">Correspondances dans le recueil</w:t>
            </w:r>
          </w:p>
        </w:tc>
        <w:tc>
          <w:tcPr>
            <w:tcW w:type="dxa" w:w="5238"/>
            <w:tcBorders>
              <w:top w:val="single" w:color="BFBFBF" w:sz="2"/>
              <w:left w:val="single" w:color="BFBFBF" w:sz="2"/>
              <w:bottom w:val="single" w:color="BFBFBF" w:sz="2"/>
              <w:right w:val="single" w:color="BFBFBF" w:sz="2"/>
            </w:tcBorders>
            <w:shd w:fill="D6F0EE" w:color="auto" w:val="clear"/>
          </w:tcPr>
          <w:p>
            <w:pPr>
              <w:spacing w:after="16" w:before="16"/>
            </w:pPr>
            <w:r>
              <w:rPr>
                <w:b/>
                <w:bCs/>
                <w:i w:val="false"/>
                <w:iCs w:val="false"/>
                <w:color w:val="404040"/>
                <w:sz w:val="13"/>
                <w:szCs w:val="13"/>
              </w:rPr>
              <w:t xml:space="preserve">Réflexe Grand Oral (tes fiches)</w:t>
            </w:r>
          </w:p>
        </w:tc>
      </w:tr>
      <w:tr>
        <w:tc>
          <w:tcPr>
            <w:tcW w:type="dxa" w:w="460"/>
            <w:tcBorders>
              <w:top w:val="single" w:color="BFBFBF" w:sz="2"/>
              <w:left w:val="single" w:color="BFBFBF" w:sz="2"/>
              <w:bottom w:val="single" w:color="BFBFBF" w:sz="2"/>
              <w:right w:val="single" w:color="BFBFBF" w:sz="2"/>
            </w:tcBorders>
            <w:shd w:fill="2E938A"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CONST. art. 55 (12)</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N°3.1 · ≈ p. 16</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2E938A"/>
                <w:sz w:val="13"/>
                <w:szCs w:val="13"/>
              </w:rPr>
              <w:t xml:space="preserve">haut. 65,2 mm (#1)</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Autorité des traités — et art. 53-1 (asile), 54 (contrôle des engagements)</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2E938A"/>
                <w:sz w:val="13"/>
                <w:szCs w:val="13"/>
              </w:rPr>
              <w:t xml:space="preserve">12 · 17 · 53</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art. 88-1 (UE) · Conv. EDH (N°4.1) · Conv. Genève (N°31)</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Jacques Vabre (1975) &amp; Nicolo (1989) : contrôle de conventionnalité par le juge ordinaire ; 74-54 DC IVG : refus du Conseil. Sarran (1998) / Fraisse (2000) : primauté de la Constitution dans l’ordre interne.</w:t>
            </w:r>
          </w:p>
        </w:tc>
      </w:tr>
      <w:tr>
        <w:tc>
          <w:tcPr>
            <w:tcW w:type="dxa" w:w="460"/>
            <w:tcBorders>
              <w:top w:val="single" w:color="BFBFBF" w:sz="2"/>
              <w:left w:val="single" w:color="BFBFBF" w:sz="2"/>
              <w:bottom w:val="single" w:color="BFBFBF" w:sz="2"/>
              <w:right w:val="single" w:color="BFBFBF" w:sz="2"/>
            </w:tcBorders>
            <w:shd w:fill="F2F2F2" w:color="auto" w:val="clear"/>
          </w:tcPr>
          <w:p>
            <w:pPr>
              <w:spacing w:after="16" w:before="16"/>
              <w:jc w:val="center"/>
            </w:pPr>
            <w:r>
              <w:rPr>
                <w:b/>
                <w:bCs/>
                <w:i w:val="false"/>
                <w:iCs w:val="false"/>
                <w:color w:val="808080"/>
                <w:sz w:val="16"/>
                <w:szCs w:val="16"/>
              </w:rPr>
              <w:t xml:space="preserve">2</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CONST. art. 88-1 (15)</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N°3.1 · ≈ p. 24</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2E938A"/>
                <w:sz w:val="13"/>
                <w:szCs w:val="13"/>
              </w:rPr>
              <w:t xml:space="preserve">haut. 74,2 mm (#2)</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Participation à l’Union européenne (art. 88-1) · vote des citoyens UE aux municipales (art. 88-3)</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2E938A"/>
                <w:sz w:val="13"/>
                <w:szCs w:val="13"/>
              </w:rPr>
              <w:t xml:space="preserve">15 · 16 · 42</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TUE (N°17.1) · Charte UE (N°17.2) · art. 55 · vote municipal N°68.4</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Tes fiches 15-16 traitent l’identité constitutionnelle sans citer l’article : transposition = exigence constitutionnelle, réserve d’identité : 2006-540 DC ; Arcelor (CE Ass., 2007) ; 2021-940 QPC Air France (1er principe inhérent à l’identité constitutionnelle).</w:t>
            </w:r>
          </w:p>
        </w:tc>
      </w:tr>
      <w:tr>
        <w:tc>
          <w:tcPr>
            <w:tcW w:type="dxa" w:w="460"/>
            <w:tcBorders>
              <w:top w:val="single" w:color="BFBFBF" w:sz="2"/>
              <w:left w:val="single" w:color="BFBFBF" w:sz="2"/>
              <w:bottom w:val="single" w:color="BFBFBF" w:sz="2"/>
              <w:right w:val="single" w:color="BFBFBF" w:sz="2"/>
            </w:tcBorders>
            <w:shd w:fill="2E938A"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N°17.1 TUE art. 1–7 (15·8)</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N°17.1 · p. 171</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2E938A"/>
                <w:sz w:val="13"/>
                <w:szCs w:val="13"/>
              </w:rPr>
              <w:t xml:space="preserve">haut. 65,2 mm (#1)</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Valeurs (art. 2), Charte, CEDH et principes généraux (art. 6), sanction des violations graves (art. 7)</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2E938A"/>
                <w:sz w:val="13"/>
                <w:szCs w:val="13"/>
              </w:rPr>
              <w:t xml:space="preserve">15 · 8 · 23</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Charte UE (N°17.2) · art. 88-1 C. (N°3.1) · Conv. EDH (N°4.1)</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Art. 6 : la Charte a la valeur des traités depuis Lisbonne ; adhésion à la CEDH bloquée par l’avis 2/13 (2014) ; principes généraux (Internationale Handelsgesellschaft, 1970 ; Nold, 1974). Art. 2 et 7 : crise de l’État de droit (fiche 8), Commission c. Pologne (indépendance des juges).</w:t>
            </w:r>
          </w:p>
        </w:tc>
      </w:tr>
      <w:tr>
        <w:tc>
          <w:tcPr>
            <w:tcW w:type="dxa" w:w="460"/>
            <w:tcBorders>
              <w:top w:val="single" w:color="BFBFBF" w:sz="2"/>
              <w:left w:val="single" w:color="BFBFBF" w:sz="2"/>
              <w:bottom w:val="single" w:color="BFBFBF" w:sz="2"/>
              <w:right w:val="single" w:color="BFBFBF" w:sz="2"/>
            </w:tcBorders>
            <w:shd w:fill="F2F2F2" w:color="auto" w:val="clear"/>
          </w:tcPr>
          <w:p>
            <w:pPr>
              <w:spacing w:after="16" w:before="16"/>
              <w:jc w:val="center"/>
            </w:pPr>
            <w:r>
              <w:rPr>
                <w:b/>
                <w:bCs/>
                <w:i w:val="false"/>
                <w:iCs w:val="false"/>
                <w:color w:val="808080"/>
                <w:sz w:val="16"/>
                <w:szCs w:val="16"/>
              </w:rPr>
              <w:t xml:space="preserve">2</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CHARTE art. 51–54 (15)</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N°17.2 · ≈ p. 181</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2E938A"/>
                <w:sz w:val="13"/>
                <w:szCs w:val="13"/>
              </w:rPr>
              <w:t xml:space="preserve">haut. 74,2 mm (#2)</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Titre VII : champ d’application (51), portée et interprétation (52), niveau de protection (53), abus de droit (54)</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2E938A"/>
                <w:sz w:val="13"/>
                <w:szCs w:val="13"/>
              </w:rPr>
              <w:t xml:space="preserve">15 · 12</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art. 6 TUE (N°17.1) · art. 53 CEDH</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Art. 51 : la Charte lie les États « lorsqu’ils mettent en œuvre le droit de l’Union » (Åkerberg Fransson, 2013). Art. 52 § 3 : même sens et même portée que la CEDH, protection plus étendue permise. Art. 53 : Melloni (2013).</w:t>
            </w:r>
          </w:p>
        </w:tc>
      </w:tr>
      <w:tr>
        <w:tc>
          <w:tcPr>
            <w:tcW w:type="dxa" w:w="460"/>
            <w:tcBorders>
              <w:top w:val="single" w:color="BFBFBF" w:sz="2"/>
              <w:left w:val="single" w:color="BFBFBF" w:sz="2"/>
              <w:bottom w:val="single" w:color="BFBFBF" w:sz="2"/>
              <w:right w:val="single" w:color="BFBFBF" w:sz="2"/>
            </w:tcBorders>
            <w:shd w:fill="595959" w:color="auto" w:val="clear"/>
          </w:tcPr>
          <w:p>
            <w:pPr>
              <w:spacing w:after="16" w:before="16"/>
              <w:jc w:val="center"/>
            </w:pPr>
            <w:r>
              <w:rPr>
                <w:b/>
                <w:bCs/>
                <w:i w:val="false"/>
                <w:iCs w:val="false"/>
                <w:color w:val="FFFFFF"/>
                <w:sz w:val="16"/>
                <w:szCs w:val="16"/>
              </w:rPr>
              <w:t xml:space="preserve">⇄</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N°23 DUDH</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N°23 · p. 412</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2E938A"/>
                <w:sz w:val="13"/>
                <w:szCs w:val="13"/>
              </w:rPr>
              <w:t xml:space="preserve">haut. 65,2 mm (#1)</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Déclaration universelle des droits de l’homme (10 décembre 1948)</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2E938A"/>
                <w:sz w:val="13"/>
                <w:szCs w:val="13"/>
              </w:rPr>
              <w:t xml:space="preserve">13 · 5 · toutes</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DDHC (N°1) · PIDCP (N°24.1) · PIDESC (N°25.1) · Conv. EDH (N°4.1)</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Résolution sans force obligatoire, socle des Pactes. Mini-index : art. 1er dignité f.5 · 3 vie f.26 · 4-5 f.29/28 · 12 vie privée f.33 · 13 circulation f.40 · 14 asile f.53 · 17 propriété f.46 · 19 expression f.37 · 20 réunion, association f.38-39 · 21 élections f.42 · 23 travail f.50 · 25 santé, logement f.48/51 · 26 éducation f.47 · 27 culture f.52.</w:t>
            </w:r>
          </w:p>
        </w:tc>
      </w:tr>
      <w:tr>
        <w:tc>
          <w:tcPr>
            <w:tcW w:type="dxa" w:w="460"/>
            <w:tcBorders>
              <w:top w:val="single" w:color="BFBFBF" w:sz="2"/>
              <w:left w:val="single" w:color="BFBFBF" w:sz="2"/>
              <w:bottom w:val="single" w:color="BFBFBF" w:sz="2"/>
              <w:right w:val="single" w:color="BFBFBF" w:sz="2"/>
            </w:tcBorders>
            <w:shd w:fill="F2F2F2" w:color="auto" w:val="clear"/>
          </w:tcPr>
          <w:p>
            <w:pPr>
              <w:spacing w:after="16" w:before="16"/>
              <w:jc w:val="center"/>
            </w:pPr>
            <w:r>
              <w:rPr>
                <w:b/>
                <w:bCs/>
                <w:i w:val="false"/>
                <w:iCs w:val="false"/>
                <w:color w:val="808080"/>
                <w:sz w:val="16"/>
                <w:szCs w:val="16"/>
              </w:rPr>
              <w:t xml:space="preserve">2</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N°37 STATUT DE ROME — CPI (13)</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N°37 · p. 546</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2E938A"/>
                <w:sz w:val="13"/>
                <w:szCs w:val="13"/>
              </w:rPr>
              <w:t xml:space="preserve">haut. 74,2 mm (#2)</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Statut de la Cour pénale internationale (1998) : génocide (6), crimes contre l’humanité (7), crimes de guerre (8), agression (8 bis)</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2E938A"/>
                <w:sz w:val="13"/>
                <w:szCs w:val="13"/>
              </w:rPr>
              <w:t xml:space="preserve">13 · 26 · 29 · 32</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coopération avec la CPI, CPP 627 s. (N°46) · C. pén. 211-1 s. (N°57) · Conv. génocide (N°28)</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Peu traité dans tes fiches (mentions isolées) : à connaître pour la complémentarité (art. 17) et l’imprescriptibilité (art. 29). Rattaché par thème à la fiche 13.</w:t>
            </w:r>
          </w:p>
        </w:tc>
      </w:tr>
    </w:tbl>
    <w:p>
      <w:pPr>
        <w:spacing w:after="120"/>
      </w:pPr>
    </w:p>
    <w:p>
      <w:pPr>
        <w:spacing w:after="60" w:before="220"/>
      </w:pPr>
      <w:r>
        <w:rPr>
          <w:b/>
          <w:bCs/>
          <w:color w:val="1F3864"/>
          <w:sz w:val="24"/>
          <w:szCs w:val="24"/>
        </w:rPr>
        <w:t xml:space="preserve">Partie IV — Les mécanismes internes de protection</w:t>
      </w:r>
    </w:p>
    <w:tbl>
      <w:tblPr>
        <w:tblW w:type="dxa" w:w="15598"/>
        <w:tblBorders>
          <w:top w:val="single" w:color="BFBFBF" w:sz="2"/>
          <w:left w:val="single" w:color="BFBFBF" w:sz="2"/>
          <w:bottom w:val="single" w:color="BFBFBF" w:sz="2"/>
          <w:right w:val="single" w:color="BFBFBF" w:sz="2"/>
          <w:insideH w:val="single" w:color="D9D9D9" w:sz="2"/>
          <w:insideV w:val="single" w:color="BFBFBF" w:sz="2"/>
        </w:tblBorders>
      </w:tblPr>
      <w:tblGrid>
        <w:gridCol w:w="460"/>
        <w:gridCol w:w="2000"/>
        <w:gridCol w:w="700"/>
        <w:gridCol w:w="1150"/>
        <w:gridCol w:w="2050"/>
        <w:gridCol w:w="800"/>
        <w:gridCol w:w="3200"/>
        <w:gridCol w:w="5238"/>
      </w:tblGrid>
      <w:tr>
        <w:tc>
          <w:tcPr>
            <w:gridSpan w:val="8"/>
            <w:tcBorders>
              <w:top w:val="single" w:color="BFBFBF" w:sz="2"/>
              <w:left w:val="single" w:color="BFBFBF" w:sz="2"/>
              <w:bottom w:val="single" w:color="BFBFBF" w:sz="2"/>
              <w:right w:val="single" w:color="BFBFBF" w:sz="2"/>
            </w:tcBorders>
            <w:shd w:fill="E6E0F0" w:color="auto" w:val="clear"/>
          </w:tcPr>
          <w:p>
            <w:pPr>
              <w:spacing w:after="20" w:before="50"/>
            </w:pPr>
            <w:r>
              <w:rPr>
                <w:b/>
                <w:bCs/>
                <w:color w:val="7030A0"/>
                <w:sz w:val="21"/>
                <w:szCs w:val="21"/>
              </w:rPr>
              <w:t xml:space="preserve">IV — Mécanismes internes de protection</w:t>
            </w:r>
            <w:r>
              <w:rPr>
                <w:b/>
                <w:bCs/>
                <w:color w:val="7030A0"/>
                <w:sz w:val="15"/>
                <w:szCs w:val="15"/>
              </w:rPr>
              <w:t xml:space="preserve">     ■ VIOLET · arête haute · bande 92,7 → 118,3 mm du coin de la tranche · pas 9 mm · 5 onglets</w:t>
            </w:r>
          </w:p>
          <w:p>
            <w:pPr>
              <w:spacing w:after="40"/>
            </w:pPr>
            <w:r>
              <w:rPr>
                <w:i/>
                <w:iCs/>
                <w:color w:val="7030A0"/>
                <w:sz w:val="14"/>
                <w:szCs w:val="14"/>
              </w:rPr>
              <w:t xml:space="preserve">↳ Fiches 16 la protection par le juge constitutionnel · 17 la protection par le juge judiciaire · 18 la protection par le juge administratif · 19 les dérogations au principe de séparation des autorités · 20 la protection administrative</w:t>
            </w:r>
          </w:p>
        </w:tc>
      </w:tr>
      <w:tr>
        <w:trPr>
          <w:tblHeader/>
        </w:trPr>
        <w:tc>
          <w:tcPr>
            <w:tcW w:type="dxa" w:w="460"/>
            <w:tcBorders>
              <w:top w:val="single" w:color="BFBFBF" w:sz="2"/>
              <w:left w:val="single" w:color="BFBFBF" w:sz="2"/>
              <w:bottom w:val="single" w:color="BFBFBF" w:sz="2"/>
              <w:right w:val="single" w:color="BFBFBF" w:sz="2"/>
            </w:tcBorders>
            <w:shd w:fill="E6E0F0" w:color="auto" w:val="clear"/>
          </w:tcPr>
          <w:p>
            <w:pPr>
              <w:spacing w:after="16" w:before="16"/>
            </w:pPr>
            <w:r>
              <w:rPr>
                <w:b/>
                <w:bCs/>
                <w:i w:val="false"/>
                <w:iCs w:val="false"/>
                <w:color w:val="404040"/>
                <w:sz w:val="13"/>
                <w:szCs w:val="13"/>
              </w:rPr>
              <w:t xml:space="preserve">P</w:t>
            </w:r>
          </w:p>
        </w:tc>
        <w:tc>
          <w:tcPr>
            <w:tcW w:type="dxa" w:w="2000"/>
            <w:tcBorders>
              <w:top w:val="single" w:color="BFBFBF" w:sz="2"/>
              <w:left w:val="single" w:color="BFBFBF" w:sz="2"/>
              <w:bottom w:val="single" w:color="BFBFBF" w:sz="2"/>
              <w:right w:val="single" w:color="BFBFBF" w:sz="2"/>
            </w:tcBorders>
            <w:shd w:fill="E6E0F0" w:color="auto" w:val="clear"/>
          </w:tcPr>
          <w:p>
            <w:pPr>
              <w:spacing w:after="16" w:before="16"/>
            </w:pPr>
            <w:r>
              <w:rPr>
                <w:b/>
                <w:bCs/>
                <w:i w:val="false"/>
                <w:iCs w:val="false"/>
                <w:color w:val="404040"/>
                <w:sz w:val="13"/>
                <w:szCs w:val="13"/>
              </w:rPr>
              <w:t xml:space="preserve">À écrire sur l’onglet</w:t>
            </w:r>
          </w:p>
        </w:tc>
        <w:tc>
          <w:tcPr>
            <w:tcW w:type="dxa" w:w="700"/>
            <w:tcBorders>
              <w:top w:val="single" w:color="BFBFBF" w:sz="2"/>
              <w:left w:val="single" w:color="BFBFBF" w:sz="2"/>
              <w:bottom w:val="single" w:color="BFBFBF" w:sz="2"/>
              <w:right w:val="single" w:color="BFBFBF" w:sz="2"/>
            </w:tcBorders>
            <w:shd w:fill="E6E0F0" w:color="auto" w:val="clear"/>
          </w:tcPr>
          <w:p>
            <w:pPr>
              <w:spacing w:after="16" w:before="16"/>
            </w:pPr>
            <w:r>
              <w:rPr>
                <w:b/>
                <w:bCs/>
                <w:i w:val="false"/>
                <w:iCs w:val="false"/>
                <w:color w:val="404040"/>
                <w:sz w:val="13"/>
                <w:szCs w:val="13"/>
              </w:rPr>
              <w:t xml:space="preserve">N° · p.</w:t>
            </w:r>
          </w:p>
        </w:tc>
        <w:tc>
          <w:tcPr>
            <w:tcW w:type="dxa" w:w="1150"/>
            <w:tcBorders>
              <w:top w:val="single" w:color="BFBFBF" w:sz="2"/>
              <w:left w:val="single" w:color="BFBFBF" w:sz="2"/>
              <w:bottom w:val="single" w:color="BFBFBF" w:sz="2"/>
              <w:right w:val="single" w:color="BFBFBF" w:sz="2"/>
            </w:tcBorders>
            <w:shd w:fill="E6E0F0" w:color="auto" w:val="clear"/>
          </w:tcPr>
          <w:p>
            <w:pPr>
              <w:spacing w:after="16" w:before="16"/>
            </w:pPr>
            <w:r>
              <w:rPr>
                <w:b/>
                <w:bCs/>
                <w:i w:val="false"/>
                <w:iCs w:val="false"/>
                <w:color w:val="404040"/>
                <w:sz w:val="13"/>
                <w:szCs w:val="13"/>
              </w:rPr>
              <w:t xml:space="preserve">Position</w:t>
            </w:r>
          </w:p>
        </w:tc>
        <w:tc>
          <w:tcPr>
            <w:tcW w:type="dxa" w:w="2050"/>
            <w:tcBorders>
              <w:top w:val="single" w:color="BFBFBF" w:sz="2"/>
              <w:left w:val="single" w:color="BFBFBF" w:sz="2"/>
              <w:bottom w:val="single" w:color="BFBFBF" w:sz="2"/>
              <w:right w:val="single" w:color="BFBFBF" w:sz="2"/>
            </w:tcBorders>
            <w:shd w:fill="E6E0F0" w:color="auto" w:val="clear"/>
          </w:tcPr>
          <w:p>
            <w:pPr>
              <w:spacing w:after="16" w:before="16"/>
            </w:pPr>
            <w:r>
              <w:rPr>
                <w:b/>
                <w:bCs/>
                <w:i w:val="false"/>
                <w:iCs w:val="false"/>
                <w:color w:val="404040"/>
                <w:sz w:val="13"/>
                <w:szCs w:val="13"/>
              </w:rPr>
              <w:t xml:space="preserve">Intitulé</w:t>
            </w:r>
          </w:p>
        </w:tc>
        <w:tc>
          <w:tcPr>
            <w:tcW w:type="dxa" w:w="800"/>
            <w:tcBorders>
              <w:top w:val="single" w:color="BFBFBF" w:sz="2"/>
              <w:left w:val="single" w:color="BFBFBF" w:sz="2"/>
              <w:bottom w:val="single" w:color="BFBFBF" w:sz="2"/>
              <w:right w:val="single" w:color="BFBFBF" w:sz="2"/>
            </w:tcBorders>
            <w:shd w:fill="E6E0F0" w:color="auto" w:val="clear"/>
          </w:tcPr>
          <w:p>
            <w:pPr>
              <w:spacing w:after="16" w:before="16"/>
            </w:pPr>
            <w:r>
              <w:rPr>
                <w:b/>
                <w:bCs/>
                <w:i w:val="false"/>
                <w:iCs w:val="false"/>
                <w:color w:val="404040"/>
                <w:sz w:val="13"/>
                <w:szCs w:val="13"/>
              </w:rPr>
              <w:t xml:space="preserve">Fiche(s)</w:t>
            </w:r>
          </w:p>
        </w:tc>
        <w:tc>
          <w:tcPr>
            <w:tcW w:type="dxa" w:w="3200"/>
            <w:tcBorders>
              <w:top w:val="single" w:color="BFBFBF" w:sz="2"/>
              <w:left w:val="single" w:color="BFBFBF" w:sz="2"/>
              <w:bottom w:val="single" w:color="BFBFBF" w:sz="2"/>
              <w:right w:val="single" w:color="BFBFBF" w:sz="2"/>
            </w:tcBorders>
            <w:shd w:fill="E6E0F0" w:color="auto" w:val="clear"/>
          </w:tcPr>
          <w:p>
            <w:pPr>
              <w:spacing w:after="16" w:before="16"/>
            </w:pPr>
            <w:r>
              <w:rPr>
                <w:b/>
                <w:bCs/>
                <w:i w:val="false"/>
                <w:iCs w:val="false"/>
                <w:color w:val="404040"/>
                <w:sz w:val="13"/>
                <w:szCs w:val="13"/>
              </w:rPr>
              <w:t xml:space="preserve">Correspondances dans le recueil</w:t>
            </w:r>
          </w:p>
        </w:tc>
        <w:tc>
          <w:tcPr>
            <w:tcW w:type="dxa" w:w="5238"/>
            <w:tcBorders>
              <w:top w:val="single" w:color="BFBFBF" w:sz="2"/>
              <w:left w:val="single" w:color="BFBFBF" w:sz="2"/>
              <w:bottom w:val="single" w:color="BFBFBF" w:sz="2"/>
              <w:right w:val="single" w:color="BFBFBF" w:sz="2"/>
            </w:tcBorders>
            <w:shd w:fill="E6E0F0" w:color="auto" w:val="clear"/>
          </w:tcPr>
          <w:p>
            <w:pPr>
              <w:spacing w:after="16" w:before="16"/>
            </w:pPr>
            <w:r>
              <w:rPr>
                <w:b/>
                <w:bCs/>
                <w:i w:val="false"/>
                <w:iCs w:val="false"/>
                <w:color w:val="404040"/>
                <w:sz w:val="13"/>
                <w:szCs w:val="13"/>
              </w:rPr>
              <w:t xml:space="preserve">Réflexe Grand Oral (tes fiches)</w:t>
            </w:r>
          </w:p>
        </w:tc>
      </w:tr>
      <w:tr>
        <w:tc>
          <w:tcPr>
            <w:tcW w:type="dxa" w:w="460"/>
            <w:tcBorders>
              <w:top w:val="single" w:color="BFBFBF" w:sz="2"/>
              <w:left w:val="single" w:color="BFBFBF" w:sz="2"/>
              <w:bottom w:val="single" w:color="BFBFBF" w:sz="2"/>
              <w:right w:val="single" w:color="BFBFBF" w:sz="2"/>
            </w:tcBorders>
            <w:shd w:fill="7030A0"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CONST. art. 61-1 (16)</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N°3.1 · ≈ p. 18</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7030A0"/>
                <w:sz w:val="13"/>
                <w:szCs w:val="13"/>
              </w:rPr>
              <w:t xml:space="preserve">haut. 92,7 mm (#1)</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QPC — avec art. 61 (DC) et 62 (effets des décisions)</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7030A0"/>
                <w:sz w:val="13"/>
                <w:szCs w:val="13"/>
              </w:rPr>
              <w:t xml:space="preserve">16</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DDHC (N°1) · Préambule (N°2) · Charte env. (N°3.2)</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LO 2009-1523 validée par 2009-595 DC ; 2010-1 QPC Consorts L. (cristallisation des pensions). « Droits et libertés que la Constitution garantit » : la Charte de l’env. l’est sauf son art. 6 (2012-283 QPC).</w:t>
            </w:r>
          </w:p>
        </w:tc>
      </w:tr>
      <w:tr>
        <w:tc>
          <w:tcPr>
            <w:tcW w:type="dxa" w:w="460"/>
            <w:tcBorders>
              <w:top w:val="single" w:color="BFBFBF" w:sz="2"/>
              <w:left w:val="single" w:color="BFBFBF" w:sz="2"/>
              <w:bottom w:val="single" w:color="BFBFBF" w:sz="2"/>
              <w:right w:val="single" w:color="BFBFBF" w:sz="2"/>
            </w:tcBorders>
            <w:shd w:fill="7030A0"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N°39.1–39.2 CNCDH &amp; DDD (20)</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N°39.1 · p. 605</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7030A0"/>
                <w:sz w:val="13"/>
                <w:szCs w:val="13"/>
              </w:rPr>
              <w:t xml:space="preserve">haut. 92,7 mm (#1)</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CNCDH (loi 2007-292) · Défenseur des droits (LO 2011-333, N°39.2 p. 606)</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7030A0"/>
                <w:sz w:val="13"/>
                <w:szCs w:val="13"/>
              </w:rPr>
              <w:t xml:space="preserve">20 · 54 · 25</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art. 71-1 C. (N°3.1) · CGLPL (N°52.5) · DILCRAH (N°59.5)</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Défenseur des droits : seule autorité administrative indépendante prévue par la Constitution (art. 71-1, 2008), héritier de la HALDE, du Défenseur des enfants, de la CNDS et du Médiateur. Ses recommandations, même générales, ne sont pas des décisions faisant grief (CE, 22 mai 2019). CNCDH : rapporteur national sur le racisme et la traite.</w:t>
            </w:r>
          </w:p>
        </w:tc>
      </w:tr>
      <w:tr>
        <w:tc>
          <w:tcPr>
            <w:tcW w:type="dxa" w:w="460"/>
            <w:tcBorders>
              <w:top w:val="single" w:color="BFBFBF" w:sz="2"/>
              <w:left w:val="single" w:color="BFBFBF" w:sz="2"/>
              <w:bottom w:val="single" w:color="BFBFBF" w:sz="2"/>
              <w:right w:val="single" w:color="BFBFBF" w:sz="2"/>
            </w:tcBorders>
            <w:shd w:fill="F2F2F2" w:color="auto" w:val="clear"/>
          </w:tcPr>
          <w:p>
            <w:pPr>
              <w:spacing w:after="16" w:before="16"/>
              <w:jc w:val="center"/>
            </w:pPr>
            <w:r>
              <w:rPr>
                <w:b/>
                <w:bCs/>
                <w:i w:val="false"/>
                <w:iCs w:val="false"/>
                <w:color w:val="808080"/>
                <w:sz w:val="16"/>
                <w:szCs w:val="16"/>
              </w:rPr>
              <w:t xml:space="preserve">2</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N°54 ATTEINTES PAR AUTORITÉ PUBLIQUE (17·19)</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N°54 · p. 743</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7030A0"/>
                <w:sz w:val="13"/>
                <w:szCs w:val="13"/>
              </w:rPr>
              <w:t xml:space="preserve">haut. 92,7 mm (#1)</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Atteintes à la liberté individuelle par une personne dépositaire de l’autorité publique — C. pén. 432-4 à 432-6</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7030A0"/>
                <w:sz w:val="13"/>
                <w:szCs w:val="13"/>
              </w:rPr>
              <w:t xml:space="preserve">17 · 19 · 30</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art. 66 C. · art. 7 DDHC</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Répression pénale de la détention arbitraire ; pendant civil et administratif : voie de fait (TC Bergoend, 2013) et compétence judiciaire (fiche 19).</w:t>
            </w:r>
          </w:p>
        </w:tc>
      </w:tr>
      <w:tr>
        <w:tc>
          <w:tcPr>
            <w:tcW w:type="dxa" w:w="460"/>
            <w:tcBorders>
              <w:top w:val="single" w:color="BFBFBF" w:sz="2"/>
              <w:left w:val="single" w:color="BFBFBF" w:sz="2"/>
              <w:bottom w:val="single" w:color="BFBFBF" w:sz="2"/>
              <w:right w:val="single" w:color="BFBFBF" w:sz="2"/>
            </w:tcBorders>
            <w:shd w:fill="7030A0"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LOI 1986 art. 21–42 (20)</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N°95.1 · ≈ p. 1080</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7030A0"/>
                <w:sz w:val="13"/>
                <w:szCs w:val="13"/>
              </w:rPr>
              <w:t xml:space="preserve">haut. 92,7 mm (#1)</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Usage des fréquences, autorisations, conventions et pouvoir de sanction de l’ARCOM</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7030A0"/>
                <w:sz w:val="13"/>
                <w:szCs w:val="13"/>
              </w:rPr>
              <w:t xml:space="preserve">20 · 37</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Défenseur des droits (N°39.2) · art. 6 CEDH (sanctions)</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Pouvoir de sanction des autorités administratives indépendantes encadré : 89-260 DC (séparation des fonctions, recours, droits de la défense).</w:t>
            </w:r>
          </w:p>
        </w:tc>
      </w:tr>
      <w:tr>
        <w:tc>
          <w:tcPr>
            <w:tcW w:type="dxa" w:w="460"/>
            <w:tcBorders>
              <w:top w:val="single" w:color="BFBFBF" w:sz="2"/>
              <w:left w:val="single" w:color="BFBFBF" w:sz="2"/>
              <w:bottom w:val="single" w:color="BFBFBF" w:sz="2"/>
              <w:right w:val="single" w:color="BFBFBF" w:sz="2"/>
            </w:tcBorders>
            <w:shd w:fill="F2F2F2" w:color="auto" w:val="clear"/>
          </w:tcPr>
          <w:p>
            <w:pPr>
              <w:spacing w:after="16" w:before="16"/>
              <w:jc w:val="center"/>
            </w:pPr>
            <w:r>
              <w:rPr>
                <w:b/>
                <w:bCs/>
                <w:i w:val="false"/>
                <w:iCs w:val="false"/>
                <w:color w:val="808080"/>
                <w:sz w:val="16"/>
                <w:szCs w:val="16"/>
              </w:rPr>
              <w:t xml:space="preserve">2</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N°100.1–100.2 ADMINISTRÉS &amp; CADA (20·10)</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N°100.1 · p. 1157</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7030A0"/>
                <w:sz w:val="13"/>
                <w:szCs w:val="13"/>
              </w:rPr>
              <w:t xml:space="preserve">haut. 101,7 mm (#2)</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Droits des citoyens dans leurs relations avec l’administration (loi 2000-321) · accès aux documents administratifs, CADA (CRPA L.300-1 s., N°100.2 p. 1158)</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7030A0"/>
                <w:sz w:val="13"/>
                <w:szCs w:val="13"/>
              </w:rPr>
              <w:t xml:space="preserve">20 · 10</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art. 15 DDHC · Charte UE art. 41-42</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Droit d’accès aux documents administratifs ; la CADA, autorité administrative indépendante (fiche 20).</w:t>
            </w:r>
          </w:p>
        </w:tc>
      </w:tr>
    </w:tbl>
    <w:p>
      <w:pPr>
        <w:spacing w:after="120"/>
      </w:pPr>
    </w:p>
    <w:p>
      <w:pPr>
        <w:spacing w:after="60" w:before="220"/>
      </w:pPr>
      <w:r>
        <w:rPr>
          <w:b/>
          <w:bCs/>
          <w:color w:val="1F3864"/>
          <w:sz w:val="24"/>
          <w:szCs w:val="24"/>
        </w:rPr>
        <w:t xml:space="preserve">Partie V — Les mécanismes internationaux et européens de protection</w:t>
      </w:r>
    </w:p>
    <w:tbl>
      <w:tblPr>
        <w:tblW w:type="dxa" w:w="15598"/>
        <w:tblBorders>
          <w:top w:val="single" w:color="BFBFBF" w:sz="2"/>
          <w:left w:val="single" w:color="BFBFBF" w:sz="2"/>
          <w:bottom w:val="single" w:color="BFBFBF" w:sz="2"/>
          <w:right w:val="single" w:color="BFBFBF" w:sz="2"/>
          <w:insideH w:val="single" w:color="D9D9D9" w:sz="2"/>
          <w:insideV w:val="single" w:color="BFBFBF" w:sz="2"/>
        </w:tblBorders>
      </w:tblPr>
      <w:tblGrid>
        <w:gridCol w:w="460"/>
        <w:gridCol w:w="2000"/>
        <w:gridCol w:w="700"/>
        <w:gridCol w:w="1150"/>
        <w:gridCol w:w="2050"/>
        <w:gridCol w:w="800"/>
        <w:gridCol w:w="3200"/>
        <w:gridCol w:w="5238"/>
      </w:tblGrid>
      <w:tr>
        <w:tc>
          <w:tcPr>
            <w:gridSpan w:val="8"/>
            <w:tcBorders>
              <w:top w:val="single" w:color="BFBFBF" w:sz="2"/>
              <w:left w:val="single" w:color="BFBFBF" w:sz="2"/>
              <w:bottom w:val="single" w:color="BFBFBF" w:sz="2"/>
              <w:right w:val="single" w:color="BFBFBF" w:sz="2"/>
            </w:tcBorders>
            <w:shd w:fill="FCE1DA" w:color="auto" w:val="clear"/>
          </w:tcPr>
          <w:p>
            <w:pPr>
              <w:spacing w:after="20" w:before="50"/>
            </w:pPr>
            <w:r>
              <w:rPr>
                <w:b/>
                <w:bCs/>
                <w:color w:val="E0684B"/>
                <w:sz w:val="21"/>
                <w:szCs w:val="21"/>
              </w:rPr>
              <w:t xml:space="preserve">V — Mécanismes internationaux</w:t>
            </w:r>
            <w:r>
              <w:rPr>
                <w:b/>
                <w:bCs/>
                <w:color w:val="E0684B"/>
                <w:sz w:val="15"/>
                <w:szCs w:val="15"/>
              </w:rPr>
              <w:t xml:space="preserve">     ■ CORAIL · arête haute · bande 118,3 → 140 mm du coin de la tranche · pas 9 mm · 3 onglets</w:t>
            </w:r>
          </w:p>
          <w:p>
            <w:pPr>
              <w:spacing w:after="40"/>
            </w:pPr>
            <w:r>
              <w:rPr>
                <w:i/>
                <w:iCs/>
                <w:color w:val="E0684B"/>
                <w:sz w:val="14"/>
                <w:szCs w:val="14"/>
              </w:rPr>
              <w:t xml:space="preserve">↳ Fiches 21 les comités onusiens · 22 la cour européenne des droits de l’homme · 23 la cour de justice de l’union européenne · 24 les autres juridictions régionales · 25 la protection politique et administrative internationale</w:t>
            </w:r>
          </w:p>
        </w:tc>
      </w:tr>
      <w:tr>
        <w:trPr>
          <w:tblHeader/>
        </w:trPr>
        <w:tc>
          <w:tcPr>
            <w:tcW w:type="dxa" w:w="460"/>
            <w:tcBorders>
              <w:top w:val="single" w:color="BFBFBF" w:sz="2"/>
              <w:left w:val="single" w:color="BFBFBF" w:sz="2"/>
              <w:bottom w:val="single" w:color="BFBFBF" w:sz="2"/>
              <w:right w:val="single" w:color="BFBFBF" w:sz="2"/>
            </w:tcBorders>
            <w:shd w:fill="FCE1DA" w:color="auto" w:val="clear"/>
          </w:tcPr>
          <w:p>
            <w:pPr>
              <w:spacing w:after="16" w:before="16"/>
            </w:pPr>
            <w:r>
              <w:rPr>
                <w:b/>
                <w:bCs/>
                <w:i w:val="false"/>
                <w:iCs w:val="false"/>
                <w:color w:val="404040"/>
                <w:sz w:val="13"/>
                <w:szCs w:val="13"/>
              </w:rPr>
              <w:t xml:space="preserve">P</w:t>
            </w:r>
          </w:p>
        </w:tc>
        <w:tc>
          <w:tcPr>
            <w:tcW w:type="dxa" w:w="2000"/>
            <w:tcBorders>
              <w:top w:val="single" w:color="BFBFBF" w:sz="2"/>
              <w:left w:val="single" w:color="BFBFBF" w:sz="2"/>
              <w:bottom w:val="single" w:color="BFBFBF" w:sz="2"/>
              <w:right w:val="single" w:color="BFBFBF" w:sz="2"/>
            </w:tcBorders>
            <w:shd w:fill="FCE1DA" w:color="auto" w:val="clear"/>
          </w:tcPr>
          <w:p>
            <w:pPr>
              <w:spacing w:after="16" w:before="16"/>
            </w:pPr>
            <w:r>
              <w:rPr>
                <w:b/>
                <w:bCs/>
                <w:i w:val="false"/>
                <w:iCs w:val="false"/>
                <w:color w:val="404040"/>
                <w:sz w:val="13"/>
                <w:szCs w:val="13"/>
              </w:rPr>
              <w:t xml:space="preserve">À écrire sur l’onglet</w:t>
            </w:r>
          </w:p>
        </w:tc>
        <w:tc>
          <w:tcPr>
            <w:tcW w:type="dxa" w:w="700"/>
            <w:tcBorders>
              <w:top w:val="single" w:color="BFBFBF" w:sz="2"/>
              <w:left w:val="single" w:color="BFBFBF" w:sz="2"/>
              <w:bottom w:val="single" w:color="BFBFBF" w:sz="2"/>
              <w:right w:val="single" w:color="BFBFBF" w:sz="2"/>
            </w:tcBorders>
            <w:shd w:fill="FCE1DA" w:color="auto" w:val="clear"/>
          </w:tcPr>
          <w:p>
            <w:pPr>
              <w:spacing w:after="16" w:before="16"/>
            </w:pPr>
            <w:r>
              <w:rPr>
                <w:b/>
                <w:bCs/>
                <w:i w:val="false"/>
                <w:iCs w:val="false"/>
                <w:color w:val="404040"/>
                <w:sz w:val="13"/>
                <w:szCs w:val="13"/>
              </w:rPr>
              <w:t xml:space="preserve">N° · p.</w:t>
            </w:r>
          </w:p>
        </w:tc>
        <w:tc>
          <w:tcPr>
            <w:tcW w:type="dxa" w:w="1150"/>
            <w:tcBorders>
              <w:top w:val="single" w:color="BFBFBF" w:sz="2"/>
              <w:left w:val="single" w:color="BFBFBF" w:sz="2"/>
              <w:bottom w:val="single" w:color="BFBFBF" w:sz="2"/>
              <w:right w:val="single" w:color="BFBFBF" w:sz="2"/>
            </w:tcBorders>
            <w:shd w:fill="FCE1DA" w:color="auto" w:val="clear"/>
          </w:tcPr>
          <w:p>
            <w:pPr>
              <w:spacing w:after="16" w:before="16"/>
            </w:pPr>
            <w:r>
              <w:rPr>
                <w:b/>
                <w:bCs/>
                <w:i w:val="false"/>
                <w:iCs w:val="false"/>
                <w:color w:val="404040"/>
                <w:sz w:val="13"/>
                <w:szCs w:val="13"/>
              </w:rPr>
              <w:t xml:space="preserve">Position</w:t>
            </w:r>
          </w:p>
        </w:tc>
        <w:tc>
          <w:tcPr>
            <w:tcW w:type="dxa" w:w="2050"/>
            <w:tcBorders>
              <w:top w:val="single" w:color="BFBFBF" w:sz="2"/>
              <w:left w:val="single" w:color="BFBFBF" w:sz="2"/>
              <w:bottom w:val="single" w:color="BFBFBF" w:sz="2"/>
              <w:right w:val="single" w:color="BFBFBF" w:sz="2"/>
            </w:tcBorders>
            <w:shd w:fill="FCE1DA" w:color="auto" w:val="clear"/>
          </w:tcPr>
          <w:p>
            <w:pPr>
              <w:spacing w:after="16" w:before="16"/>
            </w:pPr>
            <w:r>
              <w:rPr>
                <w:b/>
                <w:bCs/>
                <w:i w:val="false"/>
                <w:iCs w:val="false"/>
                <w:color w:val="404040"/>
                <w:sz w:val="13"/>
                <w:szCs w:val="13"/>
              </w:rPr>
              <w:t xml:space="preserve">Intitulé</w:t>
            </w:r>
          </w:p>
        </w:tc>
        <w:tc>
          <w:tcPr>
            <w:tcW w:type="dxa" w:w="800"/>
            <w:tcBorders>
              <w:top w:val="single" w:color="BFBFBF" w:sz="2"/>
              <w:left w:val="single" w:color="BFBFBF" w:sz="2"/>
              <w:bottom w:val="single" w:color="BFBFBF" w:sz="2"/>
              <w:right w:val="single" w:color="BFBFBF" w:sz="2"/>
            </w:tcBorders>
            <w:shd w:fill="FCE1DA" w:color="auto" w:val="clear"/>
          </w:tcPr>
          <w:p>
            <w:pPr>
              <w:spacing w:after="16" w:before="16"/>
            </w:pPr>
            <w:r>
              <w:rPr>
                <w:b/>
                <w:bCs/>
                <w:i w:val="false"/>
                <w:iCs w:val="false"/>
                <w:color w:val="404040"/>
                <w:sz w:val="13"/>
                <w:szCs w:val="13"/>
              </w:rPr>
              <w:t xml:space="preserve">Fiche(s)</w:t>
            </w:r>
          </w:p>
        </w:tc>
        <w:tc>
          <w:tcPr>
            <w:tcW w:type="dxa" w:w="3200"/>
            <w:tcBorders>
              <w:top w:val="single" w:color="BFBFBF" w:sz="2"/>
              <w:left w:val="single" w:color="BFBFBF" w:sz="2"/>
              <w:bottom w:val="single" w:color="BFBFBF" w:sz="2"/>
              <w:right w:val="single" w:color="BFBFBF" w:sz="2"/>
            </w:tcBorders>
            <w:shd w:fill="FCE1DA" w:color="auto" w:val="clear"/>
          </w:tcPr>
          <w:p>
            <w:pPr>
              <w:spacing w:after="16" w:before="16"/>
            </w:pPr>
            <w:r>
              <w:rPr>
                <w:b/>
                <w:bCs/>
                <w:i w:val="false"/>
                <w:iCs w:val="false"/>
                <w:color w:val="404040"/>
                <w:sz w:val="13"/>
                <w:szCs w:val="13"/>
              </w:rPr>
              <w:t xml:space="preserve">Correspondances dans le recueil</w:t>
            </w:r>
          </w:p>
        </w:tc>
        <w:tc>
          <w:tcPr>
            <w:tcW w:type="dxa" w:w="5238"/>
            <w:tcBorders>
              <w:top w:val="single" w:color="BFBFBF" w:sz="2"/>
              <w:left w:val="single" w:color="BFBFBF" w:sz="2"/>
              <w:bottom w:val="single" w:color="BFBFBF" w:sz="2"/>
              <w:right w:val="single" w:color="BFBFBF" w:sz="2"/>
            </w:tcBorders>
            <w:shd w:fill="FCE1DA" w:color="auto" w:val="clear"/>
          </w:tcPr>
          <w:p>
            <w:pPr>
              <w:spacing w:after="16" w:before="16"/>
            </w:pPr>
            <w:r>
              <w:rPr>
                <w:b/>
                <w:bCs/>
                <w:i w:val="false"/>
                <w:iCs w:val="false"/>
                <w:color w:val="404040"/>
                <w:sz w:val="13"/>
                <w:szCs w:val="13"/>
              </w:rPr>
              <w:t xml:space="preserve">Réflexe Grand Oral (tes fiches)</w:t>
            </w:r>
          </w:p>
        </w:tc>
      </w:tr>
      <w:tr>
        <w:tc>
          <w:tcPr>
            <w:tcW w:type="dxa" w:w="460"/>
            <w:tcBorders>
              <w:top w:val="single" w:color="BFBFBF" w:sz="2"/>
              <w:left w:val="single" w:color="BFBFBF" w:sz="2"/>
              <w:bottom w:val="single" w:color="BFBFBF" w:sz="2"/>
              <w:right w:val="single" w:color="BFBFBF" w:sz="2"/>
            </w:tcBorders>
            <w:shd w:fill="F2F2F2" w:color="auto" w:val="clear"/>
          </w:tcPr>
          <w:p>
            <w:pPr>
              <w:spacing w:after="16" w:before="16"/>
              <w:jc w:val="center"/>
            </w:pPr>
            <w:r>
              <w:rPr>
                <w:b/>
                <w:bCs/>
                <w:i w:val="false"/>
                <w:iCs w:val="false"/>
                <w:color w:val="808080"/>
                <w:sz w:val="16"/>
                <w:szCs w:val="16"/>
              </w:rPr>
              <w:t xml:space="preserve">2</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CEDH art. 19–51 (22)</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N°4.1 · ≈ p. 37</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E0684B"/>
                <w:sz w:val="13"/>
                <w:szCs w:val="13"/>
              </w:rPr>
              <w:t xml:space="preserve">haut. 118,3 mm (#1)</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La Cour : requête individuelle (34), recevabilité (35), satisfaction équitable (41), force obligatoire (46)</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E0684B"/>
                <w:sz w:val="13"/>
                <w:szCs w:val="13"/>
              </w:rPr>
              <w:t xml:space="preserve">22 · 25</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Prot. 16 (N°4.8) · accord de 1996 (N°4.9)</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Golder &amp; Marckx (instrument vivant) ; arrêt pilote Broniowski (2004) ; autorité de la chose interprétée (Scordino n°3, 2007). Épuisement des voies de recours internes et délai de 4 mois.</w:t>
            </w:r>
          </w:p>
        </w:tc>
      </w:tr>
      <w:tr>
        <w:tc>
          <w:tcPr>
            <w:tcW w:type="dxa" w:w="460"/>
            <w:tcBorders>
              <w:top w:val="single" w:color="BFBFBF" w:sz="2"/>
              <w:left w:val="single" w:color="BFBFBF" w:sz="2"/>
              <w:bottom w:val="single" w:color="BFBFBF" w:sz="2"/>
              <w:right w:val="single" w:color="BFBFBF" w:sz="2"/>
            </w:tcBorders>
            <w:shd w:fill="E0684B"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N°4.8 PROT. 16 (22)</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N°4.8 · p. 50</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E0684B"/>
                <w:sz w:val="13"/>
                <w:szCs w:val="13"/>
              </w:rPr>
              <w:t xml:space="preserve">haut. 127,3 mm (#2)</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Protocole n°16 : avis consultatifs des plus hautes juridictions</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E0684B"/>
                <w:sz w:val="13"/>
                <w:szCs w:val="13"/>
              </w:rPr>
              <w:t xml:space="preserve">22 · 14 · 34</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Cour (art. 19-51) · Prot. 12 (N°4.6, p. 48 — signé, non ratifié)</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1er avis rendu sur demande de la Cour de cassation : avis 10 avril 2019 (Mennesson, GPA) → Cass. ass. plén. 2019. Dialogue des juges.</w:t>
            </w:r>
          </w:p>
        </w:tc>
      </w:tr>
      <w:tr>
        <w:tc>
          <w:tcPr>
            <w:tcW w:type="dxa" w:w="460"/>
            <w:tcBorders>
              <w:top w:val="single" w:color="BFBFBF" w:sz="2"/>
              <w:left w:val="single" w:color="BFBFBF" w:sz="2"/>
              <w:bottom w:val="single" w:color="BFBFBF" w:sz="2"/>
              <w:right w:val="single" w:color="BFBFBF" w:sz="2"/>
            </w:tcBorders>
            <w:shd w:fill="E0684B"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N°24.2–24.3 COMITÉ DH (21·26)</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N°24.2 · p. 427</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E0684B"/>
                <w:sz w:val="13"/>
                <w:szCs w:val="13"/>
              </w:rPr>
              <w:t xml:space="preserve">haut. 118,3 mm (#1)</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Protocole facultatif (communications individuelles) · 2e Protocole, abolition de la peine de mort (N°24.3)</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E0684B"/>
                <w:sz w:val="13"/>
                <w:szCs w:val="13"/>
              </w:rPr>
              <w:t xml:space="preserve">21 · 26 · 13</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PIDCP art. 28 s. · Prot. 6 et 13 CEDH (N°4.4) · art. 66-1 C.</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Constatations du Comité : non contraignantes, mais à prendre en considération de bonne foi (Baby Loup, voile intégral, 2018).</w:t>
            </w:r>
          </w:p>
        </w:tc>
      </w:tr>
    </w:tbl>
    <w:p>
      <w:pPr>
        <w:spacing w:after="120"/>
      </w:pPr>
    </w:p>
    <w:p>
      <w:pPr>
        <w:spacing w:after="60" w:before="220"/>
      </w:pPr>
      <w:r>
        <w:rPr>
          <w:b/>
          <w:bCs/>
          <w:color w:val="1F3864"/>
          <w:sz w:val="24"/>
          <w:szCs w:val="24"/>
        </w:rPr>
        <w:t xml:space="preserve">Partie VI — Les droits civils et politiques</w:t>
      </w:r>
    </w:p>
    <w:tbl>
      <w:tblPr>
        <w:tblW w:type="dxa" w:w="15598"/>
        <w:tblBorders>
          <w:top w:val="single" w:color="BFBFBF" w:sz="2"/>
          <w:left w:val="single" w:color="BFBFBF" w:sz="2"/>
          <w:bottom w:val="single" w:color="BFBFBF" w:sz="2"/>
          <w:right w:val="single" w:color="BFBFBF" w:sz="2"/>
          <w:insideH w:val="single" w:color="D9D9D9" w:sz="2"/>
          <w:insideV w:val="single" w:color="BFBFBF" w:sz="2"/>
        </w:tblBorders>
      </w:tblPr>
      <w:tblGrid>
        <w:gridCol w:w="460"/>
        <w:gridCol w:w="2000"/>
        <w:gridCol w:w="700"/>
        <w:gridCol w:w="1150"/>
        <w:gridCol w:w="2050"/>
        <w:gridCol w:w="800"/>
        <w:gridCol w:w="3200"/>
        <w:gridCol w:w="5238"/>
      </w:tblGrid>
      <w:tr>
        <w:tc>
          <w:tcPr>
            <w:gridSpan w:val="8"/>
            <w:tcBorders>
              <w:top w:val="single" w:color="BFBFBF" w:sz="2"/>
              <w:left w:val="single" w:color="BFBFBF" w:sz="2"/>
              <w:bottom w:val="single" w:color="BFBFBF" w:sz="2"/>
              <w:right w:val="single" w:color="BFBFBF" w:sz="2"/>
            </w:tcBorders>
            <w:shd w:fill="FBDDDD" w:color="auto" w:val="clear"/>
          </w:tcPr>
          <w:p>
            <w:pPr>
              <w:spacing w:after="20" w:before="50"/>
            </w:pPr>
            <w:r>
              <w:rPr>
                <w:b/>
                <w:bCs/>
                <w:color w:val="C0504D"/>
                <w:sz w:val="21"/>
                <w:szCs w:val="21"/>
              </w:rPr>
              <w:t xml:space="preserve">VI-A — Vie, intégrité, torture, esclavage</w:t>
            </w:r>
            <w:r>
              <w:rPr>
                <w:b/>
                <w:bCs/>
                <w:color w:val="C0504D"/>
                <w:sz w:val="15"/>
                <w:szCs w:val="15"/>
              </w:rPr>
              <w:t xml:space="preserve">     ■ ROUGE · arête latérale · bande 8 → 50,8 mm du haut du livre · pas 4,4 mm · 24 onglets</w:t>
            </w:r>
          </w:p>
          <w:p>
            <w:pPr>
              <w:spacing w:after="40"/>
            </w:pPr>
            <w:r>
              <w:rPr>
                <w:i/>
                <w:iCs/>
                <w:color w:val="C0504D"/>
                <w:sz w:val="14"/>
                <w:szCs w:val="14"/>
              </w:rPr>
              <w:t xml:space="preserve">↳ Fiches 26 le droit à la vie · 27 le droit à l’intégrité de la personne · 28 l’interdiction de la torture et des peines ou traitements inhumains ou dégradants · 29 l’interdiction de l’esclavage, de la traite, de la servitude et du travail forcé</w:t>
            </w:r>
          </w:p>
        </w:tc>
      </w:tr>
      <w:tr>
        <w:trPr>
          <w:tblHeader/>
        </w:trPr>
        <w:tc>
          <w:tcPr>
            <w:tcW w:type="dxa" w:w="460"/>
            <w:tcBorders>
              <w:top w:val="single" w:color="BFBFBF" w:sz="2"/>
              <w:left w:val="single" w:color="BFBFBF" w:sz="2"/>
              <w:bottom w:val="single" w:color="BFBFBF" w:sz="2"/>
              <w:right w:val="single" w:color="BFBFBF" w:sz="2"/>
            </w:tcBorders>
            <w:shd w:fill="FBDDDD" w:color="auto" w:val="clear"/>
          </w:tcPr>
          <w:p>
            <w:pPr>
              <w:spacing w:after="16" w:before="16"/>
            </w:pPr>
            <w:r>
              <w:rPr>
                <w:b/>
                <w:bCs/>
                <w:i w:val="false"/>
                <w:iCs w:val="false"/>
                <w:color w:val="404040"/>
                <w:sz w:val="13"/>
                <w:szCs w:val="13"/>
              </w:rPr>
              <w:t xml:space="preserve">P</w:t>
            </w:r>
          </w:p>
        </w:tc>
        <w:tc>
          <w:tcPr>
            <w:tcW w:type="dxa" w:w="2000"/>
            <w:tcBorders>
              <w:top w:val="single" w:color="BFBFBF" w:sz="2"/>
              <w:left w:val="single" w:color="BFBFBF" w:sz="2"/>
              <w:bottom w:val="single" w:color="BFBFBF" w:sz="2"/>
              <w:right w:val="single" w:color="BFBFBF" w:sz="2"/>
            </w:tcBorders>
            <w:shd w:fill="FBDDDD" w:color="auto" w:val="clear"/>
          </w:tcPr>
          <w:p>
            <w:pPr>
              <w:spacing w:after="16" w:before="16"/>
            </w:pPr>
            <w:r>
              <w:rPr>
                <w:b/>
                <w:bCs/>
                <w:i w:val="false"/>
                <w:iCs w:val="false"/>
                <w:color w:val="404040"/>
                <w:sz w:val="13"/>
                <w:szCs w:val="13"/>
              </w:rPr>
              <w:t xml:space="preserve">À écrire sur l’onglet</w:t>
            </w:r>
          </w:p>
        </w:tc>
        <w:tc>
          <w:tcPr>
            <w:tcW w:type="dxa" w:w="700"/>
            <w:tcBorders>
              <w:top w:val="single" w:color="BFBFBF" w:sz="2"/>
              <w:left w:val="single" w:color="BFBFBF" w:sz="2"/>
              <w:bottom w:val="single" w:color="BFBFBF" w:sz="2"/>
              <w:right w:val="single" w:color="BFBFBF" w:sz="2"/>
            </w:tcBorders>
            <w:shd w:fill="FBDDDD" w:color="auto" w:val="clear"/>
          </w:tcPr>
          <w:p>
            <w:pPr>
              <w:spacing w:after="16" w:before="16"/>
            </w:pPr>
            <w:r>
              <w:rPr>
                <w:b/>
                <w:bCs/>
                <w:i w:val="false"/>
                <w:iCs w:val="false"/>
                <w:color w:val="404040"/>
                <w:sz w:val="13"/>
                <w:szCs w:val="13"/>
              </w:rPr>
              <w:t xml:space="preserve">N° · p.</w:t>
            </w:r>
          </w:p>
        </w:tc>
        <w:tc>
          <w:tcPr>
            <w:tcW w:type="dxa" w:w="1150"/>
            <w:tcBorders>
              <w:top w:val="single" w:color="BFBFBF" w:sz="2"/>
              <w:left w:val="single" w:color="BFBFBF" w:sz="2"/>
              <w:bottom w:val="single" w:color="BFBFBF" w:sz="2"/>
              <w:right w:val="single" w:color="BFBFBF" w:sz="2"/>
            </w:tcBorders>
            <w:shd w:fill="FBDDDD" w:color="auto" w:val="clear"/>
          </w:tcPr>
          <w:p>
            <w:pPr>
              <w:spacing w:after="16" w:before="16"/>
            </w:pPr>
            <w:r>
              <w:rPr>
                <w:b/>
                <w:bCs/>
                <w:i w:val="false"/>
                <w:iCs w:val="false"/>
                <w:color w:val="404040"/>
                <w:sz w:val="13"/>
                <w:szCs w:val="13"/>
              </w:rPr>
              <w:t xml:space="preserve">Position</w:t>
            </w:r>
          </w:p>
        </w:tc>
        <w:tc>
          <w:tcPr>
            <w:tcW w:type="dxa" w:w="2050"/>
            <w:tcBorders>
              <w:top w:val="single" w:color="BFBFBF" w:sz="2"/>
              <w:left w:val="single" w:color="BFBFBF" w:sz="2"/>
              <w:bottom w:val="single" w:color="BFBFBF" w:sz="2"/>
              <w:right w:val="single" w:color="BFBFBF" w:sz="2"/>
            </w:tcBorders>
            <w:shd w:fill="FBDDDD" w:color="auto" w:val="clear"/>
          </w:tcPr>
          <w:p>
            <w:pPr>
              <w:spacing w:after="16" w:before="16"/>
            </w:pPr>
            <w:r>
              <w:rPr>
                <w:b/>
                <w:bCs/>
                <w:i w:val="false"/>
                <w:iCs w:val="false"/>
                <w:color w:val="404040"/>
                <w:sz w:val="13"/>
                <w:szCs w:val="13"/>
              </w:rPr>
              <w:t xml:space="preserve">Intitulé</w:t>
            </w:r>
          </w:p>
        </w:tc>
        <w:tc>
          <w:tcPr>
            <w:tcW w:type="dxa" w:w="800"/>
            <w:tcBorders>
              <w:top w:val="single" w:color="BFBFBF" w:sz="2"/>
              <w:left w:val="single" w:color="BFBFBF" w:sz="2"/>
              <w:bottom w:val="single" w:color="BFBFBF" w:sz="2"/>
              <w:right w:val="single" w:color="BFBFBF" w:sz="2"/>
            </w:tcBorders>
            <w:shd w:fill="FBDDDD" w:color="auto" w:val="clear"/>
          </w:tcPr>
          <w:p>
            <w:pPr>
              <w:spacing w:after="16" w:before="16"/>
            </w:pPr>
            <w:r>
              <w:rPr>
                <w:b/>
                <w:bCs/>
                <w:i w:val="false"/>
                <w:iCs w:val="false"/>
                <w:color w:val="404040"/>
                <w:sz w:val="13"/>
                <w:szCs w:val="13"/>
              </w:rPr>
              <w:t xml:space="preserve">Fiche(s)</w:t>
            </w:r>
          </w:p>
        </w:tc>
        <w:tc>
          <w:tcPr>
            <w:tcW w:type="dxa" w:w="3200"/>
            <w:tcBorders>
              <w:top w:val="single" w:color="BFBFBF" w:sz="2"/>
              <w:left w:val="single" w:color="BFBFBF" w:sz="2"/>
              <w:bottom w:val="single" w:color="BFBFBF" w:sz="2"/>
              <w:right w:val="single" w:color="BFBFBF" w:sz="2"/>
            </w:tcBorders>
            <w:shd w:fill="FBDDDD" w:color="auto" w:val="clear"/>
          </w:tcPr>
          <w:p>
            <w:pPr>
              <w:spacing w:after="16" w:before="16"/>
            </w:pPr>
            <w:r>
              <w:rPr>
                <w:b/>
                <w:bCs/>
                <w:i w:val="false"/>
                <w:iCs w:val="false"/>
                <w:color w:val="404040"/>
                <w:sz w:val="13"/>
                <w:szCs w:val="13"/>
              </w:rPr>
              <w:t xml:space="preserve">Correspondances dans le recueil</w:t>
            </w:r>
          </w:p>
        </w:tc>
        <w:tc>
          <w:tcPr>
            <w:tcW w:type="dxa" w:w="5238"/>
            <w:tcBorders>
              <w:top w:val="single" w:color="BFBFBF" w:sz="2"/>
              <w:left w:val="single" w:color="BFBFBF" w:sz="2"/>
              <w:bottom w:val="single" w:color="BFBFBF" w:sz="2"/>
              <w:right w:val="single" w:color="BFBFBF" w:sz="2"/>
            </w:tcBorders>
            <w:shd w:fill="FBDDDD" w:color="auto" w:val="clear"/>
          </w:tcPr>
          <w:p>
            <w:pPr>
              <w:spacing w:after="16" w:before="16"/>
            </w:pPr>
            <w:r>
              <w:rPr>
                <w:b/>
                <w:bCs/>
                <w:i w:val="false"/>
                <w:iCs w:val="false"/>
                <w:color w:val="404040"/>
                <w:sz w:val="13"/>
                <w:szCs w:val="13"/>
              </w:rPr>
              <w:t xml:space="preserve">Réflexe Grand Oral (tes fiches)</w:t>
            </w:r>
          </w:p>
        </w:tc>
      </w:tr>
      <w:tr>
        <w:tc>
          <w:tcPr>
            <w:tcW w:type="dxa" w:w="460"/>
            <w:tcBorders>
              <w:top w:val="single" w:color="BFBFBF" w:sz="2"/>
              <w:left w:val="single" w:color="BFBFBF" w:sz="2"/>
              <w:bottom w:val="single" w:color="BFBFBF" w:sz="2"/>
              <w:right w:val="single" w:color="BFBFBF" w:sz="2"/>
            </w:tcBorders>
            <w:shd w:fill="C0504D"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CEDH art. 1–2 (26·14)</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N°4.1 · p. 31</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504D"/>
                <w:sz w:val="13"/>
                <w:szCs w:val="13"/>
              </w:rPr>
              <w:t xml:space="preserve">laté. 8 mm (#1)</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Obligation de respecter les droits (art. 1er) · droit à la vie (art. 2)</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504D"/>
                <w:sz w:val="13"/>
                <w:szCs w:val="13"/>
              </w:rPr>
              <w:t xml:space="preserve">26 · 14</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Prot. 6 et 13 (N°4.4/4.7) · art. 66-1 C. · art. 6 PIDCP (N°24.1) · art. 2 Charte UE (N°17.2) · art. 3 DUDH</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Art. 2 : McCann (1995, force absolument nécessaire), Osman (1998, obligations positives), Pretty (2002, pas de droit à mourir). Art. 1er : Loizidou (1995, « instrument constitutionnel de l’ordre public européen »), Al-Skeini (2011, juridiction extraterritoriale).</w:t>
            </w:r>
          </w:p>
        </w:tc>
      </w:tr>
      <w:tr>
        <w:tc>
          <w:tcPr>
            <w:tcW w:type="dxa" w:w="460"/>
            <w:tcBorders>
              <w:top w:val="single" w:color="BFBFBF" w:sz="2"/>
              <w:left w:val="single" w:color="BFBFBF" w:sz="2"/>
              <w:bottom w:val="single" w:color="BFBFBF" w:sz="2"/>
              <w:right w:val="single" w:color="BFBFBF" w:sz="2"/>
            </w:tcBorders>
            <w:shd w:fill="C0504D"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CEDH art. 3 (28)</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N°4.1 · p. 31</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504D"/>
                <w:sz w:val="13"/>
                <w:szCs w:val="13"/>
              </w:rPr>
              <w:t xml:space="preserve">laté. 12,4 mm (#2)</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Interdiction de la torture et des traitements inhumains ou dégradants</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504D"/>
                <w:sz w:val="13"/>
                <w:szCs w:val="13"/>
              </w:rPr>
              <w:t xml:space="preserve">28 · 27 · 43</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CPT (N°7) · CAT ONU (N°30.1) · CGLPL (N°52.5) · art. 4 Charte UE · art. 7 PIDCP · art. 5 DUDH</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Indérogeable : Irlande c. RU (1978) ; Selmouni c. France (1999, torture en GAV) ; Soering (1989, extradition) ; J.M.B. c. France (2020, surpopulation carcérale → art. 803-8 CPP).</w:t>
            </w:r>
          </w:p>
        </w:tc>
      </w:tr>
      <w:tr>
        <w:tc>
          <w:tcPr>
            <w:tcW w:type="dxa" w:w="460"/>
            <w:tcBorders>
              <w:top w:val="single" w:color="BFBFBF" w:sz="2"/>
              <w:left w:val="single" w:color="BFBFBF" w:sz="2"/>
              <w:bottom w:val="single" w:color="BFBFBF" w:sz="2"/>
              <w:right w:val="single" w:color="BFBFBF" w:sz="2"/>
            </w:tcBorders>
            <w:shd w:fill="C0504D"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CEDH art. 4 (29·50)</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N°4.1 · ≈ p. 32</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504D"/>
                <w:sz w:val="13"/>
                <w:szCs w:val="13"/>
              </w:rPr>
              <w:t xml:space="preserve">laté. 16,8 mm (#3)</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Interdiction de l’esclavage, de la servitude et du travail forcé</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504D"/>
                <w:sz w:val="13"/>
                <w:szCs w:val="13"/>
              </w:rPr>
              <w:t xml:space="preserve">29 · 50</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Conv. Varsovie (N°9) · dir. 2011/36 (N°17.5) · Conv. ONU 1926-1956 (N°26) · C. pén. 225-4-1 (N°58.1) · art. 5 Charte UE · art. 8 PIDCP</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Siliadin c. France (2005) puis C.N. et V. c. France (2012) → loi du 5 août 2013 ; Rantsev (2010) : la traite entre dans l’art. 4 ; Van der Mussele (1983) : critère du fardeau disproportionné.</w:t>
            </w:r>
          </w:p>
        </w:tc>
      </w:tr>
      <w:tr>
        <w:tc>
          <w:tcPr>
            <w:tcW w:type="dxa" w:w="460"/>
            <w:tcBorders>
              <w:top w:val="single" w:color="BFBFBF" w:sz="2"/>
              <w:left w:val="single" w:color="BFBFBF" w:sz="2"/>
              <w:bottom w:val="single" w:color="BFBFBF" w:sz="2"/>
              <w:right w:val="single" w:color="BFBFBF" w:sz="2"/>
            </w:tcBorders>
            <w:shd w:fill="F2F2F2" w:color="auto" w:val="clear"/>
          </w:tcPr>
          <w:p>
            <w:pPr>
              <w:spacing w:after="16" w:before="16"/>
              <w:jc w:val="center"/>
            </w:pPr>
            <w:r>
              <w:rPr>
                <w:b/>
                <w:bCs/>
                <w:i w:val="false"/>
                <w:iCs w:val="false"/>
                <w:color w:val="808080"/>
                <w:sz w:val="16"/>
                <w:szCs w:val="16"/>
              </w:rPr>
              <w:t xml:space="preserve">2</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N°4.4 PROT. 6 (+13) (26)</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N°4.4 · p. 45</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504D"/>
                <w:sz w:val="13"/>
                <w:szCs w:val="13"/>
              </w:rPr>
              <w:t xml:space="preserve">laté. 21,2 mm (#4)</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Protocoles n°6 (1983) et n°13 (2002) : abolition de la peine de mort</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504D"/>
                <w:sz w:val="13"/>
                <w:szCs w:val="13"/>
              </w:rPr>
              <w:t xml:space="preserve">26</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art. 66-1 C. · 2e Prot. PIDCP (N°24.3) · art. 2 Charte UE</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Al-Saadoon et Mufdhi (2010) : la peine de mort est devenue une peine inacceptable. Le Prot. 13 (N°4.7, p. 49) est 4 pages plus loin : pas de second onglet.</w:t>
            </w:r>
          </w:p>
        </w:tc>
      </w:tr>
      <w:tr>
        <w:tc>
          <w:tcPr>
            <w:tcW w:type="dxa" w:w="460"/>
            <w:tcBorders>
              <w:top w:val="single" w:color="BFBFBF" w:sz="2"/>
              <w:left w:val="single" w:color="BFBFBF" w:sz="2"/>
              <w:bottom w:val="single" w:color="BFBFBF" w:sz="2"/>
              <w:right w:val="single" w:color="BFBFBF" w:sz="2"/>
            </w:tcBorders>
            <w:shd w:fill="F2F2F2" w:color="auto" w:val="clear"/>
          </w:tcPr>
          <w:p>
            <w:pPr>
              <w:spacing w:after="16" w:before="16"/>
              <w:jc w:val="center"/>
            </w:pPr>
            <w:r>
              <w:rPr>
                <w:b/>
                <w:bCs/>
                <w:i w:val="false"/>
                <w:iCs w:val="false"/>
                <w:color w:val="808080"/>
                <w:sz w:val="16"/>
                <w:szCs w:val="16"/>
              </w:rPr>
              <w:t xml:space="preserve">2</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N°7 CPT (28)</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N°7 · p. 63</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504D"/>
                <w:sz w:val="13"/>
                <w:szCs w:val="13"/>
              </w:rPr>
              <w:t xml:space="preserve">laté. 25,6 mm (#5)</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Convention européenne pour la prévention de la torture (1987) — sous-section N°6 à 9</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504D"/>
                <w:sz w:val="13"/>
                <w:szCs w:val="13"/>
              </w:rPr>
              <w:t xml:space="preserve">28</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art. 3 CEDH · CAT et protocole (N°30.1-30.2) · CGLPL (N°52.5)</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Le CPT visite les lieux de privation de liberté (rapports sur la France). Sous-section voisine : terrorisme (N°6, p. 60), imprescriptibilité (N°8, p. 67).</w:t>
            </w:r>
          </w:p>
        </w:tc>
      </w:tr>
      <w:tr>
        <w:tc>
          <w:tcPr>
            <w:tcW w:type="dxa" w:w="460"/>
            <w:tcBorders>
              <w:top w:val="single" w:color="BFBFBF" w:sz="2"/>
              <w:left w:val="single" w:color="BFBFBF" w:sz="2"/>
              <w:bottom w:val="single" w:color="BFBFBF" w:sz="2"/>
              <w:right w:val="single" w:color="BFBFBF" w:sz="2"/>
            </w:tcBorders>
            <w:shd w:fill="C0504D"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N°9 TRAITE — VARSOVIE (29)</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N°9 · p. 69</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504D"/>
                <w:sz w:val="13"/>
                <w:szCs w:val="13"/>
              </w:rPr>
              <w:t xml:space="preserve">laté. 30 mm (#6)</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Convention de Varsovie sur la lutte contre la traite (2005) — GRETA</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504D"/>
                <w:sz w:val="13"/>
                <w:szCs w:val="13"/>
              </w:rPr>
              <w:t xml:space="preserve">29</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art. 4 CEDH · dir. 2011/36 (N°17.5) · Palerme/ONU (N°27) · C. pén. 225-4-1 (N°58.1) · loi 2016-444 (N°58.2)</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Rantsev (2010) s’appuie sur la Convention de Varsovie ; V.C.L. et A.N. c. RU (2021) : obligation d’identifier la victime de traite. Suivi par le GRETA.</w:t>
            </w:r>
          </w:p>
        </w:tc>
      </w:tr>
      <w:tr>
        <w:tc>
          <w:tcPr>
            <w:tcW w:type="dxa" w:w="460"/>
            <w:tcBorders>
              <w:top w:val="single" w:color="BFBFBF" w:sz="2"/>
              <w:left w:val="single" w:color="BFBFBF" w:sz="2"/>
              <w:bottom w:val="single" w:color="BFBFBF" w:sz="2"/>
              <w:right w:val="single" w:color="BFBFBF" w:sz="2"/>
            </w:tcBorders>
            <w:shd w:fill="F2F2F2" w:color="auto" w:val="clear"/>
          </w:tcPr>
          <w:p>
            <w:pPr>
              <w:spacing w:after="16" w:before="16"/>
              <w:jc w:val="center"/>
            </w:pPr>
            <w:r>
              <w:rPr>
                <w:b/>
                <w:bCs/>
                <w:i w:val="false"/>
                <w:iCs w:val="false"/>
                <w:color w:val="808080"/>
                <w:sz w:val="16"/>
                <w:szCs w:val="16"/>
              </w:rPr>
              <w:t xml:space="preserve">2</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N°12.1 ENFANTS — LANZAROTE (29·55)</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N°12.1 · p. 92</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504D"/>
                <w:sz w:val="13"/>
                <w:szCs w:val="13"/>
              </w:rPr>
              <w:t xml:space="preserve">laté. 34,4 mm (#7)</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Exercice des droits des enfants (1996) · Convention de Lanzarote (2007)</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504D"/>
                <w:sz w:val="13"/>
                <w:szCs w:val="13"/>
              </w:rPr>
              <w:t xml:space="preserve">29 · 55</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CIDE (N°34.1) · droits de l’enfant en droit interne (N°61) · justice pénale des mineurs (N°61.3)</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Sous-section « protection des enfants » : un seul onglet sur N°12.1 ; Lanzarote (N°12.2) est p. 96.</w:t>
            </w:r>
          </w:p>
        </w:tc>
      </w:tr>
      <w:tr>
        <w:tc>
          <w:tcPr>
            <w:tcW w:type="dxa" w:w="460"/>
            <w:tcBorders>
              <w:top w:val="single" w:color="BFBFBF" w:sz="2"/>
              <w:left w:val="single" w:color="BFBFBF" w:sz="2"/>
              <w:bottom w:val="single" w:color="BFBFBF" w:sz="2"/>
              <w:right w:val="single" w:color="BFBFBF" w:sz="2"/>
            </w:tcBorders>
            <w:shd w:fill="F2F2F2" w:color="auto" w:val="clear"/>
          </w:tcPr>
          <w:p>
            <w:pPr>
              <w:spacing w:after="16" w:before="16"/>
              <w:jc w:val="center"/>
            </w:pPr>
            <w:r>
              <w:rPr>
                <w:b/>
                <w:bCs/>
                <w:i w:val="false"/>
                <w:iCs w:val="false"/>
                <w:color w:val="808080"/>
                <w:sz w:val="16"/>
                <w:szCs w:val="16"/>
              </w:rPr>
              <w:t xml:space="preserve">2</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N°16.1 OVIEDO (27)</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N°16.1 · p. 161</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504D"/>
                <w:sz w:val="13"/>
                <w:szCs w:val="13"/>
              </w:rPr>
              <w:t xml:space="preserve">laté. 38,8 mm (#8)</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Convention d’Oviedo — biomédecine (1997) · protocoles clonage et transplantation (N°16.2–16.3)</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504D"/>
                <w:sz w:val="13"/>
                <w:szCs w:val="13"/>
              </w:rPr>
              <w:t xml:space="preserve">27 · 26</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C. civ. 16 s. (N°85-86) · CSP bioéthique (N°88-91) · UNESCO (N°38.1-38.2) · art. 3 Charte UE</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Primauté de l’être humain, consentement libre et éclairé, interdiction du clonage (N°16.2). Socle conventionnel des lois de bioéthique ; 94-343/344 DC (dignité). Attention : convention non citée dans tes fiches (une seule mention dans le fascicule) — rattachée par thème à la fiche 27.</w:t>
            </w:r>
          </w:p>
        </w:tc>
      </w:tr>
      <w:tr>
        <w:tc>
          <w:tcPr>
            <w:tcW w:type="dxa" w:w="460"/>
            <w:tcBorders>
              <w:top w:val="single" w:color="BFBFBF" w:sz="2"/>
              <w:left w:val="single" w:color="BFBFBF" w:sz="2"/>
              <w:bottom w:val="single" w:color="BFBFBF" w:sz="2"/>
              <w:right w:val="single" w:color="BFBFBF" w:sz="2"/>
            </w:tcBorders>
            <w:shd w:fill="C0504D"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CHARTE préamb.–art. 5 (26·27·28·29)</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N°17.2 · p. 174</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504D"/>
                <w:sz w:val="13"/>
                <w:szCs w:val="13"/>
              </w:rPr>
              <w:t xml:space="preserve">laté. 8 mm (#1)</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Préambule · Titre I Dignité : dignité (1), vie (2), intégrité et bioéthique (3), torture (4), esclavage et traite (5)</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504D"/>
                <w:sz w:val="13"/>
                <w:szCs w:val="13"/>
              </w:rPr>
              <w:t xml:space="preserve">5 · 26 · 27 · 28 · 29</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Conv. EDH art. 2-4 (N°4.1) · Oviedo (N°16.1) · CAT (N°30.1) · dir. traite (N°17.5)</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Omega (CJUE, 2004) : la dignité, valeur commune, peut justifier une restriction à une liberté économique. Art. 3 : consentement libre et éclairé, interdiction de l’eugénisme et du clonage reproductif. Art. 4 ↔ art. 3 CEDH (M.S.S., Tarakhel : transferts Dublin, fiche 53).</w:t>
            </w:r>
          </w:p>
        </w:tc>
      </w:tr>
      <w:tr>
        <w:tc>
          <w:tcPr>
            <w:tcW w:type="dxa" w:w="460"/>
            <w:tcBorders>
              <w:top w:val="single" w:color="BFBFBF" w:sz="2"/>
              <w:left w:val="single" w:color="BFBFBF" w:sz="2"/>
              <w:bottom w:val="single" w:color="BFBFBF" w:sz="2"/>
              <w:right w:val="single" w:color="BFBFBF" w:sz="2"/>
            </w:tcBorders>
            <w:shd w:fill="C0504D"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PIDCP art. 6–11 (26·28·29·30)</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N°24.1 · ≈ p. 416</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504D"/>
                <w:sz w:val="13"/>
                <w:szCs w:val="13"/>
              </w:rPr>
              <w:t xml:space="preserve">laté. 8 mm (#1)</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Vie (6), torture (7), esclavage (8), liberté et sûreté (9), détenus (10), prison pour dettes (11)</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504D"/>
                <w:sz w:val="13"/>
                <w:szCs w:val="13"/>
              </w:rPr>
              <w:t xml:space="preserve">26 · 28 · 29 · 30</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Conv. EDH art. 2-5 · 2e Protocole (N°24.3) · CAT (N°30.1)</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Art. 6 : Observation générale n° 36 (2018) du Comité des droits de l’homme. Art. 10 : traitement avec humanité des personnes privées de liberté, plus explicite que la CEDH.</w:t>
            </w:r>
          </w:p>
        </w:tc>
      </w:tr>
      <w:tr>
        <w:tc>
          <w:tcPr>
            <w:tcW w:type="dxa" w:w="460"/>
            <w:tcBorders>
              <w:top w:val="single" w:color="BFBFBF" w:sz="2"/>
              <w:left w:val="single" w:color="BFBFBF" w:sz="2"/>
              <w:bottom w:val="single" w:color="BFBFBF" w:sz="2"/>
              <w:right w:val="single" w:color="BFBFBF" w:sz="2"/>
            </w:tcBorders>
            <w:shd w:fill="F2F2F2" w:color="auto" w:val="clear"/>
          </w:tcPr>
          <w:p>
            <w:pPr>
              <w:spacing w:after="16" w:before="16"/>
              <w:jc w:val="center"/>
            </w:pPr>
            <w:r>
              <w:rPr>
                <w:b/>
                <w:bCs/>
                <w:i w:val="false"/>
                <w:iCs w:val="false"/>
                <w:color w:val="808080"/>
                <w:sz w:val="16"/>
                <w:szCs w:val="16"/>
              </w:rPr>
              <w:t xml:space="preserve">2</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N°26.1–27 ESCLAVAGE &amp; TRAITE ONU (29)</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N°26.1 · p. 441</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504D"/>
                <w:sz w:val="13"/>
                <w:szCs w:val="13"/>
              </w:rPr>
              <w:t xml:space="preserve">laté. 12,4 mm (#2)</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Conventions de 1926 et 1956 sur l’esclavage · Convention de 1949 (traite et exploitation de la prostitution d’autrui)</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504D"/>
                <w:sz w:val="13"/>
                <w:szCs w:val="13"/>
              </w:rPr>
              <w:t xml:space="preserve">29 · 28</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Conv. EDH art. 4 · Conv. Varsovie (N°9) · loi Taubira (N°55.1) · loi 2016-444 (N°58.2)</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Définition de l’esclavage par l’exercice des attributs du droit de propriété (1926), reprise par Siliadin (2005). La Convention de 1949 inspire l’approche abolitionniste de la loi de 2016.</w:t>
            </w:r>
          </w:p>
        </w:tc>
      </w:tr>
      <w:tr>
        <w:tc>
          <w:tcPr>
            <w:tcW w:type="dxa" w:w="460"/>
            <w:tcBorders>
              <w:top w:val="single" w:color="BFBFBF" w:sz="2"/>
              <w:left w:val="single" w:color="BFBFBF" w:sz="2"/>
              <w:bottom w:val="single" w:color="BFBFBF" w:sz="2"/>
              <w:right w:val="single" w:color="BFBFBF" w:sz="2"/>
            </w:tcBorders>
            <w:shd w:fill="C0504D"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N°30.1 CAT ONU (28·21)</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N°30.1 · p. 458</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504D"/>
                <w:sz w:val="13"/>
                <w:szCs w:val="13"/>
              </w:rPr>
              <w:t xml:space="preserve">laté. 16,8 mm (#3)</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Convention contre la torture (1984) · protocole facultatif, Sous-comité de prévention (N°30.2, p. 465)</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504D"/>
                <w:sz w:val="13"/>
                <w:szCs w:val="13"/>
              </w:rPr>
              <w:t xml:space="preserve">28 · 21</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art. 3 CEDH · CPT (N°7) · CGLPL, mécanisme national de prévention (N°52.5)</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Définition de la torture (art. 1er : douleur aiguë, intention, agent public) ; non-refoulement (art. 3) ; compétence universelle (art. 5-7). Comité contre la torture (fiche 21).</w:t>
            </w:r>
          </w:p>
        </w:tc>
      </w:tr>
      <w:tr>
        <w:tc>
          <w:tcPr>
            <w:tcW w:type="dxa" w:w="460"/>
            <w:tcBorders>
              <w:top w:val="single" w:color="BFBFBF" w:sz="2"/>
              <w:left w:val="single" w:color="BFBFBF" w:sz="2"/>
              <w:bottom w:val="single" w:color="BFBFBF" w:sz="2"/>
              <w:right w:val="single" w:color="BFBFBF" w:sz="2"/>
            </w:tcBorders>
            <w:shd w:fill="F2F2F2" w:color="auto" w:val="clear"/>
          </w:tcPr>
          <w:p>
            <w:pPr>
              <w:spacing w:after="16" w:before="16"/>
              <w:jc w:val="center"/>
            </w:pPr>
            <w:r>
              <w:rPr>
                <w:b/>
                <w:bCs/>
                <w:i w:val="false"/>
                <w:iCs w:val="false"/>
                <w:color w:val="808080"/>
                <w:sz w:val="16"/>
                <w:szCs w:val="16"/>
              </w:rPr>
              <w:t xml:space="preserve">2</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N°38.1–38.2 BIOÉTHIQUE UNESCO (27)</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N°38.1 · p. 591</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504D"/>
                <w:sz w:val="13"/>
                <w:szCs w:val="13"/>
              </w:rPr>
              <w:t xml:space="preserve">laté. 8 mm (#1)</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Déclarations universelles sur le génome humain (1997) et sur la bioéthique et les droits de l’homme (2005)</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504D"/>
                <w:sz w:val="13"/>
                <w:szCs w:val="13"/>
              </w:rPr>
              <w:t xml:space="preserve">27 · 26</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Oviedo (N°16.1) · C. civ. 16 s. (N°85-86) · CSP (N°88-91)</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Droit souple ; le génome humain est déclaré « patrimoine de l’humanité » (sens symbolique). Non citées dans tes fiches.</w:t>
            </w:r>
          </w:p>
        </w:tc>
      </w:tr>
      <w:tr>
        <w:tc>
          <w:tcPr>
            <w:tcW w:type="dxa" w:w="460"/>
            <w:tcBorders>
              <w:top w:val="single" w:color="BFBFBF" w:sz="2"/>
              <w:left w:val="single" w:color="BFBFBF" w:sz="2"/>
              <w:bottom w:val="single" w:color="BFBFBF" w:sz="2"/>
              <w:right w:val="single" w:color="BFBFBF" w:sz="2"/>
            </w:tcBorders>
            <w:shd w:fill="F2F2F2" w:color="auto" w:val="clear"/>
          </w:tcPr>
          <w:p>
            <w:pPr>
              <w:spacing w:after="16" w:before="16"/>
              <w:jc w:val="center"/>
            </w:pPr>
            <w:r>
              <w:rPr>
                <w:b/>
                <w:bCs/>
                <w:i w:val="false"/>
                <w:iCs w:val="false"/>
                <w:color w:val="808080"/>
                <w:sz w:val="16"/>
                <w:szCs w:val="16"/>
              </w:rPr>
              <w:t xml:space="preserve">2</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N°52.1 EXÉCUTION DES PEINES (28·32)</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N°52.1 · p. 708</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504D"/>
                <w:sz w:val="13"/>
                <w:szCs w:val="13"/>
              </w:rPr>
              <w:t xml:space="preserve">laté. 12,4 mm (#2)</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Exécution des peines privatives de liberté — CPP 716-1 à 721-3</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504D"/>
                <w:sz w:val="13"/>
                <w:szCs w:val="13"/>
              </w:rPr>
              <w:t xml:space="preserve">28 · 32</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Code pénitentiaire (N°52.2) · art. 8 DDHC (nécessité des peines)</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Individualisation et aménagement des peines ; finalité de réinsertion.</w:t>
            </w:r>
          </w:p>
        </w:tc>
      </w:tr>
      <w:tr>
        <w:tc>
          <w:tcPr>
            <w:tcW w:type="dxa" w:w="460"/>
            <w:tcBorders>
              <w:top w:val="single" w:color="BFBFBF" w:sz="2"/>
              <w:left w:val="single" w:color="BFBFBF" w:sz="2"/>
              <w:bottom w:val="single" w:color="BFBFBF" w:sz="2"/>
              <w:right w:val="single" w:color="BFBFBF" w:sz="2"/>
            </w:tcBorders>
            <w:shd w:fill="C0504D"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N°52.2 CODE PÉNITENTIAIRE (28)</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N°52.2 · p. 718</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504D"/>
                <w:sz w:val="13"/>
                <w:szCs w:val="13"/>
              </w:rPr>
              <w:t xml:space="preserve">laté. 16,8 mm (#3)</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Droits et obligations des personnes détenues — Code pénitentiaire</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504D"/>
                <w:sz w:val="13"/>
                <w:szCs w:val="13"/>
              </w:rPr>
              <w:t xml:space="preserve">28 · 17 · 30</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art. 3 et 8 CEDH · CGLPL (N°52.5) · CAT et CPT (N°30.1, N°7)</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J.M.B. c. France (2020) → 2020-858/859 QPC → art. 803-8 CPP (recours préventif) ; fouilles intégrales strictement encadrées ; dignité de la personne détenue (2023-1064 QPC, fiche 30).</w:t>
            </w:r>
          </w:p>
        </w:tc>
      </w:tr>
      <w:tr>
        <w:tc>
          <w:tcPr>
            <w:tcW w:type="dxa" w:w="460"/>
            <w:tcBorders>
              <w:top w:val="single" w:color="BFBFBF" w:sz="2"/>
              <w:left w:val="single" w:color="BFBFBF" w:sz="2"/>
              <w:bottom w:val="single" w:color="BFBFBF" w:sz="2"/>
              <w:right w:val="single" w:color="BFBFBF" w:sz="2"/>
            </w:tcBorders>
            <w:shd w:fill="C0504D"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N°52.5 CGLPL (28·20)</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N°52.5 · p. 732</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504D"/>
                <w:sz w:val="13"/>
                <w:szCs w:val="13"/>
              </w:rPr>
              <w:t xml:space="preserve">laté. 8 mm (#1)</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Contrôleur général des lieux de privation de liberté — loi n° 2007-1545</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504D"/>
                <w:sz w:val="13"/>
                <w:szCs w:val="13"/>
              </w:rPr>
              <w:t xml:space="preserve">28 · 20 · 32</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protocole CAT (N°30.2) · CPT (N°7) · Défenseur des droits (N°39.2)</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Mécanisme national de prévention au sens du protocole facultatif à la Convention contre la torture ; visites inopinées, recommandations publiques, procédure d’urgence.</w:t>
            </w:r>
          </w:p>
        </w:tc>
      </w:tr>
      <w:tr>
        <w:tc>
          <w:tcPr>
            <w:tcW w:type="dxa" w:w="460"/>
            <w:tcBorders>
              <w:top w:val="single" w:color="BFBFBF" w:sz="2"/>
              <w:left w:val="single" w:color="BFBFBF" w:sz="2"/>
              <w:bottom w:val="single" w:color="BFBFBF" w:sz="2"/>
              <w:right w:val="single" w:color="BFBFBF" w:sz="2"/>
            </w:tcBorders>
            <w:shd w:fill="C0504D"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N°58.1–58.2 TRAITE &amp; PROSTITUTION (29·55)</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N°58.1 · p. 747</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504D"/>
                <w:sz w:val="13"/>
                <w:szCs w:val="13"/>
              </w:rPr>
              <w:t xml:space="preserve">laté. 21,2 mm (#4)</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Traite des êtres humains (C. pén. 225-4-1 à 225-4-9) · loi n° 2016-444 contre le système prostitutionnel (N°58.2 p. 748)</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504D"/>
                <w:sz w:val="13"/>
                <w:szCs w:val="13"/>
              </w:rPr>
              <w:t xml:space="preserve">29 · 55 · 27</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Conv. EDH art. 4 · Conv. Varsovie (N°9) · dir. 2011/36 (N°17.5) · Conv. 1949 (N°27)</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Siliadin (2005) et C.N. et V. (2012) → loi du 5 août 2013. Pénalisation des clients : 2018-761 QPC (Médecins du monde) ; M.A. et autres c. France (2024) : non-violation de l’art. 8.</w:t>
            </w:r>
          </w:p>
        </w:tc>
      </w:tr>
      <w:tr>
        <w:tc>
          <w:tcPr>
            <w:tcW w:type="dxa" w:w="460"/>
            <w:tcBorders>
              <w:top w:val="single" w:color="BFBFBF" w:sz="2"/>
              <w:left w:val="single" w:color="BFBFBF" w:sz="2"/>
              <w:bottom w:val="single" w:color="BFBFBF" w:sz="2"/>
              <w:right w:val="single" w:color="BFBFBF" w:sz="2"/>
            </w:tcBorders>
            <w:shd w:fill="F2F2F2" w:color="auto" w:val="clear"/>
          </w:tcPr>
          <w:p>
            <w:pPr>
              <w:spacing w:after="16" w:before="16"/>
              <w:jc w:val="center"/>
            </w:pPr>
            <w:r>
              <w:rPr>
                <w:b/>
                <w:bCs/>
                <w:i w:val="false"/>
                <w:iCs w:val="false"/>
                <w:color w:val="808080"/>
                <w:sz w:val="16"/>
                <w:szCs w:val="16"/>
              </w:rPr>
              <w:t xml:space="preserve">2</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N°82.1–83 DÉONTOLOGIE MÉDICALE &amp; CCNE (27·48)</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N°82.1 · p. 973</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504D"/>
                <w:sz w:val="13"/>
                <w:szCs w:val="13"/>
              </w:rPr>
              <w:t xml:space="preserve">laté. 8 mm (#1)</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Devoirs des médecins (CSP) · Comité consultatif national d’éthique (CSP L.1412-1 s., N°83 p. 981)</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504D"/>
                <w:sz w:val="13"/>
                <w:szCs w:val="13"/>
              </w:rPr>
              <w:t xml:space="preserve">27 · 48</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Oviedo (N°16.1) · droits des malades (N°92)</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Consentement libre et éclairé ; le CCNE éclaire le législateur avant chaque révision bioéthique.</w:t>
            </w:r>
          </w:p>
        </w:tc>
      </w:tr>
      <w:tr>
        <w:tc>
          <w:tcPr>
            <w:tcW w:type="dxa" w:w="460"/>
            <w:tcBorders>
              <w:top w:val="single" w:color="BFBFBF" w:sz="2"/>
              <w:left w:val="single" w:color="BFBFBF" w:sz="2"/>
              <w:bottom w:val="single" w:color="BFBFBF" w:sz="2"/>
              <w:right w:val="single" w:color="BFBFBF" w:sz="2"/>
            </w:tcBorders>
            <w:shd w:fill="C0504D"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N°84 IVG (26·27)</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N°84 · p. 983</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504D"/>
                <w:sz w:val="13"/>
                <w:szCs w:val="13"/>
              </w:rPr>
              <w:t xml:space="preserve">laté. 12,4 mm (#2)</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Interruption volontaire de grossesse — CSP L.2211-1 s. et L.2223-1-2</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504D"/>
                <w:sz w:val="13"/>
                <w:szCs w:val="13"/>
              </w:rPr>
              <w:t xml:space="preserve">26 · 27 · 16</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art. 2 DDHC · art. 34 C. (liberté garantie) · art. 2 et 8 CEDH</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74-54 DC (refus du contrôle de conventionnalité) ; 2001-446 DC (liberté de la femme, art. 2 DDHC) ; Vo c. France (2004) ; loi constitutionnelle du 8 mars 2024 : liberté garantie de recourir à l’IVG inscrite à l’art. 34 C.</w:t>
            </w:r>
          </w:p>
        </w:tc>
      </w:tr>
      <w:tr>
        <w:tc>
          <w:tcPr>
            <w:tcW w:type="dxa" w:w="460"/>
            <w:tcBorders>
              <w:top w:val="single" w:color="BFBFBF" w:sz="2"/>
              <w:left w:val="single" w:color="BFBFBF" w:sz="2"/>
              <w:bottom w:val="single" w:color="BFBFBF" w:sz="2"/>
              <w:right w:val="single" w:color="BFBFBF" w:sz="2"/>
            </w:tcBorders>
            <w:shd w:fill="FFD24A" w:color="auto" w:val="clear"/>
          </w:tcPr>
          <w:p>
            <w:pPr>
              <w:spacing w:after="16" w:before="16"/>
              <w:jc w:val="center"/>
            </w:pPr>
            <w:r>
              <w:rPr>
                <w:b/>
                <w:bCs/>
                <w:i w:val="false"/>
                <w:iCs w:val="false"/>
                <w:color w:val="6B4E00"/>
                <w:sz w:val="16"/>
                <w:szCs w:val="16"/>
              </w:rPr>
              <w:t xml:space="preserve">★</w:t>
            </w:r>
          </w:p>
        </w:tc>
        <w:tc>
          <w:tcPr>
            <w:tcW w:type="dxa" w:w="2000"/>
            <w:tcBorders>
              <w:top w:val="single" w:color="BFBFBF" w:sz="2"/>
              <w:left w:val="single" w:color="BFBFBF" w:sz="2"/>
              <w:bottom w:val="single" w:color="BFBFBF" w:sz="2"/>
              <w:right w:val="single" w:color="BFBFBF" w:sz="2"/>
            </w:tcBorders>
            <w:shd w:fill="FFF6DC" w:color="auto" w:val="clear"/>
          </w:tcPr>
          <w:p>
            <w:pPr>
              <w:spacing w:after="16" w:before="16"/>
            </w:pPr>
            <w:r>
              <w:rPr>
                <w:b/>
                <w:bCs/>
                <w:i w:val="false"/>
                <w:iCs w:val="false"/>
                <w:color w:val="1F1F1F"/>
                <w:sz w:val="14"/>
                <w:szCs w:val="14"/>
              </w:rPr>
              <w:t xml:space="preserve">N°85–87 CORPS HUMAIN — C. CIV. 16 s. (27·5)  ★</w:t>
            </w:r>
          </w:p>
        </w:tc>
        <w:tc>
          <w:tcPr>
            <w:tcW w:type="dxa" w:w="70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595959"/>
                <w:sz w:val="12"/>
                <w:szCs w:val="12"/>
              </w:rPr>
              <w:t xml:space="preserve">N°85 · p. 988</w:t>
            </w:r>
          </w:p>
        </w:tc>
        <w:tc>
          <w:tcPr>
            <w:tcW w:type="dxa" w:w="1150"/>
            <w:tcBorders>
              <w:top w:val="single" w:color="BFBFBF" w:sz="2"/>
              <w:left w:val="single" w:color="BFBFBF" w:sz="2"/>
              <w:bottom w:val="single" w:color="BFBFBF" w:sz="2"/>
              <w:right w:val="single" w:color="BFBFBF" w:sz="2"/>
            </w:tcBorders>
            <w:shd w:fill="FFF6DC" w:color="auto" w:val="clear"/>
          </w:tcPr>
          <w:p>
            <w:pPr>
              <w:spacing w:after="16" w:before="16"/>
              <w:jc w:val="center"/>
            </w:pPr>
            <w:r>
              <w:rPr>
                <w:b/>
                <w:bCs/>
                <w:i w:val="false"/>
                <w:iCs w:val="false"/>
                <w:color w:val="C0504D"/>
                <w:sz w:val="13"/>
                <w:szCs w:val="13"/>
              </w:rPr>
              <w:t xml:space="preserve">laté. 16,8 mm (#3)</w:t>
            </w:r>
          </w:p>
        </w:tc>
        <w:tc>
          <w:tcPr>
            <w:tcW w:type="dxa" w:w="205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333333"/>
                <w:sz w:val="13"/>
                <w:szCs w:val="13"/>
              </w:rPr>
              <w:t xml:space="preserve">Respect du corps humain (C. civ. 16 à 16-9) · études génétiques (16-10 s., N°86) · protection de l’espèce humaine et de l’embryon (C. pén. 214-1 s., 511-1 s., N°87 p. 991)</w:t>
            </w:r>
          </w:p>
        </w:tc>
        <w:tc>
          <w:tcPr>
            <w:tcW w:type="dxa" w:w="800"/>
            <w:tcBorders>
              <w:top w:val="single" w:color="BFBFBF" w:sz="2"/>
              <w:left w:val="single" w:color="BFBFBF" w:sz="2"/>
              <w:bottom w:val="single" w:color="BFBFBF" w:sz="2"/>
              <w:right w:val="single" w:color="BFBFBF" w:sz="2"/>
            </w:tcBorders>
            <w:shd w:fill="FFF6DC" w:color="auto" w:val="clear"/>
          </w:tcPr>
          <w:p>
            <w:pPr>
              <w:spacing w:after="16" w:before="16"/>
              <w:jc w:val="center"/>
            </w:pPr>
            <w:r>
              <w:rPr>
                <w:b/>
                <w:bCs/>
                <w:i w:val="false"/>
                <w:iCs w:val="false"/>
                <w:color w:val="C0504D"/>
                <w:sz w:val="13"/>
                <w:szCs w:val="13"/>
              </w:rPr>
              <w:t xml:space="preserve">27 · 5 · 26 · 34</w:t>
            </w:r>
          </w:p>
        </w:tc>
        <w:tc>
          <w:tcPr>
            <w:tcW w:type="dxa" w:w="320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333333"/>
                <w:sz w:val="12"/>
                <w:szCs w:val="12"/>
              </w:rPr>
              <w:t xml:space="preserve">Oviedo (N°16.1-16.2) · Charte UE art. 3 · UNESCO (N°38.1-38.2)</w:t>
            </w:r>
          </w:p>
        </w:tc>
        <w:tc>
          <w:tcPr>
            <w:tcW w:type="dxa" w:w="5238"/>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333333"/>
                <w:sz w:val="12"/>
                <w:szCs w:val="12"/>
              </w:rPr>
              <w:t xml:space="preserve">Dignité, principe à valeur constitutionnelle (94-343/344 DC) ; ordre public (Morsang-sur-Orge, 1995 ; Société Z Machine, 2026). GPA interdite par l’art. 16-7 : Mennesson (2014), avis consultatif de 2019, Cass. ass. plén., 3 juillet 2026.</w:t>
            </w:r>
          </w:p>
        </w:tc>
      </w:tr>
      <w:tr>
        <w:tc>
          <w:tcPr>
            <w:tcW w:type="dxa" w:w="460"/>
            <w:tcBorders>
              <w:top w:val="single" w:color="BFBFBF" w:sz="2"/>
              <w:left w:val="single" w:color="BFBFBF" w:sz="2"/>
              <w:bottom w:val="single" w:color="BFBFBF" w:sz="2"/>
              <w:right w:val="single" w:color="BFBFBF" w:sz="2"/>
            </w:tcBorders>
            <w:shd w:fill="F2F2F2" w:color="auto" w:val="clear"/>
          </w:tcPr>
          <w:p>
            <w:pPr>
              <w:spacing w:after="16" w:before="16"/>
              <w:jc w:val="center"/>
            </w:pPr>
            <w:r>
              <w:rPr>
                <w:b/>
                <w:bCs/>
                <w:i w:val="false"/>
                <w:iCs w:val="false"/>
                <w:color w:val="808080"/>
                <w:sz w:val="16"/>
                <w:szCs w:val="16"/>
              </w:rPr>
              <w:t xml:space="preserve">2</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N°88 RECHERCHES SUR LA PERSONNE (27)</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N°88 · p. 997</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504D"/>
                <w:sz w:val="13"/>
                <w:szCs w:val="13"/>
              </w:rPr>
              <w:t xml:space="preserve">laté. 21,2 mm (#4)</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Recherches impliquant la personne humaine — CSP L.1121-1 s.</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504D"/>
                <w:sz w:val="13"/>
                <w:szCs w:val="13"/>
              </w:rPr>
              <w:t xml:space="preserve">27 · 50</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Oviedo (N°16.1) · Charte UE art. 3</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Consentement préalable, protection des personnes vulnérables, avis d’un comité de protection des personnes.</w:t>
            </w:r>
          </w:p>
        </w:tc>
      </w:tr>
      <w:tr>
        <w:tc>
          <w:tcPr>
            <w:tcW w:type="dxa" w:w="460"/>
            <w:tcBorders>
              <w:top w:val="single" w:color="BFBFBF" w:sz="2"/>
              <w:left w:val="single" w:color="BFBFBF" w:sz="2"/>
              <w:bottom w:val="single" w:color="BFBFBF" w:sz="2"/>
              <w:right w:val="single" w:color="BFBFBF" w:sz="2"/>
            </w:tcBorders>
            <w:shd w:fill="F2F2F2" w:color="auto" w:val="clear"/>
          </w:tcPr>
          <w:p>
            <w:pPr>
              <w:spacing w:after="16" w:before="16"/>
              <w:jc w:val="center"/>
            </w:pPr>
            <w:r>
              <w:rPr>
                <w:b/>
                <w:bCs/>
                <w:i w:val="false"/>
                <w:iCs w:val="false"/>
                <w:color w:val="808080"/>
                <w:sz w:val="16"/>
                <w:szCs w:val="16"/>
              </w:rPr>
              <w:t xml:space="preserve">2</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N°90–91 GÉNÉTIQUE &amp; DONS (27·54)</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N°90 · p. 1021</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504D"/>
                <w:sz w:val="13"/>
                <w:szCs w:val="13"/>
              </w:rPr>
              <w:t xml:space="preserve">laté. 25,6 mm (#5)</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Médecine prédictive et identification génétique (CSP L.1131-1 s.) · don d’éléments et produits du corps humain (L.1211-1 s., N°91 p. 1026)</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504D"/>
                <w:sz w:val="13"/>
                <w:szCs w:val="13"/>
              </w:rPr>
              <w:t xml:space="preserve">27 · 54</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C. civ. 16-10 s. (N°86) · Oviedo (N°16.3)</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Gratuité, anonymat et consentement du don ; interdiction des discriminations fondées sur les caractéristiques génétiques.</w:t>
            </w:r>
          </w:p>
        </w:tc>
      </w:tr>
      <w:tr>
        <w:tc>
          <w:tcPr>
            <w:tcW w:type="dxa" w:w="460"/>
            <w:tcBorders>
              <w:top w:val="single" w:color="BFBFBF" w:sz="2"/>
              <w:left w:val="single" w:color="BFBFBF" w:sz="2"/>
              <w:bottom w:val="single" w:color="BFBFBF" w:sz="2"/>
              <w:right w:val="single" w:color="BFBFBF" w:sz="2"/>
            </w:tcBorders>
            <w:shd w:fill="FFD24A" w:color="auto" w:val="clear"/>
          </w:tcPr>
          <w:p>
            <w:pPr>
              <w:spacing w:after="16" w:before="16"/>
              <w:jc w:val="center"/>
            </w:pPr>
            <w:r>
              <w:rPr>
                <w:b/>
                <w:bCs/>
                <w:i w:val="false"/>
                <w:iCs w:val="false"/>
                <w:color w:val="6B4E00"/>
                <w:sz w:val="16"/>
                <w:szCs w:val="16"/>
              </w:rPr>
              <w:t xml:space="preserve">★</w:t>
            </w:r>
          </w:p>
        </w:tc>
        <w:tc>
          <w:tcPr>
            <w:tcW w:type="dxa" w:w="2000"/>
            <w:tcBorders>
              <w:top w:val="single" w:color="BFBFBF" w:sz="2"/>
              <w:left w:val="single" w:color="BFBFBF" w:sz="2"/>
              <w:bottom w:val="single" w:color="BFBFBF" w:sz="2"/>
              <w:right w:val="single" w:color="BFBFBF" w:sz="2"/>
            </w:tcBorders>
            <w:shd w:fill="FFF6DC" w:color="auto" w:val="clear"/>
          </w:tcPr>
          <w:p>
            <w:pPr>
              <w:spacing w:after="16" w:before="16"/>
            </w:pPr>
            <w:r>
              <w:rPr>
                <w:b/>
                <w:bCs/>
                <w:i w:val="false"/>
                <w:iCs w:val="false"/>
                <w:color w:val="1F1F1F"/>
                <w:sz w:val="14"/>
                <w:szCs w:val="14"/>
              </w:rPr>
              <w:t xml:space="preserve">N°92 DROITS DES MALADES — FIN DE VIE (26·48)  ★</w:t>
            </w:r>
          </w:p>
        </w:tc>
        <w:tc>
          <w:tcPr>
            <w:tcW w:type="dxa" w:w="70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595959"/>
                <w:sz w:val="12"/>
                <w:szCs w:val="12"/>
              </w:rPr>
              <w:t xml:space="preserve">N°92 · p. 1031</w:t>
            </w:r>
          </w:p>
        </w:tc>
        <w:tc>
          <w:tcPr>
            <w:tcW w:type="dxa" w:w="1150"/>
            <w:tcBorders>
              <w:top w:val="single" w:color="BFBFBF" w:sz="2"/>
              <w:left w:val="single" w:color="BFBFBF" w:sz="2"/>
              <w:bottom w:val="single" w:color="BFBFBF" w:sz="2"/>
              <w:right w:val="single" w:color="BFBFBF" w:sz="2"/>
            </w:tcBorders>
            <w:shd w:fill="FFF6DC" w:color="auto" w:val="clear"/>
          </w:tcPr>
          <w:p>
            <w:pPr>
              <w:spacing w:after="16" w:before="16"/>
              <w:jc w:val="center"/>
            </w:pPr>
            <w:r>
              <w:rPr>
                <w:b/>
                <w:bCs/>
                <w:i w:val="false"/>
                <w:iCs w:val="false"/>
                <w:color w:val="C0504D"/>
                <w:sz w:val="13"/>
                <w:szCs w:val="13"/>
              </w:rPr>
              <w:t xml:space="preserve">laté. 30 mm (#6)</w:t>
            </w:r>
          </w:p>
        </w:tc>
        <w:tc>
          <w:tcPr>
            <w:tcW w:type="dxa" w:w="205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333333"/>
                <w:sz w:val="13"/>
                <w:szCs w:val="13"/>
              </w:rPr>
              <w:t xml:space="preserve">Droits des malades — CSP L.1110-1 à L.1110-11 (dont L.1110-5 s. : sédation profonde et continue)</w:t>
            </w:r>
          </w:p>
        </w:tc>
        <w:tc>
          <w:tcPr>
            <w:tcW w:type="dxa" w:w="800"/>
            <w:tcBorders>
              <w:top w:val="single" w:color="BFBFBF" w:sz="2"/>
              <w:left w:val="single" w:color="BFBFBF" w:sz="2"/>
              <w:bottom w:val="single" w:color="BFBFBF" w:sz="2"/>
              <w:right w:val="single" w:color="BFBFBF" w:sz="2"/>
            </w:tcBorders>
            <w:shd w:fill="FFF6DC" w:color="auto" w:val="clear"/>
          </w:tcPr>
          <w:p>
            <w:pPr>
              <w:spacing w:after="16" w:before="16"/>
              <w:jc w:val="center"/>
            </w:pPr>
            <w:r>
              <w:rPr>
                <w:b/>
                <w:bCs/>
                <w:i w:val="false"/>
                <w:iCs w:val="false"/>
                <w:color w:val="C0504D"/>
                <w:sz w:val="13"/>
                <w:szCs w:val="13"/>
              </w:rPr>
              <w:t xml:space="preserve">26 · 48 · 27 · 55</w:t>
            </w:r>
          </w:p>
        </w:tc>
        <w:tc>
          <w:tcPr>
            <w:tcW w:type="dxa" w:w="320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333333"/>
                <w:sz w:val="12"/>
                <w:szCs w:val="12"/>
              </w:rPr>
              <w:t xml:space="preserve">art. 2 et 8 CEDH · Charte UE art. 35 · art. 12 PIDESC</w:t>
            </w:r>
          </w:p>
        </w:tc>
        <w:tc>
          <w:tcPr>
            <w:tcW w:type="dxa" w:w="5238"/>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333333"/>
                <w:sz w:val="12"/>
                <w:szCs w:val="12"/>
              </w:rPr>
              <w:t xml:space="preserve">Lambert et a. c. France (2015) ; procédure collégiale : 2017-632 QPC ; loi Claeys-Leonetti (2016). À jour : la loi n° 2026-794 du 18 août 2026 relative au droit à l’aide à mourir (validée par 2026-910 DC) et la loi du 26 mai 2026 sur les soins palliatifs sont postérieures à l’impression du recueil (mai 2026).</w:t>
            </w:r>
          </w:p>
        </w:tc>
      </w:tr>
      <w:tr>
        <w:tc>
          <w:tcPr>
            <w:tcW w:type="dxa" w:w="460"/>
            <w:tcBorders>
              <w:top w:val="single" w:color="BFBFBF" w:sz="2"/>
              <w:left w:val="single" w:color="BFBFBF" w:sz="2"/>
              <w:bottom w:val="single" w:color="BFBFBF" w:sz="2"/>
              <w:right w:val="single" w:color="BFBFBF" w:sz="2"/>
            </w:tcBorders>
            <w:shd w:fill="F2F2F2" w:color="auto" w:val="clear"/>
          </w:tcPr>
          <w:p>
            <w:pPr>
              <w:spacing w:after="16" w:before="16"/>
              <w:jc w:val="center"/>
            </w:pPr>
            <w:r>
              <w:rPr>
                <w:b/>
                <w:bCs/>
                <w:i w:val="false"/>
                <w:iCs w:val="false"/>
                <w:color w:val="808080"/>
                <w:sz w:val="16"/>
                <w:szCs w:val="16"/>
              </w:rPr>
              <w:t xml:space="preserve">2</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N°93.1–93.2 SUICIDE (26)</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N°93.1 · p. 1037</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504D"/>
                <w:sz w:val="13"/>
                <w:szCs w:val="13"/>
              </w:rPr>
              <w:t xml:space="preserve">laté. 34,4 mm (#7)</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Observatoire national du suicide (décret 2013-809) · provocation au suicide (C. pén. 223-13 à 223-15, N°93.2 p. 1038)</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504D"/>
                <w:sz w:val="13"/>
                <w:szCs w:val="13"/>
              </w:rPr>
              <w:t xml:space="preserve">26 · 55</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art. 2 CEDH (obligations positives)</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Pas de droit à mourir déduit de l’art. 2 (Pretty, 2002) ; Haas c. Suisse (2011) : droit de décider de la manière de mettre fin à ses jours, sous l’angle de l’art. 8.</w:t>
            </w:r>
          </w:p>
        </w:tc>
      </w:tr>
    </w:tbl>
    <w:p>
      <w:pPr>
        <w:spacing w:after="120"/>
      </w:pPr>
    </w:p>
    <w:tbl>
      <w:tblPr>
        <w:tblW w:type="dxa" w:w="15598"/>
        <w:tblBorders>
          <w:top w:val="single" w:color="BFBFBF" w:sz="2"/>
          <w:left w:val="single" w:color="BFBFBF" w:sz="2"/>
          <w:bottom w:val="single" w:color="BFBFBF" w:sz="2"/>
          <w:right w:val="single" w:color="BFBFBF" w:sz="2"/>
          <w:insideH w:val="single" w:color="D9D9D9" w:sz="2"/>
          <w:insideV w:val="single" w:color="BFBFBF" w:sz="2"/>
        </w:tblBorders>
      </w:tblPr>
      <w:tblGrid>
        <w:gridCol w:w="460"/>
        <w:gridCol w:w="2000"/>
        <w:gridCol w:w="700"/>
        <w:gridCol w:w="1150"/>
        <w:gridCol w:w="2050"/>
        <w:gridCol w:w="800"/>
        <w:gridCol w:w="3200"/>
        <w:gridCol w:w="5238"/>
      </w:tblGrid>
      <w:tr>
        <w:tc>
          <w:tcPr>
            <w:gridSpan w:val="8"/>
            <w:tcBorders>
              <w:top w:val="single" w:color="BFBFBF" w:sz="2"/>
              <w:left w:val="single" w:color="BFBFBF" w:sz="2"/>
              <w:bottom w:val="single" w:color="BFBFBF" w:sz="2"/>
              <w:right w:val="single" w:color="BFBFBF" w:sz="2"/>
            </w:tcBorders>
            <w:shd w:fill="FCE4D6" w:color="auto" w:val="clear"/>
          </w:tcPr>
          <w:p>
            <w:pPr>
              <w:spacing w:after="20" w:before="50"/>
            </w:pPr>
            <w:r>
              <w:rPr>
                <w:b/>
                <w:bCs/>
                <w:color w:val="C55A11"/>
                <w:sz w:val="21"/>
                <w:szCs w:val="21"/>
              </w:rPr>
              <w:t xml:space="preserve">VI-B — Liberté et sûreté, procès, garanties pénales</w:t>
            </w:r>
            <w:r>
              <w:rPr>
                <w:b/>
                <w:bCs/>
                <w:color w:val="C55A11"/>
                <w:sz w:val="15"/>
                <w:szCs w:val="15"/>
              </w:rPr>
              <w:t xml:space="preserve">     ■ ORANGE · arête latérale · bande 50,8 → 100,9 mm du haut du livre · pas 4,2 mm · 18 onglets</w:t>
            </w:r>
          </w:p>
          <w:p>
            <w:pPr>
              <w:spacing w:after="40"/>
            </w:pPr>
            <w:r>
              <w:rPr>
                <w:i/>
                <w:iCs/>
                <w:color w:val="C55A11"/>
                <w:sz w:val="14"/>
                <w:szCs w:val="14"/>
              </w:rPr>
              <w:t xml:space="preserve">↳ Fiches 30 le droit à la liberté et à la sûreté · 31 le droit à un procès équitable et le droit à un recours effectif · 32 les garanties fondamentales en matière pénale</w:t>
            </w:r>
          </w:p>
        </w:tc>
      </w:tr>
      <w:tr>
        <w:trPr>
          <w:tblHeader/>
        </w:trPr>
        <w:tc>
          <w:tcPr>
            <w:tcW w:type="dxa" w:w="460"/>
            <w:tcBorders>
              <w:top w:val="single" w:color="BFBFBF" w:sz="2"/>
              <w:left w:val="single" w:color="BFBFBF" w:sz="2"/>
              <w:bottom w:val="single" w:color="BFBFBF" w:sz="2"/>
              <w:right w:val="single" w:color="BFBFBF" w:sz="2"/>
            </w:tcBorders>
            <w:shd w:fill="FCE4D6" w:color="auto" w:val="clear"/>
          </w:tcPr>
          <w:p>
            <w:pPr>
              <w:spacing w:after="16" w:before="16"/>
            </w:pPr>
            <w:r>
              <w:rPr>
                <w:b/>
                <w:bCs/>
                <w:i w:val="false"/>
                <w:iCs w:val="false"/>
                <w:color w:val="404040"/>
                <w:sz w:val="13"/>
                <w:szCs w:val="13"/>
              </w:rPr>
              <w:t xml:space="preserve">P</w:t>
            </w:r>
          </w:p>
        </w:tc>
        <w:tc>
          <w:tcPr>
            <w:tcW w:type="dxa" w:w="2000"/>
            <w:tcBorders>
              <w:top w:val="single" w:color="BFBFBF" w:sz="2"/>
              <w:left w:val="single" w:color="BFBFBF" w:sz="2"/>
              <w:bottom w:val="single" w:color="BFBFBF" w:sz="2"/>
              <w:right w:val="single" w:color="BFBFBF" w:sz="2"/>
            </w:tcBorders>
            <w:shd w:fill="FCE4D6" w:color="auto" w:val="clear"/>
          </w:tcPr>
          <w:p>
            <w:pPr>
              <w:spacing w:after="16" w:before="16"/>
            </w:pPr>
            <w:r>
              <w:rPr>
                <w:b/>
                <w:bCs/>
                <w:i w:val="false"/>
                <w:iCs w:val="false"/>
                <w:color w:val="404040"/>
                <w:sz w:val="13"/>
                <w:szCs w:val="13"/>
              </w:rPr>
              <w:t xml:space="preserve">À écrire sur l’onglet</w:t>
            </w:r>
          </w:p>
        </w:tc>
        <w:tc>
          <w:tcPr>
            <w:tcW w:type="dxa" w:w="700"/>
            <w:tcBorders>
              <w:top w:val="single" w:color="BFBFBF" w:sz="2"/>
              <w:left w:val="single" w:color="BFBFBF" w:sz="2"/>
              <w:bottom w:val="single" w:color="BFBFBF" w:sz="2"/>
              <w:right w:val="single" w:color="BFBFBF" w:sz="2"/>
            </w:tcBorders>
            <w:shd w:fill="FCE4D6" w:color="auto" w:val="clear"/>
          </w:tcPr>
          <w:p>
            <w:pPr>
              <w:spacing w:after="16" w:before="16"/>
            </w:pPr>
            <w:r>
              <w:rPr>
                <w:b/>
                <w:bCs/>
                <w:i w:val="false"/>
                <w:iCs w:val="false"/>
                <w:color w:val="404040"/>
                <w:sz w:val="13"/>
                <w:szCs w:val="13"/>
              </w:rPr>
              <w:t xml:space="preserve">N° · p.</w:t>
            </w:r>
          </w:p>
        </w:tc>
        <w:tc>
          <w:tcPr>
            <w:tcW w:type="dxa" w:w="1150"/>
            <w:tcBorders>
              <w:top w:val="single" w:color="BFBFBF" w:sz="2"/>
              <w:left w:val="single" w:color="BFBFBF" w:sz="2"/>
              <w:bottom w:val="single" w:color="BFBFBF" w:sz="2"/>
              <w:right w:val="single" w:color="BFBFBF" w:sz="2"/>
            </w:tcBorders>
            <w:shd w:fill="FCE4D6" w:color="auto" w:val="clear"/>
          </w:tcPr>
          <w:p>
            <w:pPr>
              <w:spacing w:after="16" w:before="16"/>
            </w:pPr>
            <w:r>
              <w:rPr>
                <w:b/>
                <w:bCs/>
                <w:i w:val="false"/>
                <w:iCs w:val="false"/>
                <w:color w:val="404040"/>
                <w:sz w:val="13"/>
                <w:szCs w:val="13"/>
              </w:rPr>
              <w:t xml:space="preserve">Position</w:t>
            </w:r>
          </w:p>
        </w:tc>
        <w:tc>
          <w:tcPr>
            <w:tcW w:type="dxa" w:w="2050"/>
            <w:tcBorders>
              <w:top w:val="single" w:color="BFBFBF" w:sz="2"/>
              <w:left w:val="single" w:color="BFBFBF" w:sz="2"/>
              <w:bottom w:val="single" w:color="BFBFBF" w:sz="2"/>
              <w:right w:val="single" w:color="BFBFBF" w:sz="2"/>
            </w:tcBorders>
            <w:shd w:fill="FCE4D6" w:color="auto" w:val="clear"/>
          </w:tcPr>
          <w:p>
            <w:pPr>
              <w:spacing w:after="16" w:before="16"/>
            </w:pPr>
            <w:r>
              <w:rPr>
                <w:b/>
                <w:bCs/>
                <w:i w:val="false"/>
                <w:iCs w:val="false"/>
                <w:color w:val="404040"/>
                <w:sz w:val="13"/>
                <w:szCs w:val="13"/>
              </w:rPr>
              <w:t xml:space="preserve">Intitulé</w:t>
            </w:r>
          </w:p>
        </w:tc>
        <w:tc>
          <w:tcPr>
            <w:tcW w:type="dxa" w:w="800"/>
            <w:tcBorders>
              <w:top w:val="single" w:color="BFBFBF" w:sz="2"/>
              <w:left w:val="single" w:color="BFBFBF" w:sz="2"/>
              <w:bottom w:val="single" w:color="BFBFBF" w:sz="2"/>
              <w:right w:val="single" w:color="BFBFBF" w:sz="2"/>
            </w:tcBorders>
            <w:shd w:fill="FCE4D6" w:color="auto" w:val="clear"/>
          </w:tcPr>
          <w:p>
            <w:pPr>
              <w:spacing w:after="16" w:before="16"/>
            </w:pPr>
            <w:r>
              <w:rPr>
                <w:b/>
                <w:bCs/>
                <w:i w:val="false"/>
                <w:iCs w:val="false"/>
                <w:color w:val="404040"/>
                <w:sz w:val="13"/>
                <w:szCs w:val="13"/>
              </w:rPr>
              <w:t xml:space="preserve">Fiche(s)</w:t>
            </w:r>
          </w:p>
        </w:tc>
        <w:tc>
          <w:tcPr>
            <w:tcW w:type="dxa" w:w="3200"/>
            <w:tcBorders>
              <w:top w:val="single" w:color="BFBFBF" w:sz="2"/>
              <w:left w:val="single" w:color="BFBFBF" w:sz="2"/>
              <w:bottom w:val="single" w:color="BFBFBF" w:sz="2"/>
              <w:right w:val="single" w:color="BFBFBF" w:sz="2"/>
            </w:tcBorders>
            <w:shd w:fill="FCE4D6" w:color="auto" w:val="clear"/>
          </w:tcPr>
          <w:p>
            <w:pPr>
              <w:spacing w:after="16" w:before="16"/>
            </w:pPr>
            <w:r>
              <w:rPr>
                <w:b/>
                <w:bCs/>
                <w:i w:val="false"/>
                <w:iCs w:val="false"/>
                <w:color w:val="404040"/>
                <w:sz w:val="13"/>
                <w:szCs w:val="13"/>
              </w:rPr>
              <w:t xml:space="preserve">Correspondances dans le recueil</w:t>
            </w:r>
          </w:p>
        </w:tc>
        <w:tc>
          <w:tcPr>
            <w:tcW w:type="dxa" w:w="5238"/>
            <w:tcBorders>
              <w:top w:val="single" w:color="BFBFBF" w:sz="2"/>
              <w:left w:val="single" w:color="BFBFBF" w:sz="2"/>
              <w:bottom w:val="single" w:color="BFBFBF" w:sz="2"/>
              <w:right w:val="single" w:color="BFBFBF" w:sz="2"/>
            </w:tcBorders>
            <w:shd w:fill="FCE4D6" w:color="auto" w:val="clear"/>
          </w:tcPr>
          <w:p>
            <w:pPr>
              <w:spacing w:after="16" w:before="16"/>
            </w:pPr>
            <w:r>
              <w:rPr>
                <w:b/>
                <w:bCs/>
                <w:i w:val="false"/>
                <w:iCs w:val="false"/>
                <w:color w:val="404040"/>
                <w:sz w:val="13"/>
                <w:szCs w:val="13"/>
              </w:rPr>
              <w:t xml:space="preserve">Réflexe Grand Oral (tes fiches)</w:t>
            </w:r>
          </w:p>
        </w:tc>
      </w:tr>
      <w:tr>
        <w:tc>
          <w:tcPr>
            <w:tcW w:type="dxa" w:w="460"/>
            <w:tcBorders>
              <w:top w:val="single" w:color="BFBFBF" w:sz="2"/>
              <w:left w:val="single" w:color="BFBFBF" w:sz="2"/>
              <w:bottom w:val="single" w:color="BFBFBF" w:sz="2"/>
              <w:right w:val="single" w:color="BFBFBF" w:sz="2"/>
            </w:tcBorders>
            <w:shd w:fill="FFD24A" w:color="auto" w:val="clear"/>
          </w:tcPr>
          <w:p>
            <w:pPr>
              <w:spacing w:after="16" w:before="16"/>
              <w:jc w:val="center"/>
            </w:pPr>
            <w:r>
              <w:rPr>
                <w:b/>
                <w:bCs/>
                <w:i w:val="false"/>
                <w:iCs w:val="false"/>
                <w:color w:val="6B4E00"/>
                <w:sz w:val="16"/>
                <w:szCs w:val="16"/>
              </w:rPr>
              <w:t xml:space="preserve">★</w:t>
            </w:r>
          </w:p>
        </w:tc>
        <w:tc>
          <w:tcPr>
            <w:tcW w:type="dxa" w:w="2000"/>
            <w:tcBorders>
              <w:top w:val="single" w:color="BFBFBF" w:sz="2"/>
              <w:left w:val="single" w:color="BFBFBF" w:sz="2"/>
              <w:bottom w:val="single" w:color="BFBFBF" w:sz="2"/>
              <w:right w:val="single" w:color="BFBFBF" w:sz="2"/>
            </w:tcBorders>
            <w:shd w:fill="FFF6DC" w:color="auto" w:val="clear"/>
          </w:tcPr>
          <w:p>
            <w:pPr>
              <w:spacing w:after="16" w:before="16"/>
            </w:pPr>
            <w:r>
              <w:rPr>
                <w:b/>
                <w:bCs/>
                <w:i w:val="false"/>
                <w:iCs w:val="false"/>
                <w:color w:val="1F1F1F"/>
                <w:sz w:val="14"/>
                <w:szCs w:val="14"/>
              </w:rPr>
              <w:t xml:space="preserve">CONST. art. 66 (30·17)  ★</w:t>
            </w:r>
          </w:p>
        </w:tc>
        <w:tc>
          <w:tcPr>
            <w:tcW w:type="dxa" w:w="70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595959"/>
                <w:sz w:val="12"/>
                <w:szCs w:val="12"/>
              </w:rPr>
              <w:t xml:space="preserve">N°3.1 · ≈ p. 19</w:t>
            </w:r>
          </w:p>
        </w:tc>
        <w:tc>
          <w:tcPr>
            <w:tcW w:type="dxa" w:w="1150"/>
            <w:tcBorders>
              <w:top w:val="single" w:color="BFBFBF" w:sz="2"/>
              <w:left w:val="single" w:color="BFBFBF" w:sz="2"/>
              <w:bottom w:val="single" w:color="BFBFBF" w:sz="2"/>
              <w:right w:val="single" w:color="BFBFBF" w:sz="2"/>
            </w:tcBorders>
            <w:shd w:fill="FFF6DC" w:color="auto" w:val="clear"/>
          </w:tcPr>
          <w:p>
            <w:pPr>
              <w:spacing w:after="16" w:before="16"/>
              <w:jc w:val="center"/>
            </w:pPr>
            <w:r>
              <w:rPr>
                <w:b/>
                <w:bCs/>
                <w:i w:val="false"/>
                <w:iCs w:val="false"/>
                <w:color w:val="C55A11"/>
                <w:sz w:val="13"/>
                <w:szCs w:val="13"/>
              </w:rPr>
              <w:t xml:space="preserve">laté. 50,8 mm (#1)</w:t>
            </w:r>
          </w:p>
        </w:tc>
        <w:tc>
          <w:tcPr>
            <w:tcW w:type="dxa" w:w="205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333333"/>
                <w:sz w:val="13"/>
                <w:szCs w:val="13"/>
              </w:rPr>
              <w:t xml:space="preserve">Autorité judiciaire gardienne de la liberté individuelle — art. 64 et 66-1 (abolition)</w:t>
            </w:r>
          </w:p>
        </w:tc>
        <w:tc>
          <w:tcPr>
            <w:tcW w:type="dxa" w:w="800"/>
            <w:tcBorders>
              <w:top w:val="single" w:color="BFBFBF" w:sz="2"/>
              <w:left w:val="single" w:color="BFBFBF" w:sz="2"/>
              <w:bottom w:val="single" w:color="BFBFBF" w:sz="2"/>
              <w:right w:val="single" w:color="BFBFBF" w:sz="2"/>
            </w:tcBorders>
            <w:shd w:fill="FFF6DC" w:color="auto" w:val="clear"/>
          </w:tcPr>
          <w:p>
            <w:pPr>
              <w:spacing w:after="16" w:before="16"/>
              <w:jc w:val="center"/>
            </w:pPr>
            <w:r>
              <w:rPr>
                <w:b/>
                <w:bCs/>
                <w:i w:val="false"/>
                <w:iCs w:val="false"/>
                <w:color w:val="C55A11"/>
                <w:sz w:val="13"/>
                <w:szCs w:val="13"/>
              </w:rPr>
              <w:t xml:space="preserve">30 · 17 · 26</w:t>
            </w:r>
          </w:p>
        </w:tc>
        <w:tc>
          <w:tcPr>
            <w:tcW w:type="dxa" w:w="320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333333"/>
                <w:sz w:val="12"/>
                <w:szCs w:val="12"/>
              </w:rPr>
              <w:t xml:space="preserve">GAV N°49 · détention provisoire N°51 · soins sans consentement N°53 · atteintes N°54 · art. 5 CEDH (N°4.1)</w:t>
            </w:r>
          </w:p>
        </w:tc>
        <w:tc>
          <w:tcPr>
            <w:tcW w:type="dxa" w:w="5238"/>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333333"/>
                <w:sz w:val="12"/>
                <w:szCs w:val="12"/>
              </w:rPr>
              <w:t xml:space="preserve">76-75 DC (fouille des véhicules) ; 99-416 DC : vie privée rattachée à l’art. 2 DDHC, plus à l’art. 66 (conception restrictive de la liberté individuelle). TC Bergoend (2013) : voie de fait recentrée. 66-1 → fiche 26 (Prot. 6 et 13).</w:t>
            </w:r>
          </w:p>
        </w:tc>
      </w:tr>
      <w:tr>
        <w:tc>
          <w:tcPr>
            <w:tcW w:type="dxa" w:w="460"/>
            <w:tcBorders>
              <w:top w:val="single" w:color="BFBFBF" w:sz="2"/>
              <w:left w:val="single" w:color="BFBFBF" w:sz="2"/>
              <w:bottom w:val="single" w:color="BFBFBF" w:sz="2"/>
              <w:right w:val="single" w:color="BFBFBF" w:sz="2"/>
            </w:tcBorders>
            <w:shd w:fill="C55A11"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CEDH art. 5 (30)</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N°4.1 · ≈ p. 32</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55A11"/>
                <w:sz w:val="13"/>
                <w:szCs w:val="13"/>
              </w:rPr>
              <w:t xml:space="preserve">laté. 55 mm (#2)</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Droit à la liberté et à la sûreté</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55A11"/>
                <w:sz w:val="13"/>
                <w:szCs w:val="13"/>
              </w:rPr>
              <w:t xml:space="preserve">30 · 40</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art. 66 C. (N°3.1) · GAV (N°49) · détention provisoire (N°51) · art. 9 PIDCP · art. 6 Charte UE</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Liste exhaustive des motifs (Quinn c. France, 1995) ; le parquet n’est pas une autorité judiciaire (Medvedyev 2010, Moulin 2010) ; privation vs restriction (Guzzardi, 1980 → fiche 40).</w:t>
            </w:r>
          </w:p>
        </w:tc>
      </w:tr>
      <w:tr>
        <w:tc>
          <w:tcPr>
            <w:tcW w:type="dxa" w:w="460"/>
            <w:tcBorders>
              <w:top w:val="single" w:color="BFBFBF" w:sz="2"/>
              <w:left w:val="single" w:color="BFBFBF" w:sz="2"/>
              <w:bottom w:val="single" w:color="BFBFBF" w:sz="2"/>
              <w:right w:val="single" w:color="BFBFBF" w:sz="2"/>
            </w:tcBorders>
            <w:shd w:fill="C55A11"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CEDH art. 6–7 (31·32)</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N°4.1 · ≈ p. 33</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55A11"/>
                <w:sz w:val="13"/>
                <w:szCs w:val="13"/>
              </w:rPr>
              <w:t xml:space="preserve">laté. 59,2 mm (#3)</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Procès équitable (art. 6) · légalité des peines (art. 7) — art. 13 recours effectif</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55A11"/>
                <w:sz w:val="13"/>
                <w:szCs w:val="13"/>
              </w:rPr>
              <w:t xml:space="preserve">31 · 32</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art. 16 DDHC (N°1) · art. 47-49 Charte UE (N°17.2) · art. 14-15 PIDCP (N°24.1) · aide juridictionnelle (N°45)</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Golder (1975, droit d’accès au tribunal) ; Engel (1976, matière pénale) ; Kress c. France (2001, apparences) ; Salduz / Brusco (avocat en GAV) ; art. 7 : Scoppola n°2 (2009, rétroactivité in mitius) ; art. 13 : Kudla (2000).</w:t>
            </w:r>
          </w:p>
        </w:tc>
      </w:tr>
      <w:tr>
        <w:tc>
          <w:tcPr>
            <w:tcW w:type="dxa" w:w="460"/>
            <w:tcBorders>
              <w:top w:val="single" w:color="BFBFBF" w:sz="2"/>
              <w:left w:val="single" w:color="BFBFBF" w:sz="2"/>
              <w:bottom w:val="single" w:color="BFBFBF" w:sz="2"/>
              <w:right w:val="single" w:color="BFBFBF" w:sz="2"/>
            </w:tcBorders>
            <w:shd w:fill="C55A11"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N°4.5 PROT. 7 (32·43)</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N°4.5 · p. 46</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55A11"/>
                <w:sz w:val="13"/>
                <w:szCs w:val="13"/>
              </w:rPr>
              <w:t xml:space="preserve">laté. 63,4 mm (#4)</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Protocole n°7 : garanties en cas d’expulsion (art. 1er), ne bis in idem (art. 4), égalité des époux (art. 5)</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55A11"/>
                <w:sz w:val="13"/>
                <w:szCs w:val="13"/>
              </w:rPr>
              <w:t xml:space="preserve">32 · 43 · 34</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art. 50 Charte UE · art. 14 § 7 PIDCP · art. 8 DDHC</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Ne bis in idem : Zolotoukhine (2009, mêmes faits) ; A et B c. Norvège (2016, lien matériel et temporel suffisant).</w:t>
            </w:r>
          </w:p>
        </w:tc>
      </w:tr>
      <w:tr>
        <w:tc>
          <w:tcPr>
            <w:tcW w:type="dxa" w:w="460"/>
            <w:tcBorders>
              <w:top w:val="single" w:color="BFBFBF" w:sz="2"/>
              <w:left w:val="single" w:color="BFBFBF" w:sz="2"/>
              <w:bottom w:val="single" w:color="BFBFBF" w:sz="2"/>
              <w:right w:val="single" w:color="BFBFBF" w:sz="2"/>
            </w:tcBorders>
            <w:shd w:fill="C55A11"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CHARTE art. 6–9 (30·33·35·34)</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N°17.2 · ≈ p. 175</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55A11"/>
                <w:sz w:val="13"/>
                <w:szCs w:val="13"/>
              </w:rPr>
              <w:t xml:space="preserve">laté. 50,8 mm (#1)</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Liberté et sûreté (6), vie privée et familiale (7), données personnelles (8), mariage et famille (9)</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55A11"/>
                <w:sz w:val="13"/>
                <w:szCs w:val="13"/>
              </w:rPr>
              <w:t xml:space="preserve">30 · 33 · 35 · 34</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Conv. EDH art. 5, 8, 12 · RGPD (N°22) · loi 1978 (N°73.1) · art. 17 PIDCP (N°24.1)</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Art. 7-8 : Digital Rights Ireland (2014) et La Quadrature du Net (2020) — pas de conservation généralisée des données ; Google Spain (2014, déréférencement) ; Schrems (2015, 2020). CE Ass., French Data Network (2021).</w:t>
            </w:r>
          </w:p>
        </w:tc>
      </w:tr>
      <w:tr>
        <w:tc>
          <w:tcPr>
            <w:tcW w:type="dxa" w:w="460"/>
            <w:tcBorders>
              <w:top w:val="single" w:color="BFBFBF" w:sz="2"/>
              <w:left w:val="single" w:color="BFBFBF" w:sz="2"/>
              <w:bottom w:val="single" w:color="BFBFBF" w:sz="2"/>
              <w:right w:val="single" w:color="BFBFBF" w:sz="2"/>
            </w:tcBorders>
            <w:shd w:fill="C55A11"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CHARTE art. 47–50 (31·32·23)</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N°17.2 · ≈ p. 180</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55A11"/>
                <w:sz w:val="13"/>
                <w:szCs w:val="13"/>
              </w:rPr>
              <w:t xml:space="preserve">laté. 55 mm (#2)</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Titre VI Justice : recours effectif et tribunal impartial (47), présomption d’innocence (48), légalité des peines (49), ne bis in idem (50)</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55A11"/>
                <w:sz w:val="13"/>
                <w:szCs w:val="13"/>
              </w:rPr>
              <w:t xml:space="preserve">31 · 32 · 23</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Conv. EDH art. 6-7 et 13 · Prot. 7 art. 4 (N°4.5) · art. 16 DDHC · PIDCP art. 14-15</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Art. 47, l’article de la Charte le plus cité dans tes supports : protection juridictionnelle effective et indépendance des juges (Commission c. Pologne). Contrairement à l’art. 6 CEDH, il n’est pas limité aux matières civile et pénale.</w:t>
            </w:r>
          </w:p>
        </w:tc>
      </w:tr>
      <w:tr>
        <w:tc>
          <w:tcPr>
            <w:tcW w:type="dxa" w:w="460"/>
            <w:tcBorders>
              <w:top w:val="single" w:color="BFBFBF" w:sz="2"/>
              <w:left w:val="single" w:color="BFBFBF" w:sz="2"/>
              <w:bottom w:val="single" w:color="BFBFBF" w:sz="2"/>
              <w:right w:val="single" w:color="BFBFBF" w:sz="2"/>
            </w:tcBorders>
            <w:shd w:fill="F2F2F2" w:color="auto" w:val="clear"/>
          </w:tcPr>
          <w:p>
            <w:pPr>
              <w:spacing w:after="16" w:before="16"/>
              <w:jc w:val="center"/>
            </w:pPr>
            <w:r>
              <w:rPr>
                <w:b/>
                <w:bCs/>
                <w:i w:val="false"/>
                <w:iCs w:val="false"/>
                <w:color w:val="808080"/>
                <w:sz w:val="16"/>
                <w:szCs w:val="16"/>
              </w:rPr>
              <w:t xml:space="preserve">2</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N°40–42 MAGISTRATURE &amp; JURIDICTIONS (31·17·18)</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N°40 · p. 619</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55A11"/>
                <w:sz w:val="13"/>
                <w:szCs w:val="13"/>
              </w:rPr>
              <w:t xml:space="preserve">laté. 50,8 mm (#1)</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Statut de la magistrature (ord. 58-1270) · CSM (LO 94-100, N°41 p. 631) · indépendance de la juridiction administrative (CJA, N°42 p. 640)</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55A11"/>
                <w:sz w:val="13"/>
                <w:szCs w:val="13"/>
              </w:rPr>
              <w:t xml:space="preserve">31 · 17 · 18 · 9</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art. 64-66 C. (N°3.1) · art. 6 CEDH (N°4.1) · Charte UE art. 47</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Inamovibilité des magistrats du siège ; le parquet n’est pas une « autorité judiciaire » au sens de l’art. 5 CEDH (Moulin, 2010). Indépendance de la juridiction administrative : PFRLR (80-119 DC, validations législatives) ; apparences d’impartialité : Kress (2001).</w:t>
            </w:r>
          </w:p>
        </w:tc>
      </w:tr>
      <w:tr>
        <w:tc>
          <w:tcPr>
            <w:tcW w:type="dxa" w:w="460"/>
            <w:tcBorders>
              <w:top w:val="single" w:color="BFBFBF" w:sz="2"/>
              <w:left w:val="single" w:color="BFBFBF" w:sz="2"/>
              <w:bottom w:val="single" w:color="BFBFBF" w:sz="2"/>
              <w:right w:val="single" w:color="BFBFBF" w:sz="2"/>
            </w:tcBorders>
            <w:shd w:fill="F2F2F2" w:color="auto" w:val="clear"/>
          </w:tcPr>
          <w:p>
            <w:pPr>
              <w:spacing w:after="16" w:before="16"/>
              <w:jc w:val="center"/>
            </w:pPr>
            <w:r>
              <w:rPr>
                <w:b/>
                <w:bCs/>
                <w:i w:val="false"/>
                <w:iCs w:val="false"/>
                <w:color w:val="808080"/>
                <w:sz w:val="16"/>
                <w:szCs w:val="16"/>
              </w:rPr>
              <w:t xml:space="preserve">2</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N°43–44 POLICE &amp; SÉCURITÉ (30·28)</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N°43 · p. 643</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55A11"/>
                <w:sz w:val="13"/>
                <w:szCs w:val="13"/>
              </w:rPr>
              <w:t xml:space="preserve">laté. 55 mm (#2)</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Déontologie de la police et de la gendarmerie (CSI R.434-1 s.) · droit à la sécurité (CSI L.111-1, N°44 p. 649)</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55A11"/>
                <w:sz w:val="13"/>
                <w:szCs w:val="13"/>
              </w:rPr>
              <w:t xml:space="preserve">30 · 28 · 26</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art. 2 et 3 CEDH · art. 12 DDHC (force publique)</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Usage de la force strictement nécessaire et proportionné ; McCann (1995) et Fraisse et a. c. France (2025, maintien de l’ordre, fiche 26). La sécurité est un objectif à concilier avec les libertés, non un droit opposable.</w:t>
            </w:r>
          </w:p>
        </w:tc>
      </w:tr>
      <w:tr>
        <w:tc>
          <w:tcPr>
            <w:tcW w:type="dxa" w:w="460"/>
            <w:tcBorders>
              <w:top w:val="single" w:color="BFBFBF" w:sz="2"/>
              <w:left w:val="single" w:color="BFBFBF" w:sz="2"/>
              <w:bottom w:val="single" w:color="BFBFBF" w:sz="2"/>
              <w:right w:val="single" w:color="BFBFBF" w:sz="2"/>
            </w:tcBorders>
            <w:shd w:fill="C55A11"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N°45 AIDE JURIDICTIONNELLE (31)</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N°45 · p. 650</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55A11"/>
                <w:sz w:val="13"/>
                <w:szCs w:val="13"/>
              </w:rPr>
              <w:t xml:space="preserve">laté. 59,2 mm (#3)</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Aide juridictionnelle et aide à l’accès au droit — loi n° 91-647 du 10 juillet 1991</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55A11"/>
                <w:sz w:val="13"/>
                <w:szCs w:val="13"/>
              </w:rPr>
              <w:t xml:space="preserve">31 · 22</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art. 6 § 3 c CEDH · art. 47 § 3 Charte UE · art. 16 DDHC</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Airey c. Irlande (1979) : l’accès effectif au tribunal peut exiger une assistance gratuite. Droit à un recours juridictionnel effectif (art. 16 DDHC).</w:t>
            </w:r>
          </w:p>
        </w:tc>
      </w:tr>
      <w:tr>
        <w:tc>
          <w:tcPr>
            <w:tcW w:type="dxa" w:w="460"/>
            <w:tcBorders>
              <w:top w:val="single" w:color="BFBFBF" w:sz="2"/>
              <w:left w:val="single" w:color="BFBFBF" w:sz="2"/>
              <w:bottom w:val="single" w:color="BFBFBF" w:sz="2"/>
              <w:right w:val="single" w:color="BFBFBF" w:sz="2"/>
            </w:tcBorders>
            <w:shd w:fill="C55A11"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N°46–47 PRÉSOMPTION D’INNOCENCE (32·37)</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N°47 · p. 662</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55A11"/>
                <w:sz w:val="13"/>
                <w:szCs w:val="13"/>
              </w:rPr>
              <w:t xml:space="preserve">laté. 63,4 mm (#4)</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Art. 9-1 C. civ. — coopération avec la CPI (CPP 627 s., N°46 p. 656) juste avant</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55A11"/>
                <w:sz w:val="13"/>
                <w:szCs w:val="13"/>
              </w:rPr>
              <w:t xml:space="preserve">32 · 37 · 30</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art. 9 DDHC · art. 6 § 2 CEDH · art. 48 Charte UE · secret de l’instruction (N°50)</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Action civile contre la présentation publique d’une personne comme coupable avant toute condamnation ; déclarations des autorités : Allenet de Ribemont c. France (1995). Mise en balance avec la liberté d’expression (fiche 37).</w:t>
            </w:r>
          </w:p>
        </w:tc>
      </w:tr>
      <w:tr>
        <w:tc>
          <w:tcPr>
            <w:tcW w:type="dxa" w:w="460"/>
            <w:tcBorders>
              <w:top w:val="single" w:color="BFBFBF" w:sz="2"/>
              <w:left w:val="single" w:color="BFBFBF" w:sz="2"/>
              <w:bottom w:val="single" w:color="BFBFBF" w:sz="2"/>
              <w:right w:val="single" w:color="BFBFBF" w:sz="2"/>
            </w:tcBorders>
            <w:shd w:fill="C55A11"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N°49.1 GARDE À VUE (30·32)</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N°49.1 · p. 671</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55A11"/>
                <w:sz w:val="13"/>
                <w:szCs w:val="13"/>
              </w:rPr>
              <w:t xml:space="preserve">laté. 67,6 mm (#5)</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GAV pour crimes et délits flagrants — CPP 62-2 à 64-1</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55A11"/>
                <w:sz w:val="13"/>
                <w:szCs w:val="13"/>
              </w:rPr>
              <w:t xml:space="preserve">30 · 32 · 28</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art. 66 C. · art. 5 et 6 CEDH · art. 9 DDHC · art. 6 et 48 Charte UE</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2010-14/22 QPC (30 juillet 2010) : censure du régime de droit commun ; Brusco c. France (2010) ; Cass. ass. plén., 15 avril 2011 : application immédiate de l’assistance de l’avocat ; loi du 14 avril 2011. Selmouni (1999) : torture en GAV.</w:t>
            </w:r>
          </w:p>
        </w:tc>
      </w:tr>
      <w:tr>
        <w:tc>
          <w:tcPr>
            <w:tcW w:type="dxa" w:w="460"/>
            <w:tcBorders>
              <w:top w:val="single" w:color="BFBFBF" w:sz="2"/>
              <w:left w:val="single" w:color="BFBFBF" w:sz="2"/>
              <w:bottom w:val="single" w:color="BFBFBF" w:sz="2"/>
              <w:right w:val="single" w:color="BFBFBF" w:sz="2"/>
            </w:tcBorders>
            <w:shd w:fill="F2F2F2" w:color="auto" w:val="clear"/>
          </w:tcPr>
          <w:p>
            <w:pPr>
              <w:spacing w:after="16" w:before="16"/>
              <w:jc w:val="center"/>
            </w:pPr>
            <w:r>
              <w:rPr>
                <w:b/>
                <w:bCs/>
                <w:i w:val="false"/>
                <w:iCs w:val="false"/>
                <w:color w:val="808080"/>
                <w:sz w:val="16"/>
                <w:szCs w:val="16"/>
              </w:rPr>
              <w:t xml:space="preserve">2</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N°49.2–50 PRÉLIMINAIRE · SECRET (32·37)</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N°49.2 · p. 680</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55A11"/>
                <w:sz w:val="13"/>
                <w:szCs w:val="13"/>
              </w:rPr>
              <w:t xml:space="preserve">laté. 71,8 mm (#6)</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GAV en enquête préliminaire (CPP 77-78) et sur commission rogatoire (154, N°49.3) · secret de l’instruction (C. pén. 226-13, CPP 11, N°50 p. 684)</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55A11"/>
                <w:sz w:val="13"/>
                <w:szCs w:val="13"/>
              </w:rPr>
              <w:t xml:space="preserve">32 · 37</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présomption d’innocence (N°47) · art. 10 CEDH (Goodwin, secret des sources)</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Art. 11 CPP : secret de l’enquête et de l’instruction, communication du procureur pour éviter la diffusion d’informations parcellaires ; conflit avec la liberté de la presse (fiche 37).</w:t>
            </w:r>
          </w:p>
        </w:tc>
      </w:tr>
      <w:tr>
        <w:tc>
          <w:tcPr>
            <w:tcW w:type="dxa" w:w="460"/>
            <w:tcBorders>
              <w:top w:val="single" w:color="BFBFBF" w:sz="2"/>
              <w:left w:val="single" w:color="BFBFBF" w:sz="2"/>
              <w:bottom w:val="single" w:color="BFBFBF" w:sz="2"/>
              <w:right w:val="single" w:color="BFBFBF" w:sz="2"/>
            </w:tcBorders>
            <w:shd w:fill="C55A11"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N°51.1 LIBERTÉ, CJ, ARSE (30)</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N°51.1 · p. 686</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55A11"/>
                <w:sz w:val="13"/>
                <w:szCs w:val="13"/>
              </w:rPr>
              <w:t xml:space="preserve">laté. 76 mm (#7)</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CPP 137 à 137-4 : la liberté est le principe · contrôle judiciaire (N°51.2, p. 688) · ARSE (N°51.3, p. 695)</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55A11"/>
                <w:sz w:val="13"/>
                <w:szCs w:val="13"/>
              </w:rPr>
              <w:t xml:space="preserve">30 · 32</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art. 5 § 3 CEDH · art. 9 DDHC · art. 66 C.</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Art. 137 CPP : la personne mise en examen, présumée innocente, demeure libre ; gradation liberté → contrôle judiciaire → ARSE → détention provisoire.</w:t>
            </w:r>
          </w:p>
        </w:tc>
      </w:tr>
      <w:tr>
        <w:tc>
          <w:tcPr>
            <w:tcW w:type="dxa" w:w="460"/>
            <w:tcBorders>
              <w:top w:val="single" w:color="BFBFBF" w:sz="2"/>
              <w:left w:val="single" w:color="BFBFBF" w:sz="2"/>
              <w:bottom w:val="single" w:color="BFBFBF" w:sz="2"/>
              <w:right w:val="single" w:color="BFBFBF" w:sz="2"/>
            </w:tcBorders>
            <w:shd w:fill="C55A11"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N°51.4 DÉTENTION PROVISOIRE (30·28)</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N°51.4 · p. 698</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55A11"/>
                <w:sz w:val="13"/>
                <w:szCs w:val="13"/>
              </w:rPr>
              <w:t xml:space="preserve">laté. 80,2 mm (#8)</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Détention provisoire — CPP 143-1 à 148-8 · réparation (149-150, N°51.5 p. 706) · exécution (714-716, N°51.6 p. 707)</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55A11"/>
                <w:sz w:val="13"/>
                <w:szCs w:val="13"/>
              </w:rPr>
              <w:t xml:space="preserve">30 · 32 · 28</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art. 5 § 3-4 CEDH (délai raisonnable) · art. 3 CEDH · Code pénitentiaire (N°52.2)</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Critères limitatifs de l’art. 144 CPP ; recours contre des conditions indignes de détention (art. 803-8 CPP, issu de J.M.B. c. France et des QPC 2020-858/859) ; réparation du préjudice en cas de non-lieu, relaxe ou acquittement (art. 149).</w:t>
            </w:r>
          </w:p>
        </w:tc>
      </w:tr>
      <w:tr>
        <w:tc>
          <w:tcPr>
            <w:tcW w:type="dxa" w:w="460"/>
            <w:tcBorders>
              <w:top w:val="single" w:color="BFBFBF" w:sz="2"/>
              <w:left w:val="single" w:color="BFBFBF" w:sz="2"/>
              <w:bottom w:val="single" w:color="BFBFBF" w:sz="2"/>
              <w:right w:val="single" w:color="BFBFBF" w:sz="2"/>
            </w:tcBorders>
            <w:shd w:fill="C55A11"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N°52.4 RÉTENTION DE SÛRETÉ (30)</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N°52.4 · p. 731</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55A11"/>
                <w:sz w:val="13"/>
                <w:szCs w:val="13"/>
              </w:rPr>
              <w:t xml:space="preserve">laté. 84,4 mm (#9)</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Rétention et surveillance de sûreté — CPP 706-53-13 s. (placement sous surveillance électronique, N°52.3 p. 729, juste avant)</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55A11"/>
                <w:sz w:val="13"/>
                <w:szCs w:val="13"/>
              </w:rPr>
              <w:t xml:space="preserve">30 · 32 · 20</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art. 8 DDHC · art. 5 et 7 CEDH</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2008-562 DC : mesure de sûreté et non peine, mais non rétroactive en raison de sa nature privative de liberté ; M. c. Allemagne (2009) : la détention de sûreté est une « peine » au sens de l’art. 7 CEDH.</w:t>
            </w:r>
          </w:p>
        </w:tc>
      </w:tr>
      <w:tr>
        <w:tc>
          <w:tcPr>
            <w:tcW w:type="dxa" w:w="460"/>
            <w:tcBorders>
              <w:top w:val="single" w:color="BFBFBF" w:sz="2"/>
              <w:left w:val="single" w:color="BFBFBF" w:sz="2"/>
              <w:bottom w:val="single" w:color="BFBFBF" w:sz="2"/>
              <w:right w:val="single" w:color="BFBFBF" w:sz="2"/>
            </w:tcBorders>
            <w:shd w:fill="C55A11"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N°53 SOINS SANS CONSENTEMENT (30)</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N°53 · p. 736</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55A11"/>
                <w:sz w:val="13"/>
                <w:szCs w:val="13"/>
              </w:rPr>
              <w:t xml:space="preserve">laté. 88,6 mm (#10)</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Soins psychiatriques sans consentement — CSP L.3211-1 s. et L.3213-1 s.</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55A11"/>
                <w:sz w:val="13"/>
                <w:szCs w:val="13"/>
              </w:rPr>
              <w:t xml:space="preserve">30 · 17 · 55</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art. 66 C. · art. 5 § 1 e CEDH</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2010-71 QPC (Danielle S.) : intervention systématique du juge judiciaire au-delà d’un délai bref ; isolement et contention : 2020-844 QPC → contrôle du juge des libertés.</w:t>
            </w:r>
          </w:p>
        </w:tc>
      </w:tr>
      <w:tr>
        <w:tc>
          <w:tcPr>
            <w:tcW w:type="dxa" w:w="460"/>
            <w:tcBorders>
              <w:top w:val="single" w:color="BFBFBF" w:sz="2"/>
              <w:left w:val="single" w:color="BFBFBF" w:sz="2"/>
              <w:bottom w:val="single" w:color="BFBFBF" w:sz="2"/>
              <w:right w:val="single" w:color="BFBFBF" w:sz="2"/>
            </w:tcBorders>
            <w:shd w:fill="C55A11"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N°61.3 JUSTICE PÉNALE DES MINEURS (32·55)</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N°61.3 · p. 768</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55A11"/>
                <w:sz w:val="13"/>
                <w:szCs w:val="13"/>
              </w:rPr>
              <w:t xml:space="preserve">laté. 50,8 mm (#1)</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Code de la justice pénale des mineurs (L.11-1 s.) — droits de l’enfant et politique familiale (CASF, N°61.1 p. 766) juste avant</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55A11"/>
                <w:sz w:val="13"/>
                <w:szCs w:val="13"/>
              </w:rPr>
              <w:t xml:space="preserve">32 · 55 · 30</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CIDE art. 37 et 40 (N°34.1) · Charte UE art. 24</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PFRLR de la justice des mineurs : atténuation de la responsabilité selon l’âge, recherche du relèvement éducatif, juridiction spécialisée ou procédure appropriée (2002-461 DC).</w:t>
            </w:r>
          </w:p>
        </w:tc>
      </w:tr>
      <w:tr>
        <w:tc>
          <w:tcPr>
            <w:tcW w:type="dxa" w:w="460"/>
            <w:tcBorders>
              <w:top w:val="single" w:color="BFBFBF" w:sz="2"/>
              <w:left w:val="single" w:color="BFBFBF" w:sz="2"/>
              <w:bottom w:val="single" w:color="BFBFBF" w:sz="2"/>
              <w:right w:val="single" w:color="BFBFBF" w:sz="2"/>
            </w:tcBorders>
            <w:shd w:fill="C55A11"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N°67.4 RÉTENTION ADMINISTRATIVE (30·43)</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N°67.4 · p. 812</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55A11"/>
                <w:sz w:val="13"/>
                <w:szCs w:val="13"/>
              </w:rPr>
              <w:t xml:space="preserve">laté. 55 mm (#2)</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OQTF, assignation à résidence et rétention administrative — CESEDA</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55A11"/>
                <w:sz w:val="13"/>
                <w:szCs w:val="13"/>
              </w:rPr>
              <w:t xml:space="preserve">30 · 43 · 40</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art. 66 C. · art. 5 CEDH · directive retour (N°21.5)</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Contrôle du juge judiciaire sur la privation de liberté (2011-631 DC) ; enfants en rétention : Popov c. France (2012), puis M.D. et A.D. c. France (2021) — violations des art. 3, 5 et 8.</w:t>
            </w:r>
          </w:p>
        </w:tc>
      </w:tr>
    </w:tbl>
    <w:p>
      <w:pPr>
        <w:spacing w:after="120"/>
      </w:pPr>
    </w:p>
    <w:tbl>
      <w:tblPr>
        <w:tblW w:type="dxa" w:w="15598"/>
        <w:tblBorders>
          <w:top w:val="single" w:color="BFBFBF" w:sz="2"/>
          <w:left w:val="single" w:color="BFBFBF" w:sz="2"/>
          <w:bottom w:val="single" w:color="BFBFBF" w:sz="2"/>
          <w:right w:val="single" w:color="BFBFBF" w:sz="2"/>
          <w:insideH w:val="single" w:color="D9D9D9" w:sz="2"/>
          <w:insideV w:val="single" w:color="BFBFBF" w:sz="2"/>
        </w:tblBorders>
      </w:tblPr>
      <w:tblGrid>
        <w:gridCol w:w="460"/>
        <w:gridCol w:w="2000"/>
        <w:gridCol w:w="700"/>
        <w:gridCol w:w="1150"/>
        <w:gridCol w:w="2050"/>
        <w:gridCol w:w="800"/>
        <w:gridCol w:w="3200"/>
        <w:gridCol w:w="5238"/>
      </w:tblGrid>
      <w:tr>
        <w:tc>
          <w:tcPr>
            <w:gridSpan w:val="8"/>
            <w:tcBorders>
              <w:top w:val="single" w:color="BFBFBF" w:sz="2"/>
              <w:left w:val="single" w:color="BFBFBF" w:sz="2"/>
              <w:bottom w:val="single" w:color="BFBFBF" w:sz="2"/>
              <w:right w:val="single" w:color="BFBFBF" w:sz="2"/>
            </w:tcBorders>
            <w:shd w:fill="D9EEF8" w:color="auto" w:val="clear"/>
          </w:tcPr>
          <w:p>
            <w:pPr>
              <w:spacing w:after="20" w:before="50"/>
            </w:pPr>
            <w:r>
              <w:rPr>
                <w:b/>
                <w:bCs/>
                <w:color w:val="3B8CC4"/>
                <w:sz w:val="21"/>
                <w:szCs w:val="21"/>
              </w:rPr>
              <w:t xml:space="preserve">VI-C — Partie VI-C — Vie privée, vie familiale, données</w:t>
            </w:r>
            <w:r>
              <w:rPr>
                <w:b/>
                <w:bCs/>
                <w:color w:val="3B8CC4"/>
                <w:sz w:val="15"/>
                <w:szCs w:val="15"/>
              </w:rPr>
              <w:t xml:space="preserve">     ■ BLEU CIEL · arête latérale · bande 100,9 → 138,9 mm du haut du livre · pas 4,3 mm · 17 onglets</w:t>
            </w:r>
          </w:p>
          <w:p>
            <w:pPr>
              <w:spacing w:after="40"/>
            </w:pPr>
            <w:r>
              <w:rPr>
                <w:i/>
                <w:iCs/>
                <w:color w:val="3B8CC4"/>
                <w:sz w:val="14"/>
                <w:szCs w:val="14"/>
              </w:rPr>
              <w:t xml:space="preserve">↳ Fiches 33 le droit à la vie privée · 34 le droit à la vie familiale · 35 le droit à la protection des données à caractère personnel</w:t>
            </w:r>
          </w:p>
        </w:tc>
      </w:tr>
      <w:tr>
        <w:trPr>
          <w:tblHeader/>
        </w:trPr>
        <w:tc>
          <w:tcPr>
            <w:tcW w:type="dxa" w:w="460"/>
            <w:tcBorders>
              <w:top w:val="single" w:color="BFBFBF" w:sz="2"/>
              <w:left w:val="single" w:color="BFBFBF" w:sz="2"/>
              <w:bottom w:val="single" w:color="BFBFBF" w:sz="2"/>
              <w:right w:val="single" w:color="BFBFBF" w:sz="2"/>
            </w:tcBorders>
            <w:shd w:fill="D9EEF8" w:color="auto" w:val="clear"/>
          </w:tcPr>
          <w:p>
            <w:pPr>
              <w:spacing w:after="16" w:before="16"/>
            </w:pPr>
            <w:r>
              <w:rPr>
                <w:b/>
                <w:bCs/>
                <w:i w:val="false"/>
                <w:iCs w:val="false"/>
                <w:color w:val="404040"/>
                <w:sz w:val="13"/>
                <w:szCs w:val="13"/>
              </w:rPr>
              <w:t xml:space="preserve">P</w:t>
            </w:r>
          </w:p>
        </w:tc>
        <w:tc>
          <w:tcPr>
            <w:tcW w:type="dxa" w:w="2000"/>
            <w:tcBorders>
              <w:top w:val="single" w:color="BFBFBF" w:sz="2"/>
              <w:left w:val="single" w:color="BFBFBF" w:sz="2"/>
              <w:bottom w:val="single" w:color="BFBFBF" w:sz="2"/>
              <w:right w:val="single" w:color="BFBFBF" w:sz="2"/>
            </w:tcBorders>
            <w:shd w:fill="D9EEF8" w:color="auto" w:val="clear"/>
          </w:tcPr>
          <w:p>
            <w:pPr>
              <w:spacing w:after="16" w:before="16"/>
            </w:pPr>
            <w:r>
              <w:rPr>
                <w:b/>
                <w:bCs/>
                <w:i w:val="false"/>
                <w:iCs w:val="false"/>
                <w:color w:val="404040"/>
                <w:sz w:val="13"/>
                <w:szCs w:val="13"/>
              </w:rPr>
              <w:t xml:space="preserve">À écrire sur l’onglet</w:t>
            </w:r>
          </w:p>
        </w:tc>
        <w:tc>
          <w:tcPr>
            <w:tcW w:type="dxa" w:w="700"/>
            <w:tcBorders>
              <w:top w:val="single" w:color="BFBFBF" w:sz="2"/>
              <w:left w:val="single" w:color="BFBFBF" w:sz="2"/>
              <w:bottom w:val="single" w:color="BFBFBF" w:sz="2"/>
              <w:right w:val="single" w:color="BFBFBF" w:sz="2"/>
            </w:tcBorders>
            <w:shd w:fill="D9EEF8" w:color="auto" w:val="clear"/>
          </w:tcPr>
          <w:p>
            <w:pPr>
              <w:spacing w:after="16" w:before="16"/>
            </w:pPr>
            <w:r>
              <w:rPr>
                <w:b/>
                <w:bCs/>
                <w:i w:val="false"/>
                <w:iCs w:val="false"/>
                <w:color w:val="404040"/>
                <w:sz w:val="13"/>
                <w:szCs w:val="13"/>
              </w:rPr>
              <w:t xml:space="preserve">N° · p.</w:t>
            </w:r>
          </w:p>
        </w:tc>
        <w:tc>
          <w:tcPr>
            <w:tcW w:type="dxa" w:w="1150"/>
            <w:tcBorders>
              <w:top w:val="single" w:color="BFBFBF" w:sz="2"/>
              <w:left w:val="single" w:color="BFBFBF" w:sz="2"/>
              <w:bottom w:val="single" w:color="BFBFBF" w:sz="2"/>
              <w:right w:val="single" w:color="BFBFBF" w:sz="2"/>
            </w:tcBorders>
            <w:shd w:fill="D9EEF8" w:color="auto" w:val="clear"/>
          </w:tcPr>
          <w:p>
            <w:pPr>
              <w:spacing w:after="16" w:before="16"/>
            </w:pPr>
            <w:r>
              <w:rPr>
                <w:b/>
                <w:bCs/>
                <w:i w:val="false"/>
                <w:iCs w:val="false"/>
                <w:color w:val="404040"/>
                <w:sz w:val="13"/>
                <w:szCs w:val="13"/>
              </w:rPr>
              <w:t xml:space="preserve">Position</w:t>
            </w:r>
          </w:p>
        </w:tc>
        <w:tc>
          <w:tcPr>
            <w:tcW w:type="dxa" w:w="2050"/>
            <w:tcBorders>
              <w:top w:val="single" w:color="BFBFBF" w:sz="2"/>
              <w:left w:val="single" w:color="BFBFBF" w:sz="2"/>
              <w:bottom w:val="single" w:color="BFBFBF" w:sz="2"/>
              <w:right w:val="single" w:color="BFBFBF" w:sz="2"/>
            </w:tcBorders>
            <w:shd w:fill="D9EEF8" w:color="auto" w:val="clear"/>
          </w:tcPr>
          <w:p>
            <w:pPr>
              <w:spacing w:after="16" w:before="16"/>
            </w:pPr>
            <w:r>
              <w:rPr>
                <w:b/>
                <w:bCs/>
                <w:i w:val="false"/>
                <w:iCs w:val="false"/>
                <w:color w:val="404040"/>
                <w:sz w:val="13"/>
                <w:szCs w:val="13"/>
              </w:rPr>
              <w:t xml:space="preserve">Intitulé</w:t>
            </w:r>
          </w:p>
        </w:tc>
        <w:tc>
          <w:tcPr>
            <w:tcW w:type="dxa" w:w="800"/>
            <w:tcBorders>
              <w:top w:val="single" w:color="BFBFBF" w:sz="2"/>
              <w:left w:val="single" w:color="BFBFBF" w:sz="2"/>
              <w:bottom w:val="single" w:color="BFBFBF" w:sz="2"/>
              <w:right w:val="single" w:color="BFBFBF" w:sz="2"/>
            </w:tcBorders>
            <w:shd w:fill="D9EEF8" w:color="auto" w:val="clear"/>
          </w:tcPr>
          <w:p>
            <w:pPr>
              <w:spacing w:after="16" w:before="16"/>
            </w:pPr>
            <w:r>
              <w:rPr>
                <w:b/>
                <w:bCs/>
                <w:i w:val="false"/>
                <w:iCs w:val="false"/>
                <w:color w:val="404040"/>
                <w:sz w:val="13"/>
                <w:szCs w:val="13"/>
              </w:rPr>
              <w:t xml:space="preserve">Fiche(s)</w:t>
            </w:r>
          </w:p>
        </w:tc>
        <w:tc>
          <w:tcPr>
            <w:tcW w:type="dxa" w:w="3200"/>
            <w:tcBorders>
              <w:top w:val="single" w:color="BFBFBF" w:sz="2"/>
              <w:left w:val="single" w:color="BFBFBF" w:sz="2"/>
              <w:bottom w:val="single" w:color="BFBFBF" w:sz="2"/>
              <w:right w:val="single" w:color="BFBFBF" w:sz="2"/>
            </w:tcBorders>
            <w:shd w:fill="D9EEF8" w:color="auto" w:val="clear"/>
          </w:tcPr>
          <w:p>
            <w:pPr>
              <w:spacing w:after="16" w:before="16"/>
            </w:pPr>
            <w:r>
              <w:rPr>
                <w:b/>
                <w:bCs/>
                <w:i w:val="false"/>
                <w:iCs w:val="false"/>
                <w:color w:val="404040"/>
                <w:sz w:val="13"/>
                <w:szCs w:val="13"/>
              </w:rPr>
              <w:t xml:space="preserve">Correspondances dans le recueil</w:t>
            </w:r>
          </w:p>
        </w:tc>
        <w:tc>
          <w:tcPr>
            <w:tcW w:type="dxa" w:w="5238"/>
            <w:tcBorders>
              <w:top w:val="single" w:color="BFBFBF" w:sz="2"/>
              <w:left w:val="single" w:color="BFBFBF" w:sz="2"/>
              <w:bottom w:val="single" w:color="BFBFBF" w:sz="2"/>
              <w:right w:val="single" w:color="BFBFBF" w:sz="2"/>
            </w:tcBorders>
            <w:shd w:fill="D9EEF8" w:color="auto" w:val="clear"/>
          </w:tcPr>
          <w:p>
            <w:pPr>
              <w:spacing w:after="16" w:before="16"/>
            </w:pPr>
            <w:r>
              <w:rPr>
                <w:b/>
                <w:bCs/>
                <w:i w:val="false"/>
                <w:iCs w:val="false"/>
                <w:color w:val="404040"/>
                <w:sz w:val="13"/>
                <w:szCs w:val="13"/>
              </w:rPr>
              <w:t xml:space="preserve">Réflexe Grand Oral (tes fiches)</w:t>
            </w:r>
          </w:p>
        </w:tc>
      </w:tr>
      <w:tr>
        <w:tc>
          <w:tcPr>
            <w:tcW w:type="dxa" w:w="460"/>
            <w:tcBorders>
              <w:top w:val="single" w:color="BFBFBF" w:sz="2"/>
              <w:left w:val="single" w:color="BFBFBF" w:sz="2"/>
              <w:bottom w:val="single" w:color="BFBFBF" w:sz="2"/>
              <w:right w:val="single" w:color="BFBFBF" w:sz="2"/>
            </w:tcBorders>
            <w:shd w:fill="FFD24A" w:color="auto" w:val="clear"/>
          </w:tcPr>
          <w:p>
            <w:pPr>
              <w:spacing w:after="16" w:before="16"/>
              <w:jc w:val="center"/>
            </w:pPr>
            <w:r>
              <w:rPr>
                <w:b/>
                <w:bCs/>
                <w:i w:val="false"/>
                <w:iCs w:val="false"/>
                <w:color w:val="6B4E00"/>
                <w:sz w:val="16"/>
                <w:szCs w:val="16"/>
              </w:rPr>
              <w:t xml:space="preserve">★</w:t>
            </w:r>
          </w:p>
        </w:tc>
        <w:tc>
          <w:tcPr>
            <w:tcW w:type="dxa" w:w="2000"/>
            <w:tcBorders>
              <w:top w:val="single" w:color="BFBFBF" w:sz="2"/>
              <w:left w:val="single" w:color="BFBFBF" w:sz="2"/>
              <w:bottom w:val="single" w:color="BFBFBF" w:sz="2"/>
              <w:right w:val="single" w:color="BFBFBF" w:sz="2"/>
            </w:tcBorders>
            <w:shd w:fill="FFF6DC" w:color="auto" w:val="clear"/>
          </w:tcPr>
          <w:p>
            <w:pPr>
              <w:spacing w:after="16" w:before="16"/>
            </w:pPr>
            <w:r>
              <w:rPr>
                <w:b/>
                <w:bCs/>
                <w:i w:val="false"/>
                <w:iCs w:val="false"/>
                <w:color w:val="1F1F1F"/>
                <w:sz w:val="14"/>
                <w:szCs w:val="14"/>
              </w:rPr>
              <w:t xml:space="preserve">CEDH art. 8 (33·34)  ★</w:t>
            </w:r>
          </w:p>
        </w:tc>
        <w:tc>
          <w:tcPr>
            <w:tcW w:type="dxa" w:w="70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595959"/>
                <w:sz w:val="12"/>
                <w:szCs w:val="12"/>
              </w:rPr>
              <w:t xml:space="preserve">N°4.1 · ≈ p. 34</w:t>
            </w:r>
          </w:p>
        </w:tc>
        <w:tc>
          <w:tcPr>
            <w:tcW w:type="dxa" w:w="1150"/>
            <w:tcBorders>
              <w:top w:val="single" w:color="BFBFBF" w:sz="2"/>
              <w:left w:val="single" w:color="BFBFBF" w:sz="2"/>
              <w:bottom w:val="single" w:color="BFBFBF" w:sz="2"/>
              <w:right w:val="single" w:color="BFBFBF" w:sz="2"/>
            </w:tcBorders>
            <w:shd w:fill="FFF6DC" w:color="auto" w:val="clear"/>
          </w:tcPr>
          <w:p>
            <w:pPr>
              <w:spacing w:after="16" w:before="16"/>
              <w:jc w:val="center"/>
            </w:pPr>
            <w:r>
              <w:rPr>
                <w:b/>
                <w:bCs/>
                <w:i w:val="false"/>
                <w:iCs w:val="false"/>
                <w:color w:val="3B8CC4"/>
                <w:sz w:val="13"/>
                <w:szCs w:val="13"/>
              </w:rPr>
              <w:t xml:space="preserve">laté. 100,9 mm (#1)</w:t>
            </w:r>
          </w:p>
        </w:tc>
        <w:tc>
          <w:tcPr>
            <w:tcW w:type="dxa" w:w="205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333333"/>
                <w:sz w:val="13"/>
                <w:szCs w:val="13"/>
              </w:rPr>
              <w:t xml:space="preserve">Respect de la vie privée et familiale, du domicile et de la correspondance</w:t>
            </w:r>
          </w:p>
        </w:tc>
        <w:tc>
          <w:tcPr>
            <w:tcW w:type="dxa" w:w="800"/>
            <w:tcBorders>
              <w:top w:val="single" w:color="BFBFBF" w:sz="2"/>
              <w:left w:val="single" w:color="BFBFBF" w:sz="2"/>
              <w:bottom w:val="single" w:color="BFBFBF" w:sz="2"/>
              <w:right w:val="single" w:color="BFBFBF" w:sz="2"/>
            </w:tcBorders>
            <w:shd w:fill="FFF6DC" w:color="auto" w:val="clear"/>
          </w:tcPr>
          <w:p>
            <w:pPr>
              <w:spacing w:after="16" w:before="16"/>
              <w:jc w:val="center"/>
            </w:pPr>
            <w:r>
              <w:rPr>
                <w:b/>
                <w:bCs/>
                <w:i w:val="false"/>
                <w:iCs w:val="false"/>
                <w:color w:val="3B8CC4"/>
                <w:sz w:val="13"/>
                <w:szCs w:val="13"/>
              </w:rPr>
              <w:t xml:space="preserve">33 · 34 · 35 · 49</w:t>
            </w:r>
          </w:p>
        </w:tc>
        <w:tc>
          <w:tcPr>
            <w:tcW w:type="dxa" w:w="320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333333"/>
                <w:sz w:val="12"/>
                <w:szCs w:val="12"/>
              </w:rPr>
              <w:t xml:space="preserve">art. 9 C. civ. (N°69.1) · art. 2 DDHC (99-416 DC) · art. 7 Charte UE · art. 17 PIDCP · art. 12 DUDH · loi 1978 (N°73.1)</w:t>
            </w:r>
          </w:p>
        </w:tc>
        <w:tc>
          <w:tcPr>
            <w:tcW w:type="dxa" w:w="5238"/>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333333"/>
                <w:sz w:val="12"/>
                <w:szCs w:val="12"/>
              </w:rPr>
              <w:t xml:space="preserve">Von Hannover 1 &amp; 2 (2004, 2012) ; Marckx (1979) ; Mennesson (2014) ; S. et Marper (2008, données) ; López Ostra (1994) et KlimaSeniorinnen (2024, environnement) ; Pretty (autonomie personnelle).</w:t>
            </w:r>
          </w:p>
        </w:tc>
      </w:tr>
      <w:tr>
        <w:tc>
          <w:tcPr>
            <w:tcW w:type="dxa" w:w="460"/>
            <w:tcBorders>
              <w:top w:val="single" w:color="BFBFBF" w:sz="2"/>
              <w:left w:val="single" w:color="BFBFBF" w:sz="2"/>
              <w:bottom w:val="single" w:color="BFBFBF" w:sz="2"/>
              <w:right w:val="single" w:color="BFBFBF" w:sz="2"/>
            </w:tcBorders>
            <w:shd w:fill="F2F2F2" w:color="auto" w:val="clear"/>
          </w:tcPr>
          <w:p>
            <w:pPr>
              <w:spacing w:after="16" w:before="16"/>
              <w:jc w:val="center"/>
            </w:pPr>
            <w:r>
              <w:rPr>
                <w:b/>
                <w:bCs/>
                <w:i w:val="false"/>
                <w:iCs w:val="false"/>
                <w:color w:val="808080"/>
                <w:sz w:val="16"/>
                <w:szCs w:val="16"/>
              </w:rPr>
              <w:t xml:space="preserve">2</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N°15.1 CONV. 108 (35)</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N°15.1 · p. 137</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B8CC4"/>
                <w:sz w:val="13"/>
                <w:szCs w:val="13"/>
              </w:rPr>
              <w:t xml:space="preserve">laté. 105,2 mm (#2)</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Convention 108 — données personnelles (1981) · Budapest, cybercriminalité (N°15.2–15.2.1)</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B8CC4"/>
                <w:sz w:val="13"/>
                <w:szCs w:val="13"/>
              </w:rPr>
              <w:t xml:space="preserve">35</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RGPD (N°22) · loi 1978 (N°73.1) · art. 8 CEDH · art. 8 Charte UE</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Premier traité contraignant sur les données ; modernisée (« 108+ »). Budapest (N°15.2, p. 142) et son protocole raciste/xénophobe (N°15.2.1, p. 159) sont dans la même sous-section.</w:t>
            </w:r>
          </w:p>
        </w:tc>
      </w:tr>
      <w:tr>
        <w:tc>
          <w:tcPr>
            <w:tcW w:type="dxa" w:w="460"/>
            <w:tcBorders>
              <w:top w:val="single" w:color="BFBFBF" w:sz="2"/>
              <w:left w:val="single" w:color="BFBFBF" w:sz="2"/>
              <w:bottom w:val="single" w:color="BFBFBF" w:sz="2"/>
              <w:right w:val="single" w:color="BFBFBF" w:sz="2"/>
            </w:tcBorders>
            <w:shd w:fill="3B8CC4"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N°21.3 REGROUPEMENT FAMILIAL (34·53)</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N°21.3 · p. 361</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B8CC4"/>
                <w:sz w:val="13"/>
                <w:szCs w:val="13"/>
              </w:rPr>
              <w:t xml:space="preserve">laté. 100,9 mm (#1)</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Directive 2003/86/CE — regroupement familial</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B8CC4"/>
                <w:sz w:val="13"/>
                <w:szCs w:val="13"/>
              </w:rPr>
              <w:t xml:space="preserve">34 · 53 · 43</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Conv. EDH art. 8 · al. 10 Préambule · CESEDA (N°67.1)</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Droit de mener une vie familiale normale (93-325 DC) ; proportionnalité de l’atteinte à la vie familiale (CE, Belgacem et Babas, 1991).</w:t>
            </w:r>
          </w:p>
        </w:tc>
      </w:tr>
      <w:tr>
        <w:tc>
          <w:tcPr>
            <w:tcW w:type="dxa" w:w="460"/>
            <w:tcBorders>
              <w:top w:val="single" w:color="BFBFBF" w:sz="2"/>
              <w:left w:val="single" w:color="BFBFBF" w:sz="2"/>
              <w:bottom w:val="single" w:color="BFBFBF" w:sz="2"/>
              <w:right w:val="single" w:color="BFBFBF" w:sz="2"/>
            </w:tcBorders>
            <w:shd w:fill="3B8CC4"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N°22 RGPD art. 1–11 (35)</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N°22 · p. 389</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B8CC4"/>
                <w:sz w:val="13"/>
                <w:szCs w:val="13"/>
              </w:rPr>
              <w:t xml:space="preserve">laté. 105,2 mm (#2)</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RGPD : objet, définitions, principes (5), licéité (6), consentement (7-8), données sensibles (9)</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B8CC4"/>
                <w:sz w:val="13"/>
                <w:szCs w:val="13"/>
              </w:rPr>
              <w:t xml:space="preserve">35 · 4</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loi 1978 (N°73.1) · Conv. 108 (N°15.1) · Charte art. 8 · Conv. EDH art. 8</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Licéité, loyauté, transparence, minimisation, exactitude, limitation de la conservation ; art. 9 : données sensibles (santé, religion, opinions). Transferts hors UE (art. 44 s.) : Schrems (2015, 2020). Sanctions (art. 83).</w:t>
            </w:r>
          </w:p>
        </w:tc>
      </w:tr>
      <w:tr>
        <w:tc>
          <w:tcPr>
            <w:tcW w:type="dxa" w:w="460"/>
            <w:tcBorders>
              <w:top w:val="single" w:color="BFBFBF" w:sz="2"/>
              <w:left w:val="single" w:color="BFBFBF" w:sz="2"/>
              <w:bottom w:val="single" w:color="BFBFBF" w:sz="2"/>
              <w:right w:val="single" w:color="BFBFBF" w:sz="2"/>
            </w:tcBorders>
            <w:shd w:fill="3B8CC4"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RGPD art. 12–23 (35)</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N°22 · ≈ p. 396</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B8CC4"/>
                <w:sz w:val="13"/>
                <w:szCs w:val="13"/>
              </w:rPr>
              <w:t xml:space="preserve">laté. 109,5 mm (#3)</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Droits de la personne : information, accès, rectification, effacement (17), portabilité, opposition (21), décision automatisée (22)</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B8CC4"/>
                <w:sz w:val="13"/>
                <w:szCs w:val="13"/>
              </w:rPr>
              <w:t xml:space="preserve">35 · 4 · 33</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Charte art. 8 · loi 1978 (N°73.1) · fichiers du CSI (N°73.2)</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Art. 17 « droit à l’oubli », dans le prolongement de Google Spain (2014). Art. 22 : décision fondée exclusivement sur un traitement automatisé (fiche 4, intelligence artificielle).</w:t>
            </w:r>
          </w:p>
        </w:tc>
      </w:tr>
      <w:tr>
        <w:tc>
          <w:tcPr>
            <w:tcW w:type="dxa" w:w="460"/>
            <w:tcBorders>
              <w:top w:val="single" w:color="BFBFBF" w:sz="2"/>
              <w:left w:val="single" w:color="BFBFBF" w:sz="2"/>
              <w:bottom w:val="single" w:color="BFBFBF" w:sz="2"/>
              <w:right w:val="single" w:color="BFBFBF" w:sz="2"/>
            </w:tcBorders>
            <w:shd w:fill="3B8CC4"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PIDCP art. 17–22 (33·36·37·38·39)</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N°24.1 · ≈ p. 419</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B8CC4"/>
                <w:sz w:val="13"/>
                <w:szCs w:val="13"/>
              </w:rPr>
              <w:t xml:space="preserve">laté. 113,8 mm (#4)</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Vie privée (17), religion (18), expression (19), propagande et haine (20), réunion (21), association et syndicat (22)</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B8CC4"/>
                <w:sz w:val="13"/>
                <w:szCs w:val="13"/>
              </w:rPr>
              <w:t xml:space="preserve">33 · 36 · 37 · 38 · 39</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Conv. EDH art. 8-11 · Charte art. 7, 10-12 · DDHC art. 10-11</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Comité des droits de l’homme contre la France : F.A. (Baby Loup, 2018) et Hebbadj et Yaker (2018, voile intégral), en sens contraire de S.A.S. c. France. Art. 20 : interdiction de l’appel à la haine.</w:t>
            </w:r>
          </w:p>
        </w:tc>
      </w:tr>
      <w:tr>
        <w:tc>
          <w:tcPr>
            <w:tcW w:type="dxa" w:w="460"/>
            <w:tcBorders>
              <w:top w:val="single" w:color="BFBFBF" w:sz="2"/>
              <w:left w:val="single" w:color="BFBFBF" w:sz="2"/>
              <w:bottom w:val="single" w:color="BFBFBF" w:sz="2"/>
              <w:right w:val="single" w:color="BFBFBF" w:sz="2"/>
            </w:tcBorders>
            <w:shd w:fill="3B8CC4"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PIDCP art. 23–27 (34·42·54·55)</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N°24.1 · ≈ p. 421</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B8CC4"/>
                <w:sz w:val="13"/>
                <w:szCs w:val="13"/>
              </w:rPr>
              <w:t xml:space="preserve">laté. 118,1 mm (#5)</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Famille (23), enfant (24), élections (25), égalité (26), minorités (27)</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B8CC4"/>
                <w:sz w:val="13"/>
                <w:szCs w:val="13"/>
              </w:rPr>
              <w:t xml:space="preserve">34 · 42 · 54 · 55 · 52</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Conv. EDH art. 12 et 14 · Prot. 1 art. 3 · Prot. 12 · CIDE (N°34.1)</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Art. 26 : clause autonome d’égalité, à la différence de l’art. 14 CEDH. Art. 27 : déclaration française (pas de minorités au sens de l’article, art. 1er C.).</w:t>
            </w:r>
          </w:p>
        </w:tc>
      </w:tr>
      <w:tr>
        <w:tc>
          <w:tcPr>
            <w:tcW w:type="dxa" w:w="460"/>
            <w:tcBorders>
              <w:top w:val="single" w:color="BFBFBF" w:sz="2"/>
              <w:left w:val="single" w:color="BFBFBF" w:sz="2"/>
              <w:bottom w:val="single" w:color="BFBFBF" w:sz="2"/>
              <w:right w:val="single" w:color="BFBFBF" w:sz="2"/>
            </w:tcBorders>
            <w:shd w:fill="3B8CC4"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N°34.1 CIDE art. 1–12 (34·47·30)</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N°34.1 · p. 496</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B8CC4"/>
                <w:sz w:val="13"/>
                <w:szCs w:val="13"/>
              </w:rPr>
              <w:t xml:space="preserve">laté. 122,4 mm (#6)</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CIDE : intérêt supérieur de l’enfant (3-1), vie (6), nom et nationalité (7-8), séparation des parents (9), opinion de l’enfant (12)</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B8CC4"/>
                <w:sz w:val="13"/>
                <w:szCs w:val="13"/>
              </w:rPr>
              <w:t xml:space="preserve">34 · 47 · 30 · 55 · 26</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Conv. EDH art. 8 · Charte UE art. 24 · droits de l’enfant en droit interne (N°61) · Lanzarote (N°12.1)</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Effet direct de l’art. 3-1 : CE, 22 septembre 1997, Cinar ; Cass. 1re civ., 18 mai 2005. Exigence constitutionnelle de protection de l’intérêt supérieur de l’enfant : 2018-768 QPC (tests osseux).</w:t>
            </w:r>
          </w:p>
        </w:tc>
      </w:tr>
      <w:tr>
        <w:tc>
          <w:tcPr>
            <w:tcW w:type="dxa" w:w="460"/>
            <w:tcBorders>
              <w:top w:val="single" w:color="BFBFBF" w:sz="2"/>
              <w:left w:val="single" w:color="BFBFBF" w:sz="2"/>
              <w:bottom w:val="single" w:color="BFBFBF" w:sz="2"/>
              <w:right w:val="single" w:color="BFBFBF" w:sz="2"/>
            </w:tcBorders>
            <w:shd w:fill="F2F2F2" w:color="auto" w:val="clear"/>
          </w:tcPr>
          <w:p>
            <w:pPr>
              <w:spacing w:after="16" w:before="16"/>
              <w:jc w:val="center"/>
            </w:pPr>
            <w:r>
              <w:rPr>
                <w:b/>
                <w:bCs/>
                <w:i w:val="false"/>
                <w:iCs w:val="false"/>
                <w:color w:val="808080"/>
                <w:sz w:val="16"/>
                <w:szCs w:val="16"/>
              </w:rPr>
              <w:t xml:space="preserve">2</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N°35.1–35.2 LA HAYE (34)</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N°35.1 · p. 517</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B8CC4"/>
                <w:sz w:val="13"/>
                <w:szCs w:val="13"/>
              </w:rPr>
              <w:t xml:space="preserve">laté. 100,9 mm (#1)</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Conventions de La Haye : adoption internationale (1993) · enlèvement international d’enfants (1980, N°35.2 p. 522)</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B8CC4"/>
                <w:sz w:val="13"/>
                <w:szCs w:val="13"/>
              </w:rPr>
              <w:t xml:space="preserve">34</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adoption internationale C. civ. 370-2 s. (N°61.7) · CIDE art. 9-11 et 21</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Enlèvement : retour immédiat de l’enfant, sauf risque grave (art. 13 b), à concilier avec l’art. 8 CEDH.</w:t>
            </w:r>
          </w:p>
        </w:tc>
      </w:tr>
      <w:tr>
        <w:tc>
          <w:tcPr>
            <w:tcW w:type="dxa" w:w="460"/>
            <w:tcBorders>
              <w:top w:val="single" w:color="BFBFBF" w:sz="2"/>
              <w:left w:val="single" w:color="BFBFBF" w:sz="2"/>
              <w:bottom w:val="single" w:color="BFBFBF" w:sz="2"/>
              <w:right w:val="single" w:color="BFBFBF" w:sz="2"/>
            </w:tcBorders>
            <w:shd w:fill="FFD24A" w:color="auto" w:val="clear"/>
          </w:tcPr>
          <w:p>
            <w:pPr>
              <w:spacing w:after="16" w:before="16"/>
              <w:jc w:val="center"/>
            </w:pPr>
            <w:r>
              <w:rPr>
                <w:b/>
                <w:bCs/>
                <w:i w:val="false"/>
                <w:iCs w:val="false"/>
                <w:color w:val="6B4E00"/>
                <w:sz w:val="16"/>
                <w:szCs w:val="16"/>
              </w:rPr>
              <w:t xml:space="preserve">★</w:t>
            </w:r>
          </w:p>
        </w:tc>
        <w:tc>
          <w:tcPr>
            <w:tcW w:type="dxa" w:w="2000"/>
            <w:tcBorders>
              <w:top w:val="single" w:color="BFBFBF" w:sz="2"/>
              <w:left w:val="single" w:color="BFBFBF" w:sz="2"/>
              <w:bottom w:val="single" w:color="BFBFBF" w:sz="2"/>
              <w:right w:val="single" w:color="BFBFBF" w:sz="2"/>
            </w:tcBorders>
            <w:shd w:fill="FFF6DC" w:color="auto" w:val="clear"/>
          </w:tcPr>
          <w:p>
            <w:pPr>
              <w:spacing w:after="16" w:before="16"/>
            </w:pPr>
            <w:r>
              <w:rPr>
                <w:b/>
                <w:bCs/>
                <w:i w:val="false"/>
                <w:iCs w:val="false"/>
                <w:color w:val="1F1F1F"/>
                <w:sz w:val="14"/>
                <w:szCs w:val="14"/>
              </w:rPr>
              <w:t xml:space="preserve">N°69.1–69.3 VIE PRIVÉE (33·34)  ★</w:t>
            </w:r>
          </w:p>
        </w:tc>
        <w:tc>
          <w:tcPr>
            <w:tcW w:type="dxa" w:w="70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595959"/>
                <w:sz w:val="12"/>
                <w:szCs w:val="12"/>
              </w:rPr>
              <w:t xml:space="preserve">N°69.1 · p. 831</w:t>
            </w:r>
          </w:p>
        </w:tc>
        <w:tc>
          <w:tcPr>
            <w:tcW w:type="dxa" w:w="1150"/>
            <w:tcBorders>
              <w:top w:val="single" w:color="BFBFBF" w:sz="2"/>
              <w:left w:val="single" w:color="BFBFBF" w:sz="2"/>
              <w:bottom w:val="single" w:color="BFBFBF" w:sz="2"/>
              <w:right w:val="single" w:color="BFBFBF" w:sz="2"/>
            </w:tcBorders>
            <w:shd w:fill="FFF6DC" w:color="auto" w:val="clear"/>
          </w:tcPr>
          <w:p>
            <w:pPr>
              <w:spacing w:after="16" w:before="16"/>
              <w:jc w:val="center"/>
            </w:pPr>
            <w:r>
              <w:rPr>
                <w:b/>
                <w:bCs/>
                <w:i w:val="false"/>
                <w:iCs w:val="false"/>
                <w:color w:val="3B8CC4"/>
                <w:sz w:val="13"/>
                <w:szCs w:val="13"/>
              </w:rPr>
              <w:t xml:space="preserve">laté. 100,9 mm (#1)</w:t>
            </w:r>
          </w:p>
        </w:tc>
        <w:tc>
          <w:tcPr>
            <w:tcW w:type="dxa" w:w="205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333333"/>
                <w:sz w:val="13"/>
                <w:szCs w:val="13"/>
              </w:rPr>
              <w:t xml:space="preserve">Art. 9 C. civ. · mariage pour tous, art. 143 C. civ. (N°69.2) · atteintes à la vie privée, C. pén. 226-1 s. (N°69.3) — trois documents sur la même page</w:t>
            </w:r>
          </w:p>
        </w:tc>
        <w:tc>
          <w:tcPr>
            <w:tcW w:type="dxa" w:w="800"/>
            <w:tcBorders>
              <w:top w:val="single" w:color="BFBFBF" w:sz="2"/>
              <w:left w:val="single" w:color="BFBFBF" w:sz="2"/>
              <w:bottom w:val="single" w:color="BFBFBF" w:sz="2"/>
              <w:right w:val="single" w:color="BFBFBF" w:sz="2"/>
            </w:tcBorders>
            <w:shd w:fill="FFF6DC" w:color="auto" w:val="clear"/>
          </w:tcPr>
          <w:p>
            <w:pPr>
              <w:spacing w:after="16" w:before="16"/>
              <w:jc w:val="center"/>
            </w:pPr>
            <w:r>
              <w:rPr>
                <w:b/>
                <w:bCs/>
                <w:i w:val="false"/>
                <w:iCs w:val="false"/>
                <w:color w:val="3B8CC4"/>
                <w:sz w:val="13"/>
                <w:szCs w:val="13"/>
              </w:rPr>
              <w:t xml:space="preserve">33 · 34 · 37</w:t>
            </w:r>
          </w:p>
        </w:tc>
        <w:tc>
          <w:tcPr>
            <w:tcW w:type="dxa" w:w="320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333333"/>
                <w:sz w:val="12"/>
                <w:szCs w:val="12"/>
              </w:rPr>
              <w:t xml:space="preserve">art. 8 CEDH (N°4.1) · art. 2 DDHC · Charte UE art. 7 · art. 17 PIDCP</w:t>
            </w:r>
          </w:p>
        </w:tc>
        <w:tc>
          <w:tcPr>
            <w:tcW w:type="dxa" w:w="5238"/>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333333"/>
                <w:sz w:val="12"/>
                <w:szCs w:val="12"/>
              </w:rPr>
              <w:t xml:space="preserve">Vie privée rattachée à l’art. 2 DDHC (99-416 DC) ; Von Hannover 1 et 2 ; mise en balance avec l’art. 10 (fiche 37). Mariage pour tous : 2013-669 DC ; Schalk et Kopf (2010).</w:t>
            </w:r>
          </w:p>
        </w:tc>
      </w:tr>
      <w:tr>
        <w:tc>
          <w:tcPr>
            <w:tcW w:type="dxa" w:w="460"/>
            <w:tcBorders>
              <w:top w:val="single" w:color="BFBFBF" w:sz="2"/>
              <w:left w:val="single" w:color="BFBFBF" w:sz="2"/>
              <w:bottom w:val="single" w:color="BFBFBF" w:sz="2"/>
              <w:right w:val="single" w:color="BFBFBF" w:sz="2"/>
            </w:tcBorders>
            <w:shd w:fill="FFD24A" w:color="auto" w:val="clear"/>
          </w:tcPr>
          <w:p>
            <w:pPr>
              <w:spacing w:after="16" w:before="16"/>
              <w:jc w:val="center"/>
            </w:pPr>
            <w:r>
              <w:rPr>
                <w:b/>
                <w:bCs/>
                <w:i w:val="false"/>
                <w:iCs w:val="false"/>
                <w:color w:val="6B4E00"/>
                <w:sz w:val="16"/>
                <w:szCs w:val="16"/>
              </w:rPr>
              <w:t xml:space="preserve">★</w:t>
            </w:r>
          </w:p>
        </w:tc>
        <w:tc>
          <w:tcPr>
            <w:tcW w:type="dxa" w:w="2000"/>
            <w:tcBorders>
              <w:top w:val="single" w:color="BFBFBF" w:sz="2"/>
              <w:left w:val="single" w:color="BFBFBF" w:sz="2"/>
              <w:bottom w:val="single" w:color="BFBFBF" w:sz="2"/>
              <w:right w:val="single" w:color="BFBFBF" w:sz="2"/>
            </w:tcBorders>
            <w:shd w:fill="FFF6DC" w:color="auto" w:val="clear"/>
          </w:tcPr>
          <w:p>
            <w:pPr>
              <w:spacing w:after="16" w:before="16"/>
            </w:pPr>
            <w:r>
              <w:rPr>
                <w:b/>
                <w:bCs/>
                <w:i w:val="false"/>
                <w:iCs w:val="false"/>
                <w:color w:val="1F1F1F"/>
                <w:sz w:val="14"/>
                <w:szCs w:val="14"/>
              </w:rPr>
              <w:t xml:space="preserve">N°70–71 DOMICILE &amp; PERQUISITIONS (33·17)  ★</w:t>
            </w:r>
          </w:p>
        </w:tc>
        <w:tc>
          <w:tcPr>
            <w:tcW w:type="dxa" w:w="70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595959"/>
                <w:sz w:val="12"/>
                <w:szCs w:val="12"/>
              </w:rPr>
              <w:t xml:space="preserve">N°70.1 · p. 836</w:t>
            </w:r>
          </w:p>
        </w:tc>
        <w:tc>
          <w:tcPr>
            <w:tcW w:type="dxa" w:w="1150"/>
            <w:tcBorders>
              <w:top w:val="single" w:color="BFBFBF" w:sz="2"/>
              <w:left w:val="single" w:color="BFBFBF" w:sz="2"/>
              <w:bottom w:val="single" w:color="BFBFBF" w:sz="2"/>
              <w:right w:val="single" w:color="BFBFBF" w:sz="2"/>
            </w:tcBorders>
            <w:shd w:fill="FFF6DC" w:color="auto" w:val="clear"/>
          </w:tcPr>
          <w:p>
            <w:pPr>
              <w:spacing w:after="16" w:before="16"/>
              <w:jc w:val="center"/>
            </w:pPr>
            <w:r>
              <w:rPr>
                <w:b/>
                <w:bCs/>
                <w:i w:val="false"/>
                <w:iCs w:val="false"/>
                <w:color w:val="3B8CC4"/>
                <w:sz w:val="13"/>
                <w:szCs w:val="13"/>
              </w:rPr>
              <w:t xml:space="preserve">laté. 105,2 mm (#2)</w:t>
            </w:r>
          </w:p>
        </w:tc>
        <w:tc>
          <w:tcPr>
            <w:tcW w:type="dxa" w:w="205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333333"/>
                <w:sz w:val="13"/>
                <w:szCs w:val="13"/>
              </w:rPr>
              <w:t xml:space="preserve">Violation de domicile (C. pén. 226-4, 432-8) · perquisitions en flagrance (CPP 56-59, N°71.1), en préliminaire (76), en instruction (93-97), captation de données (N°71.4)</w:t>
            </w:r>
          </w:p>
        </w:tc>
        <w:tc>
          <w:tcPr>
            <w:tcW w:type="dxa" w:w="800"/>
            <w:tcBorders>
              <w:top w:val="single" w:color="BFBFBF" w:sz="2"/>
              <w:left w:val="single" w:color="BFBFBF" w:sz="2"/>
              <w:bottom w:val="single" w:color="BFBFBF" w:sz="2"/>
              <w:right w:val="single" w:color="BFBFBF" w:sz="2"/>
            </w:tcBorders>
            <w:shd w:fill="FFF6DC" w:color="auto" w:val="clear"/>
          </w:tcPr>
          <w:p>
            <w:pPr>
              <w:spacing w:after="16" w:before="16"/>
              <w:jc w:val="center"/>
            </w:pPr>
            <w:r>
              <w:rPr>
                <w:b/>
                <w:bCs/>
                <w:i w:val="false"/>
                <w:iCs w:val="false"/>
                <w:color w:val="3B8CC4"/>
                <w:sz w:val="13"/>
                <w:szCs w:val="13"/>
              </w:rPr>
              <w:t xml:space="preserve">33 · 17 · 7</w:t>
            </w:r>
          </w:p>
        </w:tc>
        <w:tc>
          <w:tcPr>
            <w:tcW w:type="dxa" w:w="320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333333"/>
                <w:sz w:val="12"/>
                <w:szCs w:val="12"/>
              </w:rPr>
              <w:t xml:space="preserve">art. 8 CEDH · art. 66 C. · état d’urgence (N°116)</w:t>
            </w:r>
          </w:p>
        </w:tc>
        <w:tc>
          <w:tcPr>
            <w:tcW w:type="dxa" w:w="5238"/>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333333"/>
                <w:sz w:val="12"/>
                <w:szCs w:val="12"/>
              </w:rPr>
              <w:t xml:space="preserve">Inviolabilité du domicile, composante de la vie privée ; perquisitions administratives de l’état d’urgence (2015-527 QPC, fiche 7) ; Domenjoud c. France (2024).</w:t>
            </w:r>
          </w:p>
        </w:tc>
      </w:tr>
      <w:tr>
        <w:tc>
          <w:tcPr>
            <w:tcW w:type="dxa" w:w="460"/>
            <w:tcBorders>
              <w:top w:val="single" w:color="BFBFBF" w:sz="2"/>
              <w:left w:val="single" w:color="BFBFBF" w:sz="2"/>
              <w:bottom w:val="single" w:color="BFBFBF" w:sz="2"/>
              <w:right w:val="single" w:color="BFBFBF" w:sz="2"/>
            </w:tcBorders>
            <w:shd w:fill="3B8CC4"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N°72.1–72.2 CORRESPONDANCES (33)</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N°72.1 · p. 848</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B8CC4"/>
                <w:sz w:val="13"/>
                <w:szCs w:val="13"/>
              </w:rPr>
              <w:t xml:space="preserve">laté. 109,5 mm (#3)</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Secret des correspondances (C. pén. 226-15, 432-9) · interceptions judiciaires (CPP 100 à 100-7, N°72.2)</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B8CC4"/>
                <w:sz w:val="13"/>
                <w:szCs w:val="13"/>
              </w:rPr>
              <w:t xml:space="preserve">33 · 35</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art. 8 CEDH · Charte UE art. 7</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Kruslin et Huvig c. France (1990) → loi du 10 juillet 1991 sur les écoutes ; prévisibilité et garanties contre l’arbitraire.</w:t>
            </w:r>
          </w:p>
        </w:tc>
      </w:tr>
      <w:tr>
        <w:tc>
          <w:tcPr>
            <w:tcW w:type="dxa" w:w="460"/>
            <w:tcBorders>
              <w:top w:val="single" w:color="BFBFBF" w:sz="2"/>
              <w:left w:val="single" w:color="BFBFBF" w:sz="2"/>
              <w:bottom w:val="single" w:color="BFBFBF" w:sz="2"/>
              <w:right w:val="single" w:color="BFBFBF" w:sz="2"/>
            </w:tcBorders>
            <w:shd w:fill="3B8CC4"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N°72.3 RENSEIGNEMENT (33·35)</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N°72.3 · p. 850</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B8CC4"/>
                <w:sz w:val="13"/>
                <w:szCs w:val="13"/>
              </w:rPr>
              <w:t xml:space="preserve">laté. 113,8 mm (#4)</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Techniques de recueil de renseignement — CSI L.811-1 à L.854-9 (principe : CSI L.801-1, N°69.4 p. 835)</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B8CC4"/>
                <w:sz w:val="13"/>
                <w:szCs w:val="13"/>
              </w:rPr>
              <w:t xml:space="preserve">33 · 35 · 7</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art. 8 CEDH · Charte UE art. 7-8 · RGPD (N°22)</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Loi du 24 juillet 2015 et contrôle de la CNCTR : 2015-713 DC ; surveillance de masse : Big Brother Watch (2021) ; conservation des données : CE Ass., French Data Network (2021).</w:t>
            </w:r>
          </w:p>
        </w:tc>
      </w:tr>
      <w:tr>
        <w:tc>
          <w:tcPr>
            <w:tcW w:type="dxa" w:w="460"/>
            <w:tcBorders>
              <w:top w:val="single" w:color="BFBFBF" w:sz="2"/>
              <w:left w:val="single" w:color="BFBFBF" w:sz="2"/>
              <w:bottom w:val="single" w:color="BFBFBF" w:sz="2"/>
              <w:right w:val="single" w:color="BFBFBF" w:sz="2"/>
            </w:tcBorders>
            <w:shd w:fill="3B8CC4"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N°73.1 LOI INFORMATIQUE ET LIBERTÉS (35·20)</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N°73.1 · p. 869</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B8CC4"/>
                <w:sz w:val="13"/>
                <w:szCs w:val="13"/>
              </w:rPr>
              <w:t xml:space="preserve">laté. 118,1 mm (#5)</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Loi n° 78-17 du 6 janvier 1978 relative à l’informatique, aux fichiers et aux libertés (CNIL)</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B8CC4"/>
                <w:sz w:val="13"/>
                <w:szCs w:val="13"/>
              </w:rPr>
              <w:t xml:space="preserve">35 · 20 · 33</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RGPD (N°22) · Conv. 108 (N°15.1) · Charte UE art. 8</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 L’informatique doit être au service de chaque citoyen » (art. 1er) ; la CNIL, autorité administrative indépendante (fiche 20) ; articulation avec le RGPD depuis 2018.</w:t>
            </w:r>
          </w:p>
        </w:tc>
      </w:tr>
      <w:tr>
        <w:tc>
          <w:tcPr>
            <w:tcW w:type="dxa" w:w="460"/>
            <w:tcBorders>
              <w:top w:val="single" w:color="BFBFBF" w:sz="2"/>
              <w:left w:val="single" w:color="BFBFBF" w:sz="2"/>
              <w:bottom w:val="single" w:color="BFBFBF" w:sz="2"/>
              <w:right w:val="single" w:color="BFBFBF" w:sz="2"/>
            </w:tcBorders>
            <w:shd w:fill="F2F2F2" w:color="auto" w:val="clear"/>
          </w:tcPr>
          <w:p>
            <w:pPr>
              <w:spacing w:after="16" w:before="16"/>
              <w:jc w:val="center"/>
            </w:pPr>
            <w:r>
              <w:rPr>
                <w:b/>
                <w:bCs/>
                <w:i w:val="false"/>
                <w:iCs w:val="false"/>
                <w:color w:val="808080"/>
                <w:sz w:val="16"/>
                <w:szCs w:val="16"/>
              </w:rPr>
              <w:t xml:space="preserve">2</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N°73.2–73.3 FICHIERS (35)</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N°73.2 · p. 922</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B8CC4"/>
                <w:sz w:val="13"/>
                <w:szCs w:val="13"/>
              </w:rPr>
              <w:t xml:space="preserve">laté. 122,4 mm (#6)</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Traitements de données et enquêtes administratives (CSI) · atteintes résultant des fichiers (C. pén. 226-16 s., N°73.3 p. 928)</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B8CC4"/>
                <w:sz w:val="13"/>
                <w:szCs w:val="13"/>
              </w:rPr>
              <w:t xml:space="preserve">35 · 7</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S. et Marper (art. 8 CEDH) · loi 1978 (N°73.1)</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Conservation des données de personnes non condamnées : S. et Marper c. RU (2008).</w:t>
            </w:r>
          </w:p>
        </w:tc>
      </w:tr>
      <w:tr>
        <w:tc>
          <w:tcPr>
            <w:tcW w:type="dxa" w:w="460"/>
            <w:tcBorders>
              <w:top w:val="single" w:color="BFBFBF" w:sz="2"/>
              <w:left w:val="single" w:color="BFBFBF" w:sz="2"/>
              <w:bottom w:val="single" w:color="BFBFBF" w:sz="2"/>
              <w:right w:val="single" w:color="BFBFBF" w:sz="2"/>
            </w:tcBorders>
            <w:shd w:fill="3B8CC4"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N°74.2–74.3 VIDÉO &amp; GÉOLOCALISATION (33·35)</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N°74.2 · p. 933</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B8CC4"/>
                <w:sz w:val="13"/>
                <w:szCs w:val="13"/>
              </w:rPr>
              <w:t xml:space="preserve">laté. 126,7 mm (#7)</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Vidéoprotection (CSI L.251-1 s.) · géolocalisation (CPP 230-32 s., N°74.3 p. 938)</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B8CC4"/>
                <w:sz w:val="13"/>
                <w:szCs w:val="13"/>
              </w:rPr>
              <w:t xml:space="preserve">33 · 35 · 7</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art. 8 CEDH · RGPD (N°22) · loi 1978 (N°73.1)</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Vidéosurveillance : 94-352 DC ; caméras « augmentées » des Jeux olympiques validées sous réserves, sans reconnaissance faciale (2023-850 DC) ; géolocalisation : 2014-693 DC.</w:t>
            </w:r>
          </w:p>
        </w:tc>
      </w:tr>
      <w:tr>
        <w:tc>
          <w:tcPr>
            <w:tcW w:type="dxa" w:w="460"/>
            <w:tcBorders>
              <w:top w:val="single" w:color="BFBFBF" w:sz="2"/>
              <w:left w:val="single" w:color="BFBFBF" w:sz="2"/>
              <w:bottom w:val="single" w:color="BFBFBF" w:sz="2"/>
              <w:right w:val="single" w:color="BFBFBF" w:sz="2"/>
            </w:tcBorders>
            <w:shd w:fill="3B8CC4"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N°89 PMA &amp; DIAGNOSTIC PRÉNATAL (34·27)</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N°89 · p. 1012</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B8CC4"/>
                <w:sz w:val="13"/>
                <w:szCs w:val="13"/>
              </w:rPr>
              <w:t xml:space="preserve">laté. 100,9 mm (#1)</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Procréation médicalement assistée et diagnostics anténataux — CSP L.2131-1, L.2141-1 s.</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3B8CC4"/>
                <w:sz w:val="13"/>
                <w:szCs w:val="13"/>
              </w:rPr>
              <w:t xml:space="preserve">34 · 27 · 54</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art. 8 CEDH · art. 16 s. C. civ. (N°85) · Charte UE art. 3</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Ouverture de la PMA aux couples de femmes et aux femmes seules (loi bioéthique du 2 août 2021) ; filiation et GPA : Mennesson (fiche 34).</w:t>
            </w:r>
          </w:p>
        </w:tc>
      </w:tr>
    </w:tbl>
    <w:p>
      <w:pPr>
        <w:spacing w:after="120"/>
      </w:pPr>
    </w:p>
    <w:tbl>
      <w:tblPr>
        <w:tblW w:type="dxa" w:w="15598"/>
        <w:tblBorders>
          <w:top w:val="single" w:color="BFBFBF" w:sz="2"/>
          <w:left w:val="single" w:color="BFBFBF" w:sz="2"/>
          <w:bottom w:val="single" w:color="BFBFBF" w:sz="2"/>
          <w:right w:val="single" w:color="BFBFBF" w:sz="2"/>
          <w:insideH w:val="single" w:color="D9D9D9" w:sz="2"/>
          <w:insideV w:val="single" w:color="BFBFBF" w:sz="2"/>
        </w:tblBorders>
      </w:tblPr>
      <w:tblGrid>
        <w:gridCol w:w="460"/>
        <w:gridCol w:w="2000"/>
        <w:gridCol w:w="700"/>
        <w:gridCol w:w="1150"/>
        <w:gridCol w:w="2050"/>
        <w:gridCol w:w="800"/>
        <w:gridCol w:w="3200"/>
        <w:gridCol w:w="5238"/>
      </w:tblGrid>
      <w:tr>
        <w:tc>
          <w:tcPr>
            <w:gridSpan w:val="8"/>
            <w:tcBorders>
              <w:top w:val="single" w:color="BFBFBF" w:sz="2"/>
              <w:left w:val="single" w:color="BFBFBF" w:sz="2"/>
              <w:bottom w:val="single" w:color="BFBFBF" w:sz="2"/>
              <w:right w:val="single" w:color="BFBFBF" w:sz="2"/>
            </w:tcBorders>
            <w:shd w:fill="FADCE6" w:color="auto" w:val="clear"/>
          </w:tcPr>
          <w:p>
            <w:pPr>
              <w:spacing w:after="20" w:before="50"/>
            </w:pPr>
            <w:r>
              <w:rPr>
                <w:b/>
                <w:bCs/>
                <w:color w:val="C0397B"/>
                <w:sz w:val="21"/>
                <w:szCs w:val="21"/>
              </w:rPr>
              <w:t xml:space="preserve">VI-D — Partie VI-D — Religion, expression, réunion, association</w:t>
            </w:r>
            <w:r>
              <w:rPr>
                <w:b/>
                <w:bCs/>
                <w:color w:val="C0397B"/>
                <w:sz w:val="15"/>
                <w:szCs w:val="15"/>
              </w:rPr>
              <w:t xml:space="preserve">     ■ FUCHSIA · arête latérale · bande 138,9 → 197,8 mm du haut du livre · pas 4,3 mm · 24 onglets</w:t>
            </w:r>
          </w:p>
          <w:p>
            <w:pPr>
              <w:spacing w:after="40"/>
            </w:pPr>
            <w:r>
              <w:rPr>
                <w:i/>
                <w:iCs/>
                <w:color w:val="C0397B"/>
                <w:sz w:val="14"/>
                <w:szCs w:val="14"/>
              </w:rPr>
              <w:t xml:space="preserve">↳ Fiches 36 la liberté de pensée, de conscience et de religion · 37 la liberté d’expression · 38 la liberté de réunion et de manifestation pacifique · 39 la liberté d’association</w:t>
            </w:r>
          </w:p>
        </w:tc>
      </w:tr>
      <w:tr>
        <w:trPr>
          <w:tblHeader/>
        </w:trPr>
        <w:tc>
          <w:tcPr>
            <w:tcW w:type="dxa" w:w="460"/>
            <w:tcBorders>
              <w:top w:val="single" w:color="BFBFBF" w:sz="2"/>
              <w:left w:val="single" w:color="BFBFBF" w:sz="2"/>
              <w:bottom w:val="single" w:color="BFBFBF" w:sz="2"/>
              <w:right w:val="single" w:color="BFBFBF" w:sz="2"/>
            </w:tcBorders>
            <w:shd w:fill="FADCE6" w:color="auto" w:val="clear"/>
          </w:tcPr>
          <w:p>
            <w:pPr>
              <w:spacing w:after="16" w:before="16"/>
            </w:pPr>
            <w:r>
              <w:rPr>
                <w:b/>
                <w:bCs/>
                <w:i w:val="false"/>
                <w:iCs w:val="false"/>
                <w:color w:val="404040"/>
                <w:sz w:val="13"/>
                <w:szCs w:val="13"/>
              </w:rPr>
              <w:t xml:space="preserve">P</w:t>
            </w:r>
          </w:p>
        </w:tc>
        <w:tc>
          <w:tcPr>
            <w:tcW w:type="dxa" w:w="2000"/>
            <w:tcBorders>
              <w:top w:val="single" w:color="BFBFBF" w:sz="2"/>
              <w:left w:val="single" w:color="BFBFBF" w:sz="2"/>
              <w:bottom w:val="single" w:color="BFBFBF" w:sz="2"/>
              <w:right w:val="single" w:color="BFBFBF" w:sz="2"/>
            </w:tcBorders>
            <w:shd w:fill="FADCE6" w:color="auto" w:val="clear"/>
          </w:tcPr>
          <w:p>
            <w:pPr>
              <w:spacing w:after="16" w:before="16"/>
            </w:pPr>
            <w:r>
              <w:rPr>
                <w:b/>
                <w:bCs/>
                <w:i w:val="false"/>
                <w:iCs w:val="false"/>
                <w:color w:val="404040"/>
                <w:sz w:val="13"/>
                <w:szCs w:val="13"/>
              </w:rPr>
              <w:t xml:space="preserve">À écrire sur l’onglet</w:t>
            </w:r>
          </w:p>
        </w:tc>
        <w:tc>
          <w:tcPr>
            <w:tcW w:type="dxa" w:w="700"/>
            <w:tcBorders>
              <w:top w:val="single" w:color="BFBFBF" w:sz="2"/>
              <w:left w:val="single" w:color="BFBFBF" w:sz="2"/>
              <w:bottom w:val="single" w:color="BFBFBF" w:sz="2"/>
              <w:right w:val="single" w:color="BFBFBF" w:sz="2"/>
            </w:tcBorders>
            <w:shd w:fill="FADCE6" w:color="auto" w:val="clear"/>
          </w:tcPr>
          <w:p>
            <w:pPr>
              <w:spacing w:after="16" w:before="16"/>
            </w:pPr>
            <w:r>
              <w:rPr>
                <w:b/>
                <w:bCs/>
                <w:i w:val="false"/>
                <w:iCs w:val="false"/>
                <w:color w:val="404040"/>
                <w:sz w:val="13"/>
                <w:szCs w:val="13"/>
              </w:rPr>
              <w:t xml:space="preserve">N° · p.</w:t>
            </w:r>
          </w:p>
        </w:tc>
        <w:tc>
          <w:tcPr>
            <w:tcW w:type="dxa" w:w="1150"/>
            <w:tcBorders>
              <w:top w:val="single" w:color="BFBFBF" w:sz="2"/>
              <w:left w:val="single" w:color="BFBFBF" w:sz="2"/>
              <w:bottom w:val="single" w:color="BFBFBF" w:sz="2"/>
              <w:right w:val="single" w:color="BFBFBF" w:sz="2"/>
            </w:tcBorders>
            <w:shd w:fill="FADCE6" w:color="auto" w:val="clear"/>
          </w:tcPr>
          <w:p>
            <w:pPr>
              <w:spacing w:after="16" w:before="16"/>
            </w:pPr>
            <w:r>
              <w:rPr>
                <w:b/>
                <w:bCs/>
                <w:i w:val="false"/>
                <w:iCs w:val="false"/>
                <w:color w:val="404040"/>
                <w:sz w:val="13"/>
                <w:szCs w:val="13"/>
              </w:rPr>
              <w:t xml:space="preserve">Position</w:t>
            </w:r>
          </w:p>
        </w:tc>
        <w:tc>
          <w:tcPr>
            <w:tcW w:type="dxa" w:w="2050"/>
            <w:tcBorders>
              <w:top w:val="single" w:color="BFBFBF" w:sz="2"/>
              <w:left w:val="single" w:color="BFBFBF" w:sz="2"/>
              <w:bottom w:val="single" w:color="BFBFBF" w:sz="2"/>
              <w:right w:val="single" w:color="BFBFBF" w:sz="2"/>
            </w:tcBorders>
            <w:shd w:fill="FADCE6" w:color="auto" w:val="clear"/>
          </w:tcPr>
          <w:p>
            <w:pPr>
              <w:spacing w:after="16" w:before="16"/>
            </w:pPr>
            <w:r>
              <w:rPr>
                <w:b/>
                <w:bCs/>
                <w:i w:val="false"/>
                <w:iCs w:val="false"/>
                <w:color w:val="404040"/>
                <w:sz w:val="13"/>
                <w:szCs w:val="13"/>
              </w:rPr>
              <w:t xml:space="preserve">Intitulé</w:t>
            </w:r>
          </w:p>
        </w:tc>
        <w:tc>
          <w:tcPr>
            <w:tcW w:type="dxa" w:w="800"/>
            <w:tcBorders>
              <w:top w:val="single" w:color="BFBFBF" w:sz="2"/>
              <w:left w:val="single" w:color="BFBFBF" w:sz="2"/>
              <w:bottom w:val="single" w:color="BFBFBF" w:sz="2"/>
              <w:right w:val="single" w:color="BFBFBF" w:sz="2"/>
            </w:tcBorders>
            <w:shd w:fill="FADCE6" w:color="auto" w:val="clear"/>
          </w:tcPr>
          <w:p>
            <w:pPr>
              <w:spacing w:after="16" w:before="16"/>
            </w:pPr>
            <w:r>
              <w:rPr>
                <w:b/>
                <w:bCs/>
                <w:i w:val="false"/>
                <w:iCs w:val="false"/>
                <w:color w:val="404040"/>
                <w:sz w:val="13"/>
                <w:szCs w:val="13"/>
              </w:rPr>
              <w:t xml:space="preserve">Fiche(s)</w:t>
            </w:r>
          </w:p>
        </w:tc>
        <w:tc>
          <w:tcPr>
            <w:tcW w:type="dxa" w:w="3200"/>
            <w:tcBorders>
              <w:top w:val="single" w:color="BFBFBF" w:sz="2"/>
              <w:left w:val="single" w:color="BFBFBF" w:sz="2"/>
              <w:bottom w:val="single" w:color="BFBFBF" w:sz="2"/>
              <w:right w:val="single" w:color="BFBFBF" w:sz="2"/>
            </w:tcBorders>
            <w:shd w:fill="FADCE6" w:color="auto" w:val="clear"/>
          </w:tcPr>
          <w:p>
            <w:pPr>
              <w:spacing w:after="16" w:before="16"/>
            </w:pPr>
            <w:r>
              <w:rPr>
                <w:b/>
                <w:bCs/>
                <w:i w:val="false"/>
                <w:iCs w:val="false"/>
                <w:color w:val="404040"/>
                <w:sz w:val="13"/>
                <w:szCs w:val="13"/>
              </w:rPr>
              <w:t xml:space="preserve">Correspondances dans le recueil</w:t>
            </w:r>
          </w:p>
        </w:tc>
        <w:tc>
          <w:tcPr>
            <w:tcW w:type="dxa" w:w="5238"/>
            <w:tcBorders>
              <w:top w:val="single" w:color="BFBFBF" w:sz="2"/>
              <w:left w:val="single" w:color="BFBFBF" w:sz="2"/>
              <w:bottom w:val="single" w:color="BFBFBF" w:sz="2"/>
              <w:right w:val="single" w:color="BFBFBF" w:sz="2"/>
            </w:tcBorders>
            <w:shd w:fill="FADCE6" w:color="auto" w:val="clear"/>
          </w:tcPr>
          <w:p>
            <w:pPr>
              <w:spacing w:after="16" w:before="16"/>
            </w:pPr>
            <w:r>
              <w:rPr>
                <w:b/>
                <w:bCs/>
                <w:i w:val="false"/>
                <w:iCs w:val="false"/>
                <w:color w:val="404040"/>
                <w:sz w:val="13"/>
                <w:szCs w:val="13"/>
              </w:rPr>
              <w:t xml:space="preserve">Réflexe Grand Oral (tes fiches)</w:t>
            </w:r>
          </w:p>
        </w:tc>
      </w:tr>
      <w:tr>
        <w:tc>
          <w:tcPr>
            <w:tcW w:type="dxa" w:w="460"/>
            <w:tcBorders>
              <w:top w:val="single" w:color="BFBFBF" w:sz="2"/>
              <w:left w:val="single" w:color="BFBFBF" w:sz="2"/>
              <w:bottom w:val="single" w:color="BFBFBF" w:sz="2"/>
              <w:right w:val="single" w:color="BFBFBF" w:sz="2"/>
            </w:tcBorders>
            <w:shd w:fill="C0397B"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CEDH art. 9 (36)</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N°4.1 · ≈ p. 34</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397B"/>
                <w:sz w:val="13"/>
                <w:szCs w:val="13"/>
              </w:rPr>
              <w:t xml:space="preserve">laté. 138,9 mm (#1)</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Liberté de pensée, de conscience et de religion</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397B"/>
                <w:sz w:val="13"/>
                <w:szCs w:val="13"/>
              </w:rPr>
              <w:t xml:space="preserve">36</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art. 10 DDHC · loi 1905 (N°75.1) · art. 1er C. (N°77.1) · art. 10 Charte UE · art. 18 PIDCP</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Kokkinakis (1993, fondement de la société démocratique) ; Leyla Şahin (2005) ; S.A.S. c. France (2014, « vivre ensemble », loi 2010 → N°63.3).</w:t>
            </w:r>
          </w:p>
        </w:tc>
      </w:tr>
      <w:tr>
        <w:tc>
          <w:tcPr>
            <w:tcW w:type="dxa" w:w="460"/>
            <w:tcBorders>
              <w:top w:val="single" w:color="BFBFBF" w:sz="2"/>
              <w:left w:val="single" w:color="BFBFBF" w:sz="2"/>
              <w:bottom w:val="single" w:color="BFBFBF" w:sz="2"/>
              <w:right w:val="single" w:color="BFBFBF" w:sz="2"/>
            </w:tcBorders>
            <w:shd w:fill="C0397B"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CEDH art. 10 (37)</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N°4.1 · ≈ p. 35</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397B"/>
                <w:sz w:val="13"/>
                <w:szCs w:val="13"/>
              </w:rPr>
              <w:t xml:space="preserve">laté. 143,2 mm (#2)</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Liberté d’expression</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397B"/>
                <w:sz w:val="13"/>
                <w:szCs w:val="13"/>
              </w:rPr>
              <w:t xml:space="preserve">37</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art. 11 DDHC (N°1) · loi 1881 (N°94.1) · loi 1986 (N°95.1) · art. 11 Charte UE · art. 19 PIDCP · art. 17 CEDH (abus)</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Handyside (1976, idées qui « heurtent, choquent ou inquiètent ») ; Goodwin (1996, secret des sources) ; Perinçek (2015, génocide arménien, art. 10 § 2) — à distinguer de l’effet guillotine de l’art. 17 (Garaudy).</w:t>
            </w:r>
          </w:p>
        </w:tc>
      </w:tr>
      <w:tr>
        <w:tc>
          <w:tcPr>
            <w:tcW w:type="dxa" w:w="460"/>
            <w:tcBorders>
              <w:top w:val="single" w:color="BFBFBF" w:sz="2"/>
              <w:left w:val="single" w:color="BFBFBF" w:sz="2"/>
              <w:bottom w:val="single" w:color="BFBFBF" w:sz="2"/>
              <w:right w:val="single" w:color="BFBFBF" w:sz="2"/>
            </w:tcBorders>
            <w:shd w:fill="C0397B"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CEDH art. 11–12 (38·39·50)</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N°4.1 · ≈ p. 35</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397B"/>
                <w:sz w:val="13"/>
                <w:szCs w:val="13"/>
              </w:rPr>
              <w:t xml:space="preserve">laté. 147,5 mm (#3)</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Liberté de réunion et d’association (art. 11) · droit au mariage (art. 12)</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397B"/>
                <w:sz w:val="13"/>
                <w:szCs w:val="13"/>
              </w:rPr>
              <w:t xml:space="preserve">38 · 39 · 50 · 34</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loi 1901 (N°101) · réunions/manifestations (N°103-105) · syndicat (N°106) · al. 6 Préambule · art. 12 Charte UE · art. 21-22 PIDCP · mariage pour tous (N°69.2)</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Kudrevičius (2015, réunion pacifique) ; Chassagnou c. France (1999, volet négatif) ; Demir et Baykara (2008, négociation collective). Art. 12 : Schalk et Kopf (2010).</w:t>
            </w:r>
          </w:p>
        </w:tc>
      </w:tr>
      <w:tr>
        <w:tc>
          <w:tcPr>
            <w:tcW w:type="dxa" w:w="460"/>
            <w:tcBorders>
              <w:top w:val="single" w:color="BFBFBF" w:sz="2"/>
              <w:left w:val="single" w:color="BFBFBF" w:sz="2"/>
              <w:bottom w:val="single" w:color="BFBFBF" w:sz="2"/>
              <w:right w:val="single" w:color="BFBFBF" w:sz="2"/>
            </w:tcBorders>
            <w:shd w:fill="C0397B"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CHARTE art. 10–13 (36·37·38·39)</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N°17.2 · ≈ p. 176</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397B"/>
                <w:sz w:val="13"/>
                <w:szCs w:val="13"/>
              </w:rPr>
              <w:t xml:space="preserve">laté. 138,9 mm (#1)</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Pensée et religion (10), expression et information (11), réunion et association (12), arts et sciences (13)</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397B"/>
                <w:sz w:val="13"/>
                <w:szCs w:val="13"/>
              </w:rPr>
              <w:t xml:space="preserve">36 · 37 · 38 · 39 · 52</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Conv. EDH art. 9-11 · DDHC art. 10-11 · PIDCP art. 18-22</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Art. 10 : Achbita et WABE (neutralité dans l’entreprise), Egenberger (entreprises de tendance). Art. 11 § 2 : liberté et pluralisme des médias.</w:t>
            </w:r>
          </w:p>
        </w:tc>
      </w:tr>
      <w:tr>
        <w:tc>
          <w:tcPr>
            <w:tcW w:type="dxa" w:w="460"/>
            <w:tcBorders>
              <w:top w:val="single" w:color="BFBFBF" w:sz="2"/>
              <w:left w:val="single" w:color="BFBFBF" w:sz="2"/>
              <w:bottom w:val="single" w:color="BFBFBF" w:sz="2"/>
              <w:right w:val="single" w:color="BFBFBF" w:sz="2"/>
            </w:tcBorders>
            <w:shd w:fill="C0397B"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N°28–29 GÉNOCIDE · CERD (37·54·21)</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N°28 · p. 450</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397B"/>
                <w:sz w:val="13"/>
                <w:szCs w:val="13"/>
              </w:rPr>
              <w:t xml:space="preserve">laté. 138,9 mm (#1)</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Convention sur le génocide (1948) · CERD, élimination de la discrimination raciale (1965, N°29 p. 451)</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397B"/>
                <w:sz w:val="13"/>
                <w:szCs w:val="13"/>
              </w:rPr>
              <w:t xml:space="preserve">37 · 54 · 21 · 31</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Statut de Rome art. 6 (N°37) · C. pén. 211-1 (N°57) · génocide arménien (N°56) · loi 2008-496 (N°59.1)</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Négationnisme : 2012-647 DC, 2016-745 DC, Perinçek (fiche 37). CERD art. 4 : obligation de réprimer l’appel à la haine raciale ; Comité CERD (fiche 21).</w:t>
            </w:r>
          </w:p>
        </w:tc>
      </w:tr>
      <w:tr>
        <w:tc>
          <w:tcPr>
            <w:tcW w:type="dxa" w:w="460"/>
            <w:tcBorders>
              <w:top w:val="single" w:color="BFBFBF" w:sz="2"/>
              <w:left w:val="single" w:color="BFBFBF" w:sz="2"/>
              <w:bottom w:val="single" w:color="BFBFBF" w:sz="2"/>
              <w:right w:val="single" w:color="BFBFBF" w:sz="2"/>
            </w:tcBorders>
            <w:shd w:fill="C0397B"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N°55.1–57 MÉMOIRE &amp; CRIMES CONTRE L’HUMANITÉ (37·29)</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N°55.1 · p. 745</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397B"/>
                <w:sz w:val="13"/>
                <w:szCs w:val="13"/>
              </w:rPr>
              <w:t xml:space="preserve">laté. 138,9 mm (#1)</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Loi Taubira (2001-434) · commémoration de l’abolition (83-550) · génocide arménien (2001-70, N°56) · génocide et crimes contre l’humanité (C. pén. 211-1 s., N°57)</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397B"/>
                <w:sz w:val="13"/>
                <w:szCs w:val="13"/>
              </w:rPr>
              <w:t xml:space="preserve">37 · 29 · 3</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Conv. génocide (N°28) · Statut de Rome (N°37) · Conv. imprescriptibilité (N°8)</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Lois mémorielles : la loi Gayssot est validée (2015-512 QPC), la pénalisation de la contestation des génocides « reconnus par la loi » est censurée (2012-647 DC) ; Perinçek (2015).</w:t>
            </w:r>
          </w:p>
        </w:tc>
      </w:tr>
      <w:tr>
        <w:tc>
          <w:tcPr>
            <w:tcW w:type="dxa" w:w="460"/>
            <w:tcBorders>
              <w:top w:val="single" w:color="BFBFBF" w:sz="2"/>
              <w:left w:val="single" w:color="BFBFBF" w:sz="2"/>
              <w:bottom w:val="single" w:color="BFBFBF" w:sz="2"/>
              <w:right w:val="single" w:color="BFBFBF" w:sz="2"/>
            </w:tcBorders>
            <w:shd w:fill="C0397B"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N°63.3 DISSIMULATION DU VISAGE (36·6)</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N°63.3 · p. 788</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397B"/>
                <w:sz w:val="13"/>
                <w:szCs w:val="13"/>
              </w:rPr>
              <w:t xml:space="preserve">laté. 143,2 mm (#2)</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Interdiction de la dissimulation du visage dans l’espace public — loi n° 2010-1192 · C. pén. 225-4-10</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397B"/>
                <w:sz w:val="13"/>
                <w:szCs w:val="13"/>
              </w:rPr>
              <w:t xml:space="preserve">36 · 6 · 11 · 21</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art. 9 CEDH · art. 18 PIDCP · Charte UE art. 10</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2010-613 DC (exigences minimales de la vie en société, réserve des lieux de culte) ; S.A.S. c. France (2014, « vivre ensemble ») ; Comité des droits de l’homme, Hebbadj et Yaker (2018), en sens contraire.</w:t>
            </w:r>
          </w:p>
        </w:tc>
      </w:tr>
      <w:tr>
        <w:tc>
          <w:tcPr>
            <w:tcW w:type="dxa" w:w="460"/>
            <w:tcBorders>
              <w:top w:val="single" w:color="BFBFBF" w:sz="2"/>
              <w:left w:val="single" w:color="BFBFBF" w:sz="2"/>
              <w:bottom w:val="single" w:color="BFBFBF" w:sz="2"/>
              <w:right w:val="single" w:color="BFBFBF" w:sz="2"/>
            </w:tcBorders>
            <w:shd w:fill="C0397B"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N°75.1 LOI 1905 art. 1–2 (36)</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N°75.1 · p. 941</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397B"/>
                <w:sz w:val="13"/>
                <w:szCs w:val="13"/>
              </w:rPr>
              <w:t xml:space="preserve">laté. 138,9 mm (#1)</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Loi du 9 décembre 1905 : liberté de conscience et libre exercice des cultes (art. 1er), non-reconnaissance et non-subventionnement (art. 2)</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397B"/>
                <w:sz w:val="13"/>
                <w:szCs w:val="13"/>
              </w:rPr>
              <w:t xml:space="preserve">36 · 41 · 9</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art. 10 DDHC · art. 1er C. (N°77.1) · art. 9 CEDH · Charte UE art. 10 · art. 18 PIDCP</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2012-297 QPC (APPEL) : les quatre composantes de la laïcité ; Kokkinakis (1993). Loi du 24 août 2021 (principes de la République) : 2021-823 DC.</w:t>
            </w:r>
          </w:p>
        </w:tc>
      </w:tr>
      <w:tr>
        <w:tc>
          <w:tcPr>
            <w:tcW w:type="dxa" w:w="460"/>
            <w:tcBorders>
              <w:top w:val="single" w:color="BFBFBF" w:sz="2"/>
              <w:left w:val="single" w:color="BFBFBF" w:sz="2"/>
              <w:bottom w:val="single" w:color="BFBFBF" w:sz="2"/>
              <w:right w:val="single" w:color="BFBFBF" w:sz="2"/>
            </w:tcBorders>
            <w:shd w:fill="C0397B"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LOI 1905 art. 25–36 (36)</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N°75.1 · ≈ p. 949</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397B"/>
                <w:sz w:val="13"/>
                <w:szCs w:val="13"/>
              </w:rPr>
              <w:t xml:space="preserve">laté. 143,2 mm (#2)</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Police des cultes : réunions cultuelles, signes et emblèmes religieux sur les emplacements publics (art. 28), délits</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397B"/>
                <w:sz w:val="13"/>
                <w:szCs w:val="13"/>
              </w:rPr>
              <w:t xml:space="preserve">36 · 6</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loi 1907 (N°75.2) · art. 9 CEDH</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Art. 28 : crèches de Noël admises si elles présentent un caractère culturel, artistique ou festif, sans revendication religieuse (CE Ass., 9 novembre 2016, Fédération de la libre pensée de Vendée).</w:t>
            </w:r>
          </w:p>
        </w:tc>
      </w:tr>
      <w:tr>
        <w:tc>
          <w:tcPr>
            <w:tcW w:type="dxa" w:w="460"/>
            <w:tcBorders>
              <w:top w:val="single" w:color="BFBFBF" w:sz="2"/>
              <w:left w:val="single" w:color="BFBFBF" w:sz="2"/>
              <w:bottom w:val="single" w:color="BFBFBF" w:sz="2"/>
              <w:right w:val="single" w:color="BFBFBF" w:sz="2"/>
            </w:tcBorders>
            <w:shd w:fill="F2F2F2" w:color="auto" w:val="clear"/>
          </w:tcPr>
          <w:p>
            <w:pPr>
              <w:spacing w:after="16" w:before="16"/>
              <w:jc w:val="center"/>
            </w:pPr>
            <w:r>
              <w:rPr>
                <w:b/>
                <w:bCs/>
                <w:i w:val="false"/>
                <w:iCs w:val="false"/>
                <w:color w:val="808080"/>
                <w:sz w:val="16"/>
                <w:szCs w:val="16"/>
              </w:rPr>
              <w:t xml:space="preserve">2</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N°75.2–76.2 CULTES &amp; DÉRIVES SECTAIRES (36·55)</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N°75.2 · p. 956</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397B"/>
                <w:sz w:val="13"/>
                <w:szCs w:val="13"/>
              </w:rPr>
              <w:t xml:space="preserve">laté. 147,5 mm (#3)</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Exercice des cultes (loi du 2 janvier 1907) · dérives sectaires (loi About-Picard 2001-504, C. pén. 223-15-2 s., N°76.1 p. 958) · MIVILUDES (N°76.2)</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397B"/>
                <w:sz w:val="13"/>
                <w:szCs w:val="13"/>
              </w:rPr>
              <w:t xml:space="preserve">36 · 55</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art. 9 CEDH · vulnérabilité (fiche 55)</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Abus frauduleux de l’état d’ignorance ou de faiblesse (art. 223-15-2 C. pén.) : protection des personnes vulnérables sans atteinte à la liberté religieuse.</w:t>
            </w:r>
          </w:p>
        </w:tc>
      </w:tr>
      <w:tr>
        <w:tc>
          <w:tcPr>
            <w:tcW w:type="dxa" w:w="460"/>
            <w:tcBorders>
              <w:top w:val="single" w:color="BFBFBF" w:sz="2"/>
              <w:left w:val="single" w:color="BFBFBF" w:sz="2"/>
              <w:bottom w:val="single" w:color="BFBFBF" w:sz="2"/>
              <w:right w:val="single" w:color="BFBFBF" w:sz="2"/>
            </w:tcBorders>
            <w:shd w:fill="C0397B"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N°77.1–77.3 LAÏCITÉ (36·41)</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N°77.1 · p. 962</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397B"/>
                <w:sz w:val="13"/>
                <w:szCs w:val="13"/>
              </w:rPr>
              <w:t xml:space="preserve">laté. 151,8 mm (#4)</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Caractère laïc de la République (art. 1er C.) · laïcité de l’enseignement public, C. éduc. L.141-1 s. (N°77.2) · comité interministériel (N°77.3)</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397B"/>
                <w:sz w:val="13"/>
                <w:szCs w:val="13"/>
              </w:rPr>
              <w:t xml:space="preserve">36 · 41 · 47</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art. 1er C. (N°3.1) · loi 1905 (N°75.1) · art. 9 CEDH · Prot. 1 art. 2</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Loi du 15 mars 2004 sur les signes religieux à l’école ; Dogru c. France (2008) ; abaya et qamis : CE, ord., 7 septembre 2023, Action droits des musulmans. 2012-297 QPC.</w:t>
            </w:r>
          </w:p>
        </w:tc>
      </w:tr>
      <w:tr>
        <w:tc>
          <w:tcPr>
            <w:tcW w:type="dxa" w:w="460"/>
            <w:tcBorders>
              <w:top w:val="single" w:color="BFBFBF" w:sz="2"/>
              <w:left w:val="single" w:color="BFBFBF" w:sz="2"/>
              <w:bottom w:val="single" w:color="BFBFBF" w:sz="2"/>
              <w:right w:val="single" w:color="BFBFBF" w:sz="2"/>
            </w:tcBorders>
            <w:shd w:fill="C0397B"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N°94.1 LOI 1881 art. 1–22 (37)</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N°94.1 · p. 1039</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397B"/>
                <w:sz w:val="13"/>
                <w:szCs w:val="13"/>
              </w:rPr>
              <w:t xml:space="preserve">laté. 156,1 mm (#5)</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Loi du 29 juillet 1881 : imprimerie et librairie libres (art. 1er), publications de presse, droit de réponse (art. 13)</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397B"/>
                <w:sz w:val="13"/>
                <w:szCs w:val="13"/>
              </w:rPr>
              <w:t xml:space="preserve">37 · 33</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art. 11 DDHC (N°1) · art. 10 CEDH (N°4.1) · Charte UE art. 11 · PIDCP art. 19</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Liberté de la presse, « garantie essentielle » des autres droits (84-181 DC) ; la presse, « chien de garde » de la démocratie (Goodwin, 1996).</w:t>
            </w:r>
          </w:p>
        </w:tc>
      </w:tr>
      <w:tr>
        <w:tc>
          <w:tcPr>
            <w:tcW w:type="dxa" w:w="460"/>
            <w:tcBorders>
              <w:top w:val="single" w:color="BFBFBF" w:sz="2"/>
              <w:left w:val="single" w:color="BFBFBF" w:sz="2"/>
              <w:bottom w:val="single" w:color="BFBFBF" w:sz="2"/>
              <w:right w:val="single" w:color="BFBFBF" w:sz="2"/>
            </w:tcBorders>
            <w:shd w:fill="C0397B"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LOI 1881 art. 23–28 (37·54)</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N°94.1 · ≈ p. 1042</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397B"/>
                <w:sz w:val="13"/>
                <w:szCs w:val="13"/>
              </w:rPr>
              <w:t xml:space="preserve">laté. 160,4 mm (#6)</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Provocation aux crimes et délits, apologie, provocation à la haine ou à la discrimination (art. 24), négationnisme (art. 24 bis)</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397B"/>
                <w:sz w:val="13"/>
                <w:szCs w:val="13"/>
              </w:rPr>
              <w:t xml:space="preserve">37 · 54 · 7</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art. 17 CEDH (abus) · art. 20 PIDCP · CERD art. 4 (N°29)</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Loi Gayssot validée (2015-512 QPC) ; contestation des génocides « reconnus par la loi » censurée (2012-647 DC) ; effet guillotine de l’art. 17 CEDH : M’Bala M’Bala (2015).</w:t>
            </w:r>
          </w:p>
        </w:tc>
      </w:tr>
      <w:tr>
        <w:tc>
          <w:tcPr>
            <w:tcW w:type="dxa" w:w="460"/>
            <w:tcBorders>
              <w:top w:val="single" w:color="BFBFBF" w:sz="2"/>
              <w:left w:val="single" w:color="BFBFBF" w:sz="2"/>
              <w:bottom w:val="single" w:color="BFBFBF" w:sz="2"/>
              <w:right w:val="single" w:color="BFBFBF" w:sz="2"/>
            </w:tcBorders>
            <w:shd w:fill="C0397B"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LOI 1881 art. 29–41 (37·33)</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N°94.1 · ≈ p. 1046</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397B"/>
                <w:sz w:val="13"/>
                <w:szCs w:val="13"/>
              </w:rPr>
              <w:t xml:space="preserve">laté. 164,7 mm (#7)</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Diffamation et injure (art. 29 s.), exceptio veritatis et bonne foi, immunités (art. 41)</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397B"/>
                <w:sz w:val="13"/>
                <w:szCs w:val="13"/>
              </w:rPr>
              <w:t xml:space="preserve">37 · 33 · 32</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art. 9 C. civ. (N°69.1) · art. 8 et 10 CEDH</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Lingens c. Autriche (1986) : limites de la critique admissible plus larges pour un homme politique ; liberté d’expression de l’avocat : Morice c. France (2015) ; Cass. ass. plén., 25 octobre 2019 : la dignité n’est pas un fondement autonome de restriction.</w:t>
            </w:r>
          </w:p>
        </w:tc>
      </w:tr>
      <w:tr>
        <w:tc>
          <w:tcPr>
            <w:tcW w:type="dxa" w:w="460"/>
            <w:tcBorders>
              <w:top w:val="single" w:color="BFBFBF" w:sz="2"/>
              <w:left w:val="single" w:color="BFBFBF" w:sz="2"/>
              <w:bottom w:val="single" w:color="BFBFBF" w:sz="2"/>
              <w:right w:val="single" w:color="BFBFBF" w:sz="2"/>
            </w:tcBorders>
            <w:shd w:fill="F2F2F2" w:color="auto" w:val="clear"/>
          </w:tcPr>
          <w:p>
            <w:pPr>
              <w:spacing w:after="16" w:before="16"/>
              <w:jc w:val="center"/>
            </w:pPr>
            <w:r>
              <w:rPr>
                <w:b/>
                <w:bCs/>
                <w:i w:val="false"/>
                <w:iCs w:val="false"/>
                <w:color w:val="808080"/>
                <w:sz w:val="16"/>
                <w:szCs w:val="16"/>
              </w:rPr>
              <w:t xml:space="preserve">2</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LOI 1881 art. 42–65 (37·32)</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N°94.1 · ≈ p. 1050</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397B"/>
                <w:sz w:val="13"/>
                <w:szCs w:val="13"/>
              </w:rPr>
              <w:t xml:space="preserve">laté. 169 mm (#8)</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Responsabilité en cascade (art. 42), procédure, prescription de trois mois (art. 65)</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397B"/>
                <w:sz w:val="13"/>
                <w:szCs w:val="13"/>
              </w:rPr>
              <w:t xml:space="preserve">37 · 32</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art. 6 CEDH</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Prescription abrégée, garantie procédurale propre au droit de la presse.</w:t>
            </w:r>
          </w:p>
        </w:tc>
      </w:tr>
      <w:tr>
        <w:tc>
          <w:tcPr>
            <w:tcW w:type="dxa" w:w="460"/>
            <w:tcBorders>
              <w:top w:val="single" w:color="BFBFBF" w:sz="2"/>
              <w:left w:val="single" w:color="BFBFBF" w:sz="2"/>
              <w:bottom w:val="single" w:color="BFBFBF" w:sz="2"/>
              <w:right w:val="single" w:color="BFBFBF" w:sz="2"/>
            </w:tcBorders>
            <w:shd w:fill="F2F2F2" w:color="auto" w:val="clear"/>
          </w:tcPr>
          <w:p>
            <w:pPr>
              <w:spacing w:after="16" w:before="16"/>
              <w:jc w:val="center"/>
            </w:pPr>
            <w:r>
              <w:rPr>
                <w:b/>
                <w:bCs/>
                <w:i w:val="false"/>
                <w:iCs w:val="false"/>
                <w:color w:val="808080"/>
                <w:sz w:val="16"/>
                <w:szCs w:val="16"/>
              </w:rPr>
              <w:t xml:space="preserve">2</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N°94.2–94.3 PRESSE : JEUNESSE &amp; PLURALISME (37)</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N°94.2 · p. 1055</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397B"/>
                <w:sz w:val="13"/>
                <w:szCs w:val="13"/>
              </w:rPr>
              <w:t xml:space="preserve">laté. 173,3 mm (#9)</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Publications destinées à la jeunesse (loi 49-956) · régime juridique de la presse (loi 86-897, N°94.3 p. 1057)</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397B"/>
                <w:sz w:val="13"/>
                <w:szCs w:val="13"/>
              </w:rPr>
              <w:t xml:space="preserve">37 · 16</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art. 11 DDHC · loi 1986 (N°95.1)</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Pluralisme des quotidiens d’information politique et générale, objectif de valeur constitutionnelle (84-181 DC).</w:t>
            </w:r>
          </w:p>
        </w:tc>
      </w:tr>
      <w:tr>
        <w:tc>
          <w:tcPr>
            <w:tcW w:type="dxa" w:w="460"/>
            <w:tcBorders>
              <w:top w:val="single" w:color="BFBFBF" w:sz="2"/>
              <w:left w:val="single" w:color="BFBFBF" w:sz="2"/>
              <w:bottom w:val="single" w:color="BFBFBF" w:sz="2"/>
              <w:right w:val="single" w:color="BFBFBF" w:sz="2"/>
            </w:tcBorders>
            <w:shd w:fill="C0397B"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N°95.1 LOI 1986 art. 1–20 (37·20)</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N°95.1 · p. 1059</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397B"/>
                <w:sz w:val="13"/>
                <w:szCs w:val="13"/>
              </w:rPr>
              <w:t xml:space="preserve">laté. 177,6 mm (#10)</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Loi n° 86-1067 du 30 septembre 1986 : liberté de communication (art. 1er), ARCOM, pluralisme et honnêteté de l’information</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397B"/>
                <w:sz w:val="13"/>
                <w:szCs w:val="13"/>
              </w:rPr>
              <w:t xml:space="preserve">37 · 20 · 11</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art. 11 DDHC · art. 10 § 1 CEDH (régime d’autorisation) · Charte UE art. 11 § 2</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OVC de pluralisme (82-141 DC) ; effet cliquet (86-217 DC, fiche 10) ; non-renouvellement des fréquences de C8 et NRJ12 validé (CE, 19 février 2025, fiche 20).</w:t>
            </w:r>
          </w:p>
        </w:tc>
      </w:tr>
      <w:tr>
        <w:tc>
          <w:tcPr>
            <w:tcW w:type="dxa" w:w="460"/>
            <w:tcBorders>
              <w:top w:val="single" w:color="BFBFBF" w:sz="2"/>
              <w:left w:val="single" w:color="BFBFBF" w:sz="2"/>
              <w:bottom w:val="single" w:color="BFBFBF" w:sz="2"/>
              <w:right w:val="single" w:color="BFBFBF" w:sz="2"/>
            </w:tcBorders>
            <w:shd w:fill="C0397B"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N°95.2–96 RÉPONSE &amp; COMM. ÉLECTRONIQUES (37·35)</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N°95.2 · p. 1135</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397B"/>
                <w:sz w:val="13"/>
                <w:szCs w:val="13"/>
              </w:rPr>
              <w:t xml:space="preserve">laté. 138,9 mm (#1)</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Droit de réponse audiovisuel (loi 82-652, art. 6) · communications électroniques, vie privée des utilisateurs, service universel (CPCE L.32 s., L.34-1 s., N°96 p. 1136)</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397B"/>
                <w:sz w:val="13"/>
                <w:szCs w:val="13"/>
              </w:rPr>
              <w:t xml:space="preserve">37 · 35 · 33</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RGPD (N°22) · Charte UE art. 7-8 · loi 1978 (N°73.1)</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Accès à internet, composante de la liberté de communication (2009-580 DC, Hadopi) ; conservation des données de connexion (art. L.34-1) : La Quadrature du Net (2020), French Data Network (2021).</w:t>
            </w:r>
          </w:p>
        </w:tc>
      </w:tr>
      <w:tr>
        <w:tc>
          <w:tcPr>
            <w:tcW w:type="dxa" w:w="460"/>
            <w:tcBorders>
              <w:top w:val="single" w:color="BFBFBF" w:sz="2"/>
              <w:left w:val="single" w:color="BFBFBF" w:sz="2"/>
              <w:bottom w:val="single" w:color="BFBFBF" w:sz="2"/>
              <w:right w:val="single" w:color="BFBFBF" w:sz="2"/>
            </w:tcBorders>
            <w:shd w:fill="C0397B"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N°97–99 SPECTACLES &amp; CINÉMA (37·6)</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N°97 · p. 1154</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397B"/>
                <w:sz w:val="13"/>
                <w:szCs w:val="13"/>
              </w:rPr>
              <w:t xml:space="preserve">laté. 143,2 mm (#2)</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Spectacles (ord. 45-2339) · code du cinéma, visas (N°98 p. 1155) · accès des mineurs à certains établissements (ord. 59-28, N°99)</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397B"/>
                <w:sz w:val="13"/>
                <w:szCs w:val="13"/>
              </w:rPr>
              <w:t xml:space="preserve">37 · 6</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art. 10 CEDH · art. 11 DDHC</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Police des spectacles : Films Lutetia (1959, moralité publique et circonstances locales) ; Dieudonné (CE, ord., 9 janvier 2014 : dignité et ordre public), à opposer à Cass. ass. plén. 2019 (fiche 37).</w:t>
            </w:r>
          </w:p>
        </w:tc>
      </w:tr>
      <w:tr>
        <w:tc>
          <w:tcPr>
            <w:tcW w:type="dxa" w:w="460"/>
            <w:tcBorders>
              <w:top w:val="single" w:color="BFBFBF" w:sz="2"/>
              <w:left w:val="single" w:color="BFBFBF" w:sz="2"/>
              <w:bottom w:val="single" w:color="BFBFBF" w:sz="2"/>
              <w:right w:val="single" w:color="BFBFBF" w:sz="2"/>
            </w:tcBorders>
            <w:shd w:fill="C0397B"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N°101 LOI 1901 (39)</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N°101 · p. 1165</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397B"/>
                <w:sz w:val="13"/>
                <w:szCs w:val="13"/>
              </w:rPr>
              <w:t xml:space="preserve">laté. 147,5 mm (#3)</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Loi du 1er juillet 1901 relative au contrat d’association : liberté de constitution (art. 2), déclaration (art. 5), dissolution judiciaire (art. 7)</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397B"/>
                <w:sz w:val="13"/>
                <w:szCs w:val="13"/>
              </w:rPr>
              <w:t xml:space="preserve">39 · 9 · 41</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art. 11 CEDH · art. 22 PIDCP · art. 20 DUDH · Charte UE art. 12</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PFRLR, pas de contrôle préalable : 71-44 DC ; CE Ass., Amicale des Annamites de Paris (1956) ; volet négatif : Chassagnou c. France (1999).</w:t>
            </w:r>
          </w:p>
        </w:tc>
      </w:tr>
      <w:tr>
        <w:tc>
          <w:tcPr>
            <w:tcW w:type="dxa" w:w="460"/>
            <w:tcBorders>
              <w:top w:val="single" w:color="BFBFBF" w:sz="2"/>
              <w:left w:val="single" w:color="BFBFBF" w:sz="2"/>
              <w:bottom w:val="single" w:color="BFBFBF" w:sz="2"/>
              <w:right w:val="single" w:color="BFBFBF" w:sz="2"/>
            </w:tcBorders>
            <w:shd w:fill="C0397B"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N°102 DISSOLUTION ADMINISTRATIVE (39)</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N°102 · p. 1170</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397B"/>
                <w:sz w:val="13"/>
                <w:szCs w:val="13"/>
              </w:rPr>
              <w:t xml:space="preserve">laté. 151,8 mm (#4)</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Dissolution de groupements et associations — CSI L.212-1 · reconstitution, C. pén. 431-13 s.</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397B"/>
                <w:sz w:val="13"/>
                <w:szCs w:val="13"/>
              </w:rPr>
              <w:t xml:space="preserve">39 · 7 · 44</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art. 11 CEDH · art. 17 CEDH</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CE Sect., 9 novembre 2023, Les Soulèvements de la Terre : dissolution adaptée, nécessaire et proportionnée à la gravité des troubles ; motifs élargis par la loi du 24 août 2021.</w:t>
            </w:r>
          </w:p>
        </w:tc>
      </w:tr>
      <w:tr>
        <w:tc>
          <w:tcPr>
            <w:tcW w:type="dxa" w:w="460"/>
            <w:tcBorders>
              <w:top w:val="single" w:color="BFBFBF" w:sz="2"/>
              <w:left w:val="single" w:color="BFBFBF" w:sz="2"/>
              <w:bottom w:val="single" w:color="BFBFBF" w:sz="2"/>
              <w:right w:val="single" w:color="BFBFBF" w:sz="2"/>
            </w:tcBorders>
            <w:shd w:fill="C0397B"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N°103.1–103.2 RÉUNIONS PUBLIQUES (38)</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N°103.1 · p. 1172</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397B"/>
                <w:sz w:val="13"/>
                <w:szCs w:val="13"/>
              </w:rPr>
              <w:t xml:space="preserve">laté. 181,9 mm (#11)</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Loi du 30 juin 1881 sur les réunions publiques · loi du 28 mars 1907 (N°103.2 p. 1173)</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397B"/>
                <w:sz w:val="13"/>
                <w:szCs w:val="13"/>
              </w:rPr>
              <w:t xml:space="preserve">38 · 6</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art. 11 CEDH · art. 21 PIDCP · Charte UE art. 12</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CE, 19 mai 1933, Benjamin : l’interdiction n’est légale que si aucune mesure moins contraignante ne suffit.</w:t>
            </w:r>
          </w:p>
        </w:tc>
      </w:tr>
      <w:tr>
        <w:tc>
          <w:tcPr>
            <w:tcW w:type="dxa" w:w="460"/>
            <w:tcBorders>
              <w:top w:val="single" w:color="BFBFBF" w:sz="2"/>
              <w:left w:val="single" w:color="BFBFBF" w:sz="2"/>
              <w:bottom w:val="single" w:color="BFBFBF" w:sz="2"/>
              <w:right w:val="single" w:color="BFBFBF" w:sz="2"/>
            </w:tcBorders>
            <w:shd w:fill="FFD24A" w:color="auto" w:val="clear"/>
          </w:tcPr>
          <w:p>
            <w:pPr>
              <w:spacing w:after="16" w:before="16"/>
              <w:jc w:val="center"/>
            </w:pPr>
            <w:r>
              <w:rPr>
                <w:b/>
                <w:bCs/>
                <w:i w:val="false"/>
                <w:iCs w:val="false"/>
                <w:color w:val="6B4E00"/>
                <w:sz w:val="16"/>
                <w:szCs w:val="16"/>
              </w:rPr>
              <w:t xml:space="preserve">★</w:t>
            </w:r>
          </w:p>
        </w:tc>
        <w:tc>
          <w:tcPr>
            <w:tcW w:type="dxa" w:w="2000"/>
            <w:tcBorders>
              <w:top w:val="single" w:color="BFBFBF" w:sz="2"/>
              <w:left w:val="single" w:color="BFBFBF" w:sz="2"/>
              <w:bottom w:val="single" w:color="BFBFBF" w:sz="2"/>
              <w:right w:val="single" w:color="BFBFBF" w:sz="2"/>
            </w:tcBorders>
            <w:shd w:fill="FFF6DC" w:color="auto" w:val="clear"/>
          </w:tcPr>
          <w:p>
            <w:pPr>
              <w:spacing w:after="16" w:before="16"/>
            </w:pPr>
            <w:r>
              <w:rPr>
                <w:b/>
                <w:bCs/>
                <w:i w:val="false"/>
                <w:iCs w:val="false"/>
                <w:color w:val="1F1F1F"/>
                <w:sz w:val="14"/>
                <w:szCs w:val="14"/>
              </w:rPr>
              <w:t xml:space="preserve">N°104 MANIFESTATIONS (38·6)  ★</w:t>
            </w:r>
          </w:p>
        </w:tc>
        <w:tc>
          <w:tcPr>
            <w:tcW w:type="dxa" w:w="70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595959"/>
                <w:sz w:val="12"/>
                <w:szCs w:val="12"/>
              </w:rPr>
              <w:t xml:space="preserve">N°104 · p. 1173</w:t>
            </w:r>
          </w:p>
        </w:tc>
        <w:tc>
          <w:tcPr>
            <w:tcW w:type="dxa" w:w="1150"/>
            <w:tcBorders>
              <w:top w:val="single" w:color="BFBFBF" w:sz="2"/>
              <w:left w:val="single" w:color="BFBFBF" w:sz="2"/>
              <w:bottom w:val="single" w:color="BFBFBF" w:sz="2"/>
              <w:right w:val="single" w:color="BFBFBF" w:sz="2"/>
            </w:tcBorders>
            <w:shd w:fill="FFF6DC" w:color="auto" w:val="clear"/>
          </w:tcPr>
          <w:p>
            <w:pPr>
              <w:spacing w:after="16" w:before="16"/>
              <w:jc w:val="center"/>
            </w:pPr>
            <w:r>
              <w:rPr>
                <w:b/>
                <w:bCs/>
                <w:i w:val="false"/>
                <w:iCs w:val="false"/>
                <w:color w:val="C0397B"/>
                <w:sz w:val="13"/>
                <w:szCs w:val="13"/>
              </w:rPr>
              <w:t xml:space="preserve">laté. 186,2 mm (#12)</w:t>
            </w:r>
          </w:p>
        </w:tc>
        <w:tc>
          <w:tcPr>
            <w:tcW w:type="dxa" w:w="205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333333"/>
                <w:sz w:val="13"/>
                <w:szCs w:val="13"/>
              </w:rPr>
              <w:t xml:space="preserve">Manifestations sur la voie publique et rassemblements festifs à caractère musical — CSI (L.211-1 s.)</w:t>
            </w:r>
          </w:p>
        </w:tc>
        <w:tc>
          <w:tcPr>
            <w:tcW w:type="dxa" w:w="800"/>
            <w:tcBorders>
              <w:top w:val="single" w:color="BFBFBF" w:sz="2"/>
              <w:left w:val="single" w:color="BFBFBF" w:sz="2"/>
              <w:bottom w:val="single" w:color="BFBFBF" w:sz="2"/>
              <w:right w:val="single" w:color="BFBFBF" w:sz="2"/>
            </w:tcBorders>
            <w:shd w:fill="FFF6DC" w:color="auto" w:val="clear"/>
          </w:tcPr>
          <w:p>
            <w:pPr>
              <w:spacing w:after="16" w:before="16"/>
              <w:jc w:val="center"/>
            </w:pPr>
            <w:r>
              <w:rPr>
                <w:b/>
                <w:bCs/>
                <w:i w:val="false"/>
                <w:iCs w:val="false"/>
                <w:color w:val="C0397B"/>
                <w:sz w:val="13"/>
                <w:szCs w:val="13"/>
              </w:rPr>
              <w:t xml:space="preserve">38 · 6 · 11 · 7</w:t>
            </w:r>
          </w:p>
        </w:tc>
        <w:tc>
          <w:tcPr>
            <w:tcW w:type="dxa" w:w="320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333333"/>
                <w:sz w:val="12"/>
                <w:szCs w:val="12"/>
              </w:rPr>
              <w:t xml:space="preserve">art. 11 CEDH · Charte UE art. 12 · art. 21 PIDCP · attroupements (N°105)</w:t>
            </w:r>
          </w:p>
        </w:tc>
        <w:tc>
          <w:tcPr>
            <w:tcW w:type="dxa" w:w="5238"/>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333333"/>
                <w:sz w:val="12"/>
                <w:szCs w:val="12"/>
              </w:rPr>
              <w:t xml:space="preserve">Droit d’expression collective des idées (94-352 DC) ; interdiction administrative individuelle de manifester censurée (2019-780 DC, loi anticasseurs) ; Kudrevičius (2015) ; l’interdiction d’une manifestation déclarée, mesure de dernier recours (CE, ord., 20 juin 2026, fiche 6).</w:t>
            </w:r>
          </w:p>
        </w:tc>
      </w:tr>
      <w:tr>
        <w:tc>
          <w:tcPr>
            <w:tcW w:type="dxa" w:w="460"/>
            <w:tcBorders>
              <w:top w:val="single" w:color="BFBFBF" w:sz="2"/>
              <w:left w:val="single" w:color="BFBFBF" w:sz="2"/>
              <w:bottom w:val="single" w:color="BFBFBF" w:sz="2"/>
              <w:right w:val="single" w:color="BFBFBF" w:sz="2"/>
            </w:tcBorders>
            <w:shd w:fill="F2F2F2" w:color="auto" w:val="clear"/>
          </w:tcPr>
          <w:p>
            <w:pPr>
              <w:spacing w:after="16" w:before="16"/>
              <w:jc w:val="center"/>
            </w:pPr>
            <w:r>
              <w:rPr>
                <w:b/>
                <w:bCs/>
                <w:i w:val="false"/>
                <w:iCs w:val="false"/>
                <w:color w:val="808080"/>
                <w:sz w:val="16"/>
                <w:szCs w:val="16"/>
              </w:rPr>
              <w:t xml:space="preserve">2</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N°105 ATTROUPEMENTS (38)</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N°105 · p. 1177</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397B"/>
                <w:sz w:val="13"/>
                <w:szCs w:val="13"/>
              </w:rPr>
              <w:t xml:space="preserve">laté. 156,1 mm (#5)</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Attroupements et manifestations illicites — C. pén. 431-1 à 431-12</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C0397B"/>
                <w:sz w:val="13"/>
                <w:szCs w:val="13"/>
              </w:rPr>
              <w:t xml:space="preserve">38 · 37</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art. 11 CEDH</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Répression de l’entrave à la liberté de manifestation (art. 431-1) et de la participation à un attroupement après sommation.</w:t>
            </w:r>
          </w:p>
        </w:tc>
      </w:tr>
    </w:tbl>
    <w:p>
      <w:pPr>
        <w:spacing w:after="120"/>
      </w:pPr>
    </w:p>
    <w:tbl>
      <w:tblPr>
        <w:tblW w:type="dxa" w:w="15598"/>
        <w:tblBorders>
          <w:top w:val="single" w:color="BFBFBF" w:sz="2"/>
          <w:left w:val="single" w:color="BFBFBF" w:sz="2"/>
          <w:bottom w:val="single" w:color="BFBFBF" w:sz="2"/>
          <w:right w:val="single" w:color="BFBFBF" w:sz="2"/>
          <w:insideH w:val="single" w:color="D9D9D9" w:sz="2"/>
          <w:insideV w:val="single" w:color="BFBFBF" w:sz="2"/>
        </w:tblBorders>
      </w:tblPr>
      <w:tblGrid>
        <w:gridCol w:w="460"/>
        <w:gridCol w:w="2000"/>
        <w:gridCol w:w="700"/>
        <w:gridCol w:w="1150"/>
        <w:gridCol w:w="2050"/>
        <w:gridCol w:w="800"/>
        <w:gridCol w:w="3200"/>
        <w:gridCol w:w="5238"/>
      </w:tblGrid>
      <w:tr>
        <w:tc>
          <w:tcPr>
            <w:gridSpan w:val="8"/>
            <w:tcBorders>
              <w:top w:val="single" w:color="BFBFBF" w:sz="2"/>
              <w:left w:val="single" w:color="BFBFBF" w:sz="2"/>
              <w:bottom w:val="single" w:color="BFBFBF" w:sz="2"/>
              <w:right w:val="single" w:color="BFBFBF" w:sz="2"/>
            </w:tcBorders>
            <w:shd w:fill="FFF2CC" w:color="auto" w:val="clear"/>
          </w:tcPr>
          <w:p>
            <w:pPr>
              <w:spacing w:after="20" w:before="50"/>
            </w:pPr>
            <w:r>
              <w:rPr>
                <w:b/>
                <w:bCs/>
                <w:color w:val="BF9000"/>
                <w:sz w:val="21"/>
                <w:szCs w:val="21"/>
              </w:rPr>
              <w:t xml:space="preserve">VI-E — Partie VI-E — Circulation, enseignement, élections, éloignement, peuples</w:t>
            </w:r>
            <w:r>
              <w:rPr>
                <w:b/>
                <w:bCs/>
                <w:color w:val="BF9000"/>
                <w:sz w:val="15"/>
                <w:szCs w:val="15"/>
              </w:rPr>
              <w:t xml:space="preserve">     ■ JAUNE · arête latérale · bande 197,8 → 232 mm du haut du livre · pas 4,4 mm · 19 onglets</w:t>
            </w:r>
          </w:p>
          <w:p>
            <w:pPr>
              <w:spacing w:after="40"/>
            </w:pPr>
            <w:r>
              <w:rPr>
                <w:i/>
                <w:iCs/>
                <w:color w:val="BF9000"/>
                <w:sz w:val="14"/>
                <w:szCs w:val="14"/>
              </w:rPr>
              <w:t xml:space="preserve">↳ Fiches 40 la liberté d’aller et venir · 41 la liberté de l’enseignement · 42 le droit à des élections libres · 43 les protections fondamentales en cas d’éloignement, d’expulsion et d’extradition · 44 le droit des peuples à disposer d’eux-mêmes</w:t>
            </w:r>
          </w:p>
        </w:tc>
      </w:tr>
      <w:tr>
        <w:trPr>
          <w:tblHeader/>
        </w:trPr>
        <w:tc>
          <w:tcPr>
            <w:tcW w:type="dxa" w:w="460"/>
            <w:tcBorders>
              <w:top w:val="single" w:color="BFBFBF" w:sz="2"/>
              <w:left w:val="single" w:color="BFBFBF" w:sz="2"/>
              <w:bottom w:val="single" w:color="BFBFBF" w:sz="2"/>
              <w:right w:val="single" w:color="BFBFBF" w:sz="2"/>
            </w:tcBorders>
            <w:shd w:fill="FFF2CC" w:color="auto" w:val="clear"/>
          </w:tcPr>
          <w:p>
            <w:pPr>
              <w:spacing w:after="16" w:before="16"/>
            </w:pPr>
            <w:r>
              <w:rPr>
                <w:b/>
                <w:bCs/>
                <w:i w:val="false"/>
                <w:iCs w:val="false"/>
                <w:color w:val="404040"/>
                <w:sz w:val="13"/>
                <w:szCs w:val="13"/>
              </w:rPr>
              <w:t xml:space="preserve">P</w:t>
            </w:r>
          </w:p>
        </w:tc>
        <w:tc>
          <w:tcPr>
            <w:tcW w:type="dxa" w:w="2000"/>
            <w:tcBorders>
              <w:top w:val="single" w:color="BFBFBF" w:sz="2"/>
              <w:left w:val="single" w:color="BFBFBF" w:sz="2"/>
              <w:bottom w:val="single" w:color="BFBFBF" w:sz="2"/>
              <w:right w:val="single" w:color="BFBFBF" w:sz="2"/>
            </w:tcBorders>
            <w:shd w:fill="FFF2CC" w:color="auto" w:val="clear"/>
          </w:tcPr>
          <w:p>
            <w:pPr>
              <w:spacing w:after="16" w:before="16"/>
            </w:pPr>
            <w:r>
              <w:rPr>
                <w:b/>
                <w:bCs/>
                <w:i w:val="false"/>
                <w:iCs w:val="false"/>
                <w:color w:val="404040"/>
                <w:sz w:val="13"/>
                <w:szCs w:val="13"/>
              </w:rPr>
              <w:t xml:space="preserve">À écrire sur l’onglet</w:t>
            </w:r>
          </w:p>
        </w:tc>
        <w:tc>
          <w:tcPr>
            <w:tcW w:type="dxa" w:w="700"/>
            <w:tcBorders>
              <w:top w:val="single" w:color="BFBFBF" w:sz="2"/>
              <w:left w:val="single" w:color="BFBFBF" w:sz="2"/>
              <w:bottom w:val="single" w:color="BFBFBF" w:sz="2"/>
              <w:right w:val="single" w:color="BFBFBF" w:sz="2"/>
            </w:tcBorders>
            <w:shd w:fill="FFF2CC" w:color="auto" w:val="clear"/>
          </w:tcPr>
          <w:p>
            <w:pPr>
              <w:spacing w:after="16" w:before="16"/>
            </w:pPr>
            <w:r>
              <w:rPr>
                <w:b/>
                <w:bCs/>
                <w:i w:val="false"/>
                <w:iCs w:val="false"/>
                <w:color w:val="404040"/>
                <w:sz w:val="13"/>
                <w:szCs w:val="13"/>
              </w:rPr>
              <w:t xml:space="preserve">N° · p.</w:t>
            </w:r>
          </w:p>
        </w:tc>
        <w:tc>
          <w:tcPr>
            <w:tcW w:type="dxa" w:w="1150"/>
            <w:tcBorders>
              <w:top w:val="single" w:color="BFBFBF" w:sz="2"/>
              <w:left w:val="single" w:color="BFBFBF" w:sz="2"/>
              <w:bottom w:val="single" w:color="BFBFBF" w:sz="2"/>
              <w:right w:val="single" w:color="BFBFBF" w:sz="2"/>
            </w:tcBorders>
            <w:shd w:fill="FFF2CC" w:color="auto" w:val="clear"/>
          </w:tcPr>
          <w:p>
            <w:pPr>
              <w:spacing w:after="16" w:before="16"/>
            </w:pPr>
            <w:r>
              <w:rPr>
                <w:b/>
                <w:bCs/>
                <w:i w:val="false"/>
                <w:iCs w:val="false"/>
                <w:color w:val="404040"/>
                <w:sz w:val="13"/>
                <w:szCs w:val="13"/>
              </w:rPr>
              <w:t xml:space="preserve">Position</w:t>
            </w:r>
          </w:p>
        </w:tc>
        <w:tc>
          <w:tcPr>
            <w:tcW w:type="dxa" w:w="2050"/>
            <w:tcBorders>
              <w:top w:val="single" w:color="BFBFBF" w:sz="2"/>
              <w:left w:val="single" w:color="BFBFBF" w:sz="2"/>
              <w:bottom w:val="single" w:color="BFBFBF" w:sz="2"/>
              <w:right w:val="single" w:color="BFBFBF" w:sz="2"/>
            </w:tcBorders>
            <w:shd w:fill="FFF2CC" w:color="auto" w:val="clear"/>
          </w:tcPr>
          <w:p>
            <w:pPr>
              <w:spacing w:after="16" w:before="16"/>
            </w:pPr>
            <w:r>
              <w:rPr>
                <w:b/>
                <w:bCs/>
                <w:i w:val="false"/>
                <w:iCs w:val="false"/>
                <w:color w:val="404040"/>
                <w:sz w:val="13"/>
                <w:szCs w:val="13"/>
              </w:rPr>
              <w:t xml:space="preserve">Intitulé</w:t>
            </w:r>
          </w:p>
        </w:tc>
        <w:tc>
          <w:tcPr>
            <w:tcW w:type="dxa" w:w="800"/>
            <w:tcBorders>
              <w:top w:val="single" w:color="BFBFBF" w:sz="2"/>
              <w:left w:val="single" w:color="BFBFBF" w:sz="2"/>
              <w:bottom w:val="single" w:color="BFBFBF" w:sz="2"/>
              <w:right w:val="single" w:color="BFBFBF" w:sz="2"/>
            </w:tcBorders>
            <w:shd w:fill="FFF2CC" w:color="auto" w:val="clear"/>
          </w:tcPr>
          <w:p>
            <w:pPr>
              <w:spacing w:after="16" w:before="16"/>
            </w:pPr>
            <w:r>
              <w:rPr>
                <w:b/>
                <w:bCs/>
                <w:i w:val="false"/>
                <w:iCs w:val="false"/>
                <w:color w:val="404040"/>
                <w:sz w:val="13"/>
                <w:szCs w:val="13"/>
              </w:rPr>
              <w:t xml:space="preserve">Fiche(s)</w:t>
            </w:r>
          </w:p>
        </w:tc>
        <w:tc>
          <w:tcPr>
            <w:tcW w:type="dxa" w:w="3200"/>
            <w:tcBorders>
              <w:top w:val="single" w:color="BFBFBF" w:sz="2"/>
              <w:left w:val="single" w:color="BFBFBF" w:sz="2"/>
              <w:bottom w:val="single" w:color="BFBFBF" w:sz="2"/>
              <w:right w:val="single" w:color="BFBFBF" w:sz="2"/>
            </w:tcBorders>
            <w:shd w:fill="FFF2CC" w:color="auto" w:val="clear"/>
          </w:tcPr>
          <w:p>
            <w:pPr>
              <w:spacing w:after="16" w:before="16"/>
            </w:pPr>
            <w:r>
              <w:rPr>
                <w:b/>
                <w:bCs/>
                <w:i w:val="false"/>
                <w:iCs w:val="false"/>
                <w:color w:val="404040"/>
                <w:sz w:val="13"/>
                <w:szCs w:val="13"/>
              </w:rPr>
              <w:t xml:space="preserve">Correspondances dans le recueil</w:t>
            </w:r>
          </w:p>
        </w:tc>
        <w:tc>
          <w:tcPr>
            <w:tcW w:type="dxa" w:w="5238"/>
            <w:tcBorders>
              <w:top w:val="single" w:color="BFBFBF" w:sz="2"/>
              <w:left w:val="single" w:color="BFBFBF" w:sz="2"/>
              <w:bottom w:val="single" w:color="BFBFBF" w:sz="2"/>
              <w:right w:val="single" w:color="BFBFBF" w:sz="2"/>
            </w:tcBorders>
            <w:shd w:fill="FFF2CC" w:color="auto" w:val="clear"/>
          </w:tcPr>
          <w:p>
            <w:pPr>
              <w:spacing w:after="16" w:before="16"/>
            </w:pPr>
            <w:r>
              <w:rPr>
                <w:b/>
                <w:bCs/>
                <w:i w:val="false"/>
                <w:iCs w:val="false"/>
                <w:color w:val="404040"/>
                <w:sz w:val="13"/>
                <w:szCs w:val="13"/>
              </w:rPr>
              <w:t xml:space="preserve">Réflexe Grand Oral (tes fiches)</w:t>
            </w:r>
          </w:p>
        </w:tc>
      </w:tr>
      <w:tr>
        <w:tc>
          <w:tcPr>
            <w:tcW w:type="dxa" w:w="460"/>
            <w:tcBorders>
              <w:top w:val="single" w:color="BFBFBF" w:sz="2"/>
              <w:left w:val="single" w:color="BFBFBF" w:sz="2"/>
              <w:bottom w:val="single" w:color="BFBFBF" w:sz="2"/>
              <w:right w:val="single" w:color="BFBFBF" w:sz="2"/>
            </w:tcBorders>
            <w:shd w:fill="BF9000"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N°4.3 PROT. 4 (40·43)</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N°4.3 · p. 43</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BF9000"/>
                <w:sz w:val="13"/>
                <w:szCs w:val="13"/>
              </w:rPr>
              <w:t xml:space="preserve">laté. 197,8 mm (#1)</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Protocole n°4 : aller et venir (art. 2), nationaux (art. 3), expulsions collectives (art. 4)</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BF9000"/>
                <w:sz w:val="13"/>
                <w:szCs w:val="13"/>
              </w:rPr>
              <w:t xml:space="preserve">40 · 43</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liberté d’aller et venir N°74.1 (reprend les art. 1-2) · art. 45 Charte UE · art. 12 PIDCP · CESEDA (N°67)</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Art. 2 : Guzzardi (frontière avec l’art. 5). Art. 4 : Hirsi Jamaa (2012) ; N.D. et N.T. c. Espagne (2020).</w:t>
            </w:r>
          </w:p>
        </w:tc>
      </w:tr>
      <w:tr>
        <w:tc>
          <w:tcPr>
            <w:tcW w:type="dxa" w:w="460"/>
            <w:tcBorders>
              <w:top w:val="single" w:color="BFBFBF" w:sz="2"/>
              <w:left w:val="single" w:color="BFBFBF" w:sz="2"/>
              <w:bottom w:val="single" w:color="BFBFBF" w:sz="2"/>
              <w:right w:val="single" w:color="BFBFBF" w:sz="2"/>
            </w:tcBorders>
            <w:shd w:fill="F2F2F2" w:color="auto" w:val="clear"/>
          </w:tcPr>
          <w:p>
            <w:pPr>
              <w:spacing w:after="16" w:before="16"/>
              <w:jc w:val="center"/>
            </w:pPr>
            <w:r>
              <w:rPr>
                <w:b/>
                <w:bCs/>
                <w:i w:val="false"/>
                <w:iCs w:val="false"/>
                <w:color w:val="808080"/>
                <w:sz w:val="16"/>
                <w:szCs w:val="16"/>
              </w:rPr>
              <w:t xml:space="preserve">2</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N°5 EXTRADITION (43)</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N°5 · p. 54</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BF9000"/>
                <w:sz w:val="13"/>
                <w:szCs w:val="13"/>
              </w:rPr>
              <w:t xml:space="preserve">laté. 202,2 mm (#2)</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Convention européenne d’extradition (1957)</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BF9000"/>
                <w:sz w:val="13"/>
                <w:szCs w:val="13"/>
              </w:rPr>
              <w:t xml:space="preserve">43</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extradition CPP 696 s. (N°66) · mandat d’arrêt européen (N°19.5) · art. 3 CEDH</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Soering (1989) : l’État qui extrade vers un risque réel de traitement contraire à l’art. 3 engage sa responsabilité ; Saadi c. Italie (2008) : pas de mise en balance avec la dangerosité.</w:t>
            </w:r>
          </w:p>
        </w:tc>
      </w:tr>
      <w:tr>
        <w:tc>
          <w:tcPr>
            <w:tcW w:type="dxa" w:w="460"/>
            <w:tcBorders>
              <w:top w:val="single" w:color="BFBFBF" w:sz="2"/>
              <w:left w:val="single" w:color="BFBFBF" w:sz="2"/>
              <w:bottom w:val="single" w:color="BFBFBF" w:sz="2"/>
              <w:right w:val="single" w:color="BFBFBF" w:sz="2"/>
            </w:tcBorders>
            <w:shd w:fill="BF9000"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CHARTE art. 39–46 (42·40)</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N°17.2 · ≈ p. 179</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BF9000"/>
                <w:sz w:val="13"/>
                <w:szCs w:val="13"/>
              </w:rPr>
              <w:t xml:space="preserve">laté. 206,6 mm (#3)</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Titre V Citoyenneté : élections (39-40), bonne administration (41), documents (42), médiateur (43), pétition (44), circulation (45), protection diplomatique (46)</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BF9000"/>
                <w:sz w:val="13"/>
                <w:szCs w:val="13"/>
              </w:rPr>
              <w:t xml:space="preserve">42 · 40 · 20</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citoyenneté art. 20-21 TFUE (N°18.1) · dir. 2004/38 (N°18.4) · art. 88-3 C. · vote des citoyens UE (N°68.3-68.4)</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Art. 45 ↔ art. 21 TFUE : Grzelczyk (2001, « statut fondamental des ressortissants »), Ruiz Zambrano (2011, jouissance effective de l’essentiel des droits).</w:t>
            </w:r>
          </w:p>
        </w:tc>
      </w:tr>
      <w:tr>
        <w:tc>
          <w:tcPr>
            <w:tcW w:type="dxa" w:w="460"/>
            <w:tcBorders>
              <w:top w:val="single" w:color="BFBFBF" w:sz="2"/>
              <w:left w:val="single" w:color="BFBFBF" w:sz="2"/>
              <w:bottom w:val="single" w:color="BFBFBF" w:sz="2"/>
              <w:right w:val="single" w:color="BFBFBF" w:sz="2"/>
            </w:tcBorders>
            <w:shd w:fill="BF9000"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N°18.1–18.2 CITOYENNETÉ UE (40·42)</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N°18.1 · p. 194</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BF9000"/>
                <w:sz w:val="13"/>
                <w:szCs w:val="13"/>
              </w:rPr>
              <w:t xml:space="preserve">laté. 197,8 mm (#1)</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Citoyenneté : art. 9 TUE, 20-21 TFUE · pétition et médiateur : art. 227-228 TFUE (N°18.2)</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BF9000"/>
                <w:sz w:val="13"/>
                <w:szCs w:val="13"/>
              </w:rPr>
              <w:t xml:space="preserve">40 · 42 · 44 · 15 · 25</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Charte art. 39-46 (N°17.2) · dir. 2004/38 (N°18.4) · vote des citoyens UE (N°68.3-68.4)</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Grzelczyk (2001) ; Ruiz Zambrano (2011) ; Commission c. Malte (2025) : les « passeports dorés » méconnaissent le lien de solidarité propre à la citoyenneté (fiche 12).</w:t>
            </w:r>
          </w:p>
        </w:tc>
      </w:tr>
      <w:tr>
        <w:tc>
          <w:tcPr>
            <w:tcW w:type="dxa" w:w="460"/>
            <w:tcBorders>
              <w:top w:val="single" w:color="BFBFBF" w:sz="2"/>
              <w:left w:val="single" w:color="BFBFBF" w:sz="2"/>
              <w:bottom w:val="single" w:color="BFBFBF" w:sz="2"/>
              <w:right w:val="single" w:color="BFBFBF" w:sz="2"/>
            </w:tcBorders>
            <w:shd w:fill="BF9000"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N°18.3 SCHENGEN (40·53)</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N°18.3 · p. 196</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BF9000"/>
                <w:sz w:val="13"/>
                <w:szCs w:val="13"/>
              </w:rPr>
              <w:t xml:space="preserve">laté. 202,2 mm (#2)</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Code frontières Schengen — règlement (UE) 2016/399 modifié</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BF9000"/>
                <w:sz w:val="13"/>
                <w:szCs w:val="13"/>
              </w:rPr>
              <w:t xml:space="preserve">40 · 53 · 43</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Prot. 4 art. 2 (N°4.3) · art. 77 TFUE (N°21.1) · CESEDA (N°67)</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Réintroduction des contrôles aux frontières intérieures : exceptionnelle et limitée dans le temps (CE, 7 mars 2025). Refus d’entrée et liberté d’aller et venir (fiche 40).</w:t>
            </w:r>
          </w:p>
        </w:tc>
      </w:tr>
      <w:tr>
        <w:tc>
          <w:tcPr>
            <w:tcW w:type="dxa" w:w="460"/>
            <w:tcBorders>
              <w:top w:val="single" w:color="BFBFBF" w:sz="2"/>
              <w:left w:val="single" w:color="BFBFBF" w:sz="2"/>
              <w:bottom w:val="single" w:color="BFBFBF" w:sz="2"/>
              <w:right w:val="single" w:color="BFBFBF" w:sz="2"/>
            </w:tcBorders>
            <w:shd w:fill="F2F2F2" w:color="auto" w:val="clear"/>
          </w:tcPr>
          <w:p>
            <w:pPr>
              <w:spacing w:after="16" w:before="16"/>
              <w:jc w:val="center"/>
            </w:pPr>
            <w:r>
              <w:rPr>
                <w:b/>
                <w:bCs/>
                <w:i w:val="false"/>
                <w:iCs w:val="false"/>
                <w:color w:val="808080"/>
                <w:sz w:val="16"/>
                <w:szCs w:val="16"/>
              </w:rPr>
              <w:t xml:space="preserve">2</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N°18.4 DIR. 2004/38 (40)</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N°18.4 · p. 233</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BF9000"/>
                <w:sz w:val="13"/>
                <w:szCs w:val="13"/>
              </w:rPr>
              <w:t xml:space="preserve">laté. 211 mm (#4)</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Directive 2004/38/CE — circulation et séjour des citoyens de l’Union et de leur famille</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BF9000"/>
                <w:sz w:val="13"/>
                <w:szCs w:val="13"/>
              </w:rPr>
              <w:t xml:space="preserve">40 · 34</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CESEDA citoyens UE (N°68.1) · Charte art. 45</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Séjour de plus de trois mois sous condition de ressources ; Coman (2018) : le conjoint de même sexe est un « conjoint » au sens de la directive.</w:t>
            </w:r>
          </w:p>
        </w:tc>
      </w:tr>
      <w:tr>
        <w:tc>
          <w:tcPr>
            <w:tcW w:type="dxa" w:w="460"/>
            <w:tcBorders>
              <w:top w:val="single" w:color="BFBFBF" w:sz="2"/>
              <w:left w:val="single" w:color="BFBFBF" w:sz="2"/>
              <w:bottom w:val="single" w:color="BFBFBF" w:sz="2"/>
              <w:right w:val="single" w:color="BFBFBF" w:sz="2"/>
            </w:tcBorders>
            <w:shd w:fill="BF9000"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N°19.5 MANDAT D’ARRÊT EUROPÉEN (43)</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N°19.5 · p. 305</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BF9000"/>
                <w:sz w:val="13"/>
                <w:szCs w:val="13"/>
              </w:rPr>
              <w:t xml:space="preserve">laté. 215,4 mm (#5)</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Décision-cadre du 13 juin 2002 — sous-section coopération pénale (N°19.1 à 19.6)</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BF9000"/>
                <w:sz w:val="13"/>
                <w:szCs w:val="13"/>
              </w:rPr>
              <w:t xml:space="preserve">43 · 15</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extradition (N°5, N°66) · Charte art. 47-48 · art. 3 CEDH</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Melloni (2013) ; Aranyosi et Căldăraru (2016) : report ou refus de la remise en cas de risque réel de traitement inhumain. 2013-314 QPC (Jeremy F.) : premier renvoi préjudiciel du Conseil constitutionnel.</w:t>
            </w:r>
          </w:p>
        </w:tc>
      </w:tr>
      <w:tr>
        <w:tc>
          <w:tcPr>
            <w:tcW w:type="dxa" w:w="460"/>
            <w:tcBorders>
              <w:top w:val="single" w:color="BFBFBF" w:sz="2"/>
              <w:left w:val="single" w:color="BFBFBF" w:sz="2"/>
              <w:bottom w:val="single" w:color="BFBFBF" w:sz="2"/>
              <w:right w:val="single" w:color="BFBFBF" w:sz="2"/>
            </w:tcBorders>
            <w:shd w:fill="F2F2F2" w:color="auto" w:val="clear"/>
          </w:tcPr>
          <w:p>
            <w:pPr>
              <w:spacing w:after="16" w:before="16"/>
              <w:jc w:val="center"/>
            </w:pPr>
            <w:r>
              <w:rPr>
                <w:b/>
                <w:bCs/>
                <w:i w:val="false"/>
                <w:iCs w:val="false"/>
                <w:color w:val="808080"/>
                <w:sz w:val="16"/>
                <w:szCs w:val="16"/>
              </w:rPr>
              <w:t xml:space="preserve">2</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N°21.5 DIRECTIVE « RETOUR » (43)</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N°21.5 · p. 380</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BF9000"/>
                <w:sz w:val="13"/>
                <w:szCs w:val="13"/>
              </w:rPr>
              <w:t xml:space="preserve">laté. 197,8 mm (#1)</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Directive 2008/115/CE — retour des étrangers en séjour irrégulier (N°21.4 résidents de longue durée, p. 369, sans onglet)</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BF9000"/>
                <w:sz w:val="13"/>
                <w:szCs w:val="13"/>
              </w:rPr>
              <w:t xml:space="preserve">43 · 30</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CESEDA OQTF et rétention (N°67.2-67.4) · Conv. EDH art. 5 et 8</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Priorité au départ volontaire, rétention en dernier recours sous contrôle juridictionnel ; la CJUE a exclu l’emprisonnement pour simple séjour irrégulier (2011).</w:t>
            </w:r>
          </w:p>
        </w:tc>
      </w:tr>
      <w:tr>
        <w:tc>
          <w:tcPr>
            <w:tcW w:type="dxa" w:w="460"/>
            <w:tcBorders>
              <w:top w:val="single" w:color="BFBFBF" w:sz="2"/>
              <w:left w:val="single" w:color="BFBFBF" w:sz="2"/>
              <w:bottom w:val="single" w:color="BFBFBF" w:sz="2"/>
              <w:right w:val="single" w:color="BFBFBF" w:sz="2"/>
            </w:tcBorders>
            <w:shd w:fill="BF9000"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PIDCP art. 1–5 (44·7)</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N°24.1 · p. 415</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BF9000"/>
                <w:sz w:val="13"/>
                <w:szCs w:val="13"/>
              </w:rPr>
              <w:t xml:space="preserve">laté. 202,2 mm (#2)</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Autodétermination des peuples (1), obligations des États (2), égalité F/H (3), dérogations (4), abus (5)</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BF9000"/>
                <w:sz w:val="13"/>
                <w:szCs w:val="13"/>
              </w:rPr>
              <w:t xml:space="preserve">44 · 7 · 13</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art. 15 CEDH (N°4.1) · art. 16 C. · art. 1er PIDESC (N°25.1)</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Art. 4, l’article du Pacte le plus cité dans tes supports : dérogation en cas de danger public exceptionnel, avec un noyau indérogeable plus large que celui de l’art. 15 CEDH. Art. 1er commun aux deux Pactes (fiche 44).</w:t>
            </w:r>
          </w:p>
        </w:tc>
      </w:tr>
      <w:tr>
        <w:tc>
          <w:tcPr>
            <w:tcW w:type="dxa" w:w="460"/>
            <w:tcBorders>
              <w:top w:val="single" w:color="BFBFBF" w:sz="2"/>
              <w:left w:val="single" w:color="BFBFBF" w:sz="2"/>
              <w:bottom w:val="single" w:color="BFBFBF" w:sz="2"/>
              <w:right w:val="single" w:color="BFBFBF" w:sz="2"/>
            </w:tcBorders>
            <w:shd w:fill="BF9000"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PIDCP art. 12–16 (40·43·31·32)</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N°24.1 · ≈ p. 418</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BF9000"/>
                <w:sz w:val="13"/>
                <w:szCs w:val="13"/>
              </w:rPr>
              <w:t xml:space="preserve">laté. 206,6 mm (#3)</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Circulation (12), expulsion des étrangers (13), procès équitable (14), légalité pénale (15), personnalité juridique (16)</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BF9000"/>
                <w:sz w:val="13"/>
                <w:szCs w:val="13"/>
              </w:rPr>
              <w:t xml:space="preserve">40 · 43 · 31 · 32</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Prot. 4 et 7 (N°4.3, 4.5) · Conv. EDH art. 6-7 · Charte art. 47-50</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Art. 14 : garanties du procès équitable, dont le ne bis in idem (§ 7). Art. 12 § 4 : nul ne peut être arbitrairement privé du droit d’entrer dans son propre pays.</w:t>
            </w:r>
          </w:p>
        </w:tc>
      </w:tr>
      <w:tr>
        <w:tc>
          <w:tcPr>
            <w:tcW w:type="dxa" w:w="460"/>
            <w:tcBorders>
              <w:top w:val="single" w:color="BFBFBF" w:sz="2"/>
              <w:left w:val="single" w:color="BFBFBF" w:sz="2"/>
              <w:bottom w:val="single" w:color="BFBFBF" w:sz="2"/>
              <w:right w:val="single" w:color="BFBFBF" w:sz="2"/>
            </w:tcBorders>
            <w:shd w:fill="BF9000"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N°48.3 CONTRÔLES D’IDENTITÉ (40·20)</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N°48.3 · p. 664</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BF9000"/>
                <w:sz w:val="13"/>
                <w:szCs w:val="13"/>
              </w:rPr>
              <w:t xml:space="preserve">laté. 197,8 mm (#1)</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Contrôles et vérifications d’identité — CPP 78-1 à 78-6 (identité : loi 2012-410 et CNI, N°48.1-48.2 p. 662-663)</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BF9000"/>
                <w:sz w:val="13"/>
                <w:szCs w:val="13"/>
              </w:rPr>
              <w:t xml:space="preserve">40 · 20 · 7 · 54</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Prot. 4 art. 2 (N°4.3) · art. 2 et 4 DDHC · art. 14 CEDH</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93-323 DC : pas de contrôles généralisés et discrétionnaires ; 2016-606/607 QPC ; sous état d’urgence : 2017-677 QPC. Contrôles discriminatoires : CE Ass., 11 octobre 2023, Amnesty International France (refus d’enjoindre une réforme). Fichier biométrique : 2012-652 DC (N°48.1).</w:t>
            </w:r>
          </w:p>
        </w:tc>
      </w:tr>
      <w:tr>
        <w:tc>
          <w:tcPr>
            <w:tcW w:type="dxa" w:w="460"/>
            <w:tcBorders>
              <w:top w:val="single" w:color="BFBFBF" w:sz="2"/>
              <w:left w:val="single" w:color="BFBFBF" w:sz="2"/>
              <w:bottom w:val="single" w:color="BFBFBF" w:sz="2"/>
              <w:right w:val="single" w:color="BFBFBF" w:sz="2"/>
            </w:tcBorders>
            <w:shd w:fill="F2F2F2" w:color="auto" w:val="clear"/>
          </w:tcPr>
          <w:p>
            <w:pPr>
              <w:spacing w:after="16" w:before="16"/>
              <w:jc w:val="center"/>
            </w:pPr>
            <w:r>
              <w:rPr>
                <w:b/>
                <w:bCs/>
                <w:i w:val="false"/>
                <w:iCs w:val="false"/>
                <w:color w:val="808080"/>
                <w:sz w:val="16"/>
                <w:szCs w:val="16"/>
              </w:rPr>
              <w:t xml:space="preserve">2</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N°65 ART. 11 &amp; 14 C. CIV. (43)</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N°65 · p. 791</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BF9000"/>
                <w:sz w:val="13"/>
                <w:szCs w:val="13"/>
              </w:rPr>
              <w:t xml:space="preserve">laté. 202,2 mm (#2)</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Jouissance des droits civils par l’étranger (art. 11) · compétence des juridictions françaises (art. 14)</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BF9000"/>
                <w:sz w:val="13"/>
                <w:szCs w:val="13"/>
              </w:rPr>
              <w:t xml:space="preserve">43 · 12</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CESEDA (N°67) · art. 14 CEDH</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Art. 11 : condition de réciprocité, aujourd’hui très largement neutralisée par la jurisprudence au profit de l’égalité des droits civils.</w:t>
            </w:r>
          </w:p>
        </w:tc>
      </w:tr>
      <w:tr>
        <w:tc>
          <w:tcPr>
            <w:tcW w:type="dxa" w:w="460"/>
            <w:tcBorders>
              <w:top w:val="single" w:color="BFBFBF" w:sz="2"/>
              <w:left w:val="single" w:color="BFBFBF" w:sz="2"/>
              <w:bottom w:val="single" w:color="BFBFBF" w:sz="2"/>
              <w:right w:val="single" w:color="BFBFBF" w:sz="2"/>
            </w:tcBorders>
            <w:shd w:fill="BF9000"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N°66 EXTRADITION (43)</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N°66 · p. 792</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BF9000"/>
                <w:sz w:val="13"/>
                <w:szCs w:val="13"/>
              </w:rPr>
              <w:t xml:space="preserve">laté. 206,6 mm (#3)</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Extradition des étrangers — CPP 696 à 696-41</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BF9000"/>
                <w:sz w:val="13"/>
                <w:szCs w:val="13"/>
              </w:rPr>
              <w:t xml:space="preserve">43 · 9 · 26</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Conv. européenne d’extradition (N°5) · MAE (N°19.5) · art. 3 CEDH</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Contrôle entier du décret d’extradition ; CE, Koné (1996) : PFRLR interdisant l’extradition demandée dans un but politique ; Soering (1989) ; causes légales de refus (art. 696-4 CPP).</w:t>
            </w:r>
          </w:p>
        </w:tc>
      </w:tr>
      <w:tr>
        <w:tc>
          <w:tcPr>
            <w:tcW w:type="dxa" w:w="460"/>
            <w:tcBorders>
              <w:top w:val="single" w:color="BFBFBF" w:sz="2"/>
              <w:left w:val="single" w:color="BFBFBF" w:sz="2"/>
              <w:bottom w:val="single" w:color="BFBFBF" w:sz="2"/>
              <w:right w:val="single" w:color="BFBFBF" w:sz="2"/>
            </w:tcBorders>
            <w:shd w:fill="BF9000"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N°67.1 ENTRÉE &amp; SÉJOUR (43·34·53)</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N°67.1 · p. 802</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BF9000"/>
                <w:sz w:val="13"/>
                <w:szCs w:val="13"/>
              </w:rPr>
              <w:t xml:space="preserve">laté. 197,8 mm (#1)</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Conditions d’entrée et de séjour des étrangers en France — CESEDA</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BF9000"/>
                <w:sz w:val="13"/>
                <w:szCs w:val="13"/>
              </w:rPr>
              <w:t xml:space="preserve">43 · 34 · 53 · 55</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art. 8 CEDH · al. 10 Préambule · dir. 2003/86 (N°21.3)</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93-325 DC : pas de droit général et absolu d’accès au territoire, mais l’étranger bénéficie de la liberté individuelle, du droit de mener une vie familiale normale ; contrôle de proportionnalité (CE, Belgacem et Babas, 1991).</w:t>
            </w:r>
          </w:p>
        </w:tc>
      </w:tr>
      <w:tr>
        <w:tc>
          <w:tcPr>
            <w:tcW w:type="dxa" w:w="460"/>
            <w:tcBorders>
              <w:top w:val="single" w:color="BFBFBF" w:sz="2"/>
              <w:left w:val="single" w:color="BFBFBF" w:sz="2"/>
              <w:bottom w:val="single" w:color="BFBFBF" w:sz="2"/>
              <w:right w:val="single" w:color="BFBFBF" w:sz="2"/>
            </w:tcBorders>
            <w:shd w:fill="FFD24A" w:color="auto" w:val="clear"/>
          </w:tcPr>
          <w:p>
            <w:pPr>
              <w:spacing w:after="16" w:before="16"/>
              <w:jc w:val="center"/>
            </w:pPr>
            <w:r>
              <w:rPr>
                <w:b/>
                <w:bCs/>
                <w:i w:val="false"/>
                <w:iCs w:val="false"/>
                <w:color w:val="6B4E00"/>
                <w:sz w:val="16"/>
                <w:szCs w:val="16"/>
              </w:rPr>
              <w:t xml:space="preserve">★</w:t>
            </w:r>
          </w:p>
        </w:tc>
        <w:tc>
          <w:tcPr>
            <w:tcW w:type="dxa" w:w="2000"/>
            <w:tcBorders>
              <w:top w:val="single" w:color="BFBFBF" w:sz="2"/>
              <w:left w:val="single" w:color="BFBFBF" w:sz="2"/>
              <w:bottom w:val="single" w:color="BFBFBF" w:sz="2"/>
              <w:right w:val="single" w:color="BFBFBF" w:sz="2"/>
            </w:tcBorders>
            <w:shd w:fill="FFF6DC" w:color="auto" w:val="clear"/>
          </w:tcPr>
          <w:p>
            <w:pPr>
              <w:spacing w:after="16" w:before="16"/>
            </w:pPr>
            <w:r>
              <w:rPr>
                <w:b/>
                <w:bCs/>
                <w:i w:val="false"/>
                <w:iCs w:val="false"/>
                <w:color w:val="1F1F1F"/>
                <w:sz w:val="14"/>
                <w:szCs w:val="14"/>
              </w:rPr>
              <w:t xml:space="preserve">N°67.2–67.3 OQTF &amp; EXPULSION (43)  ★</w:t>
            </w:r>
          </w:p>
        </w:tc>
        <w:tc>
          <w:tcPr>
            <w:tcW w:type="dxa" w:w="70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595959"/>
                <w:sz w:val="12"/>
                <w:szCs w:val="12"/>
              </w:rPr>
              <w:t xml:space="preserve">N°67.2 · p. 808</w:t>
            </w:r>
          </w:p>
        </w:tc>
        <w:tc>
          <w:tcPr>
            <w:tcW w:type="dxa" w:w="1150"/>
            <w:tcBorders>
              <w:top w:val="single" w:color="BFBFBF" w:sz="2"/>
              <w:left w:val="single" w:color="BFBFBF" w:sz="2"/>
              <w:bottom w:val="single" w:color="BFBFBF" w:sz="2"/>
              <w:right w:val="single" w:color="BFBFBF" w:sz="2"/>
            </w:tcBorders>
            <w:shd w:fill="FFF6DC" w:color="auto" w:val="clear"/>
          </w:tcPr>
          <w:p>
            <w:pPr>
              <w:spacing w:after="16" w:before="16"/>
              <w:jc w:val="center"/>
            </w:pPr>
            <w:r>
              <w:rPr>
                <w:b/>
                <w:bCs/>
                <w:i w:val="false"/>
                <w:iCs w:val="false"/>
                <w:color w:val="BF9000"/>
                <w:sz w:val="13"/>
                <w:szCs w:val="13"/>
              </w:rPr>
              <w:t xml:space="preserve">laté. 211 mm (#4)</w:t>
            </w:r>
          </w:p>
        </w:tc>
        <w:tc>
          <w:tcPr>
            <w:tcW w:type="dxa" w:w="205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333333"/>
                <w:sz w:val="13"/>
                <w:szCs w:val="13"/>
              </w:rPr>
              <w:t xml:space="preserve">OQTF et interdiction de retour (N°67.2) · OQTF et expulsion (N°67.3, p. 810) — CESEDA</w:t>
            </w:r>
          </w:p>
        </w:tc>
        <w:tc>
          <w:tcPr>
            <w:tcW w:type="dxa" w:w="800"/>
            <w:tcBorders>
              <w:top w:val="single" w:color="BFBFBF" w:sz="2"/>
              <w:left w:val="single" w:color="BFBFBF" w:sz="2"/>
              <w:bottom w:val="single" w:color="BFBFBF" w:sz="2"/>
              <w:right w:val="single" w:color="BFBFBF" w:sz="2"/>
            </w:tcBorders>
            <w:shd w:fill="FFF6DC" w:color="auto" w:val="clear"/>
          </w:tcPr>
          <w:p>
            <w:pPr>
              <w:spacing w:after="16" w:before="16"/>
              <w:jc w:val="center"/>
            </w:pPr>
            <w:r>
              <w:rPr>
                <w:b/>
                <w:bCs/>
                <w:i w:val="false"/>
                <w:iCs w:val="false"/>
                <w:color w:val="BF9000"/>
                <w:sz w:val="13"/>
                <w:szCs w:val="13"/>
              </w:rPr>
              <w:t xml:space="preserve">43 · 30 · 34</w:t>
            </w:r>
          </w:p>
        </w:tc>
        <w:tc>
          <w:tcPr>
            <w:tcW w:type="dxa" w:w="320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333333"/>
                <w:sz w:val="12"/>
                <w:szCs w:val="12"/>
              </w:rPr>
              <w:t xml:space="preserve">Prot. 4 art. 4 et Prot. 7 art. 1er (N°4.3, 4.5) · art. 8 CEDH · directive retour (N°21.5)</w:t>
            </w:r>
          </w:p>
        </w:tc>
        <w:tc>
          <w:tcPr>
            <w:tcW w:type="dxa" w:w="5238"/>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333333"/>
                <w:sz w:val="12"/>
                <w:szCs w:val="12"/>
              </w:rPr>
              <w:t xml:space="preserve">2011-631 DC (loi du 16 juin 2011 : OQTF, rétention, intervention du juge) ; protections contre l’expulsion (attaches familiales, état de santé) ; proportionnalité au regard de l’art. 8.</w:t>
            </w:r>
          </w:p>
        </w:tc>
      </w:tr>
      <w:tr>
        <w:tc>
          <w:tcPr>
            <w:tcW w:type="dxa" w:w="460"/>
            <w:tcBorders>
              <w:top w:val="single" w:color="BFBFBF" w:sz="2"/>
              <w:left w:val="single" w:color="BFBFBF" w:sz="2"/>
              <w:bottom w:val="single" w:color="BFBFBF" w:sz="2"/>
              <w:right w:val="single" w:color="BFBFBF" w:sz="2"/>
            </w:tcBorders>
            <w:shd w:fill="F2F2F2" w:color="auto" w:val="clear"/>
          </w:tcPr>
          <w:p>
            <w:pPr>
              <w:spacing w:after="16" w:before="16"/>
              <w:jc w:val="center"/>
            </w:pPr>
            <w:r>
              <w:rPr>
                <w:b/>
                <w:bCs/>
                <w:i w:val="false"/>
                <w:iCs w:val="false"/>
                <w:color w:val="808080"/>
                <w:sz w:val="16"/>
                <w:szCs w:val="16"/>
              </w:rPr>
              <w:t xml:space="preserve">2</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N°68.1 CITOYENS DE L’UE — SÉJOUR (40)</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N°68.1 · p. 822</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BF9000"/>
                <w:sz w:val="13"/>
                <w:szCs w:val="13"/>
              </w:rPr>
              <w:t xml:space="preserve">laté. 215,4 mm (#5)</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Entrée et séjour des citoyens de l’Union, de l’EEE, des Suisses et de leur famille — CESEDA (fonction publique, N°68.2 p. 826)</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BF9000"/>
                <w:sz w:val="13"/>
                <w:szCs w:val="13"/>
              </w:rPr>
              <w:t xml:space="preserve">40 · 15</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dir. 2004/38 (N°18.4) · art. 21 TFUE (N°18.1)</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Liberté de circulation et de séjour ; limites tenant à l’ordre public et aux ressources.</w:t>
            </w:r>
          </w:p>
        </w:tc>
      </w:tr>
      <w:tr>
        <w:tc>
          <w:tcPr>
            <w:tcW w:type="dxa" w:w="460"/>
            <w:tcBorders>
              <w:top w:val="single" w:color="BFBFBF" w:sz="2"/>
              <w:left w:val="single" w:color="BFBFBF" w:sz="2"/>
              <w:bottom w:val="single" w:color="BFBFBF" w:sz="2"/>
              <w:right w:val="single" w:color="BFBFBF" w:sz="2"/>
            </w:tcBorders>
            <w:shd w:fill="F2F2F2" w:color="auto" w:val="clear"/>
          </w:tcPr>
          <w:p>
            <w:pPr>
              <w:spacing w:after="16" w:before="16"/>
              <w:jc w:val="center"/>
            </w:pPr>
            <w:r>
              <w:rPr>
                <w:b/>
                <w:bCs/>
                <w:i w:val="false"/>
                <w:iCs w:val="false"/>
                <w:color w:val="808080"/>
                <w:sz w:val="16"/>
                <w:szCs w:val="16"/>
              </w:rPr>
              <w:t xml:space="preserve">2</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N°68.3–68.4 VOTE DES CITOYENS UE (42)</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N°68.3 · p. 827</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BF9000"/>
                <w:sz w:val="13"/>
                <w:szCs w:val="13"/>
              </w:rPr>
              <w:t xml:space="preserve">laté. 219,8 mm (#6)</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Droit de vote et d’éligibilité aux élections européennes (loi 77-729) et municipales (C. élect., CGCT)</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BF9000"/>
                <w:sz w:val="13"/>
                <w:szCs w:val="13"/>
              </w:rPr>
              <w:t xml:space="preserve">42 · 15</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art. 88-3 C. (N°3.1) · Charte UE art. 39-40 · art. 22 TFUE</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92-308 DC (Maastricht) : révision constitutionnelle préalable → art. 88-3 C. ; les citoyens de l’Union ne peuvent être ni maire ni adjoint, ni participer à l’élection des sénateurs.</w:t>
            </w:r>
          </w:p>
        </w:tc>
      </w:tr>
      <w:tr>
        <w:tc>
          <w:tcPr>
            <w:tcW w:type="dxa" w:w="460"/>
            <w:tcBorders>
              <w:top w:val="single" w:color="BFBFBF" w:sz="2"/>
              <w:left w:val="single" w:color="BFBFBF" w:sz="2"/>
              <w:bottom w:val="single" w:color="BFBFBF" w:sz="2"/>
              <w:right w:val="single" w:color="BFBFBF" w:sz="2"/>
            </w:tcBorders>
            <w:shd w:fill="BF9000"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N°74.1 ALLER ET VENIR (40)</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N°74.1 · p. 932</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BF9000"/>
                <w:sz w:val="13"/>
                <w:szCs w:val="13"/>
              </w:rPr>
              <w:t xml:space="preserve">laté. 202,2 mm (#2)</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Liberté d’aller et venir et ses limites — Prot. 4 art. 1-2 et CSI L.224-1 (interdiction de sortie du territoire)</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BF9000"/>
                <w:sz w:val="13"/>
                <w:szCs w:val="13"/>
              </w:rPr>
              <w:t xml:space="preserve">40 · 7 · 43</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Prot. 4 (N°4.3) · art. 2 et 4 DDHC · contrôles d’identité (N°48.3) · état d’urgence (N°116)</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Liberté fondamentale au sens du référé-liberté (CE, Deperthes, 2001) ; privation ou restriction : Guzzardi (1980) ; 2015-527 QPC (assignation à résidence) ; interdiction de sortie du territoire : 2015-490 QPC.</w:t>
            </w:r>
          </w:p>
        </w:tc>
      </w:tr>
      <w:tr>
        <w:tc>
          <w:tcPr>
            <w:tcW w:type="dxa" w:w="460"/>
            <w:tcBorders>
              <w:top w:val="single" w:color="BFBFBF" w:sz="2"/>
              <w:left w:val="single" w:color="BFBFBF" w:sz="2"/>
              <w:bottom w:val="single" w:color="BFBFBF" w:sz="2"/>
              <w:right w:val="single" w:color="BFBFBF" w:sz="2"/>
            </w:tcBorders>
            <w:shd w:fill="BF9000"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N°79–81 LIBERTÉ DE L’ENSEIGNEMENT (41)</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N°79 · p. 971</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BF9000"/>
                <w:sz w:val="13"/>
                <w:szCs w:val="13"/>
              </w:rPr>
              <w:t xml:space="preserve">laté. 197,8 mm (#1)</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Liberté de l’enseignement (C. éduc. L.151-1 s.) · enseignement supérieur (L.151-6, N°80) · indépendance des enseignants-chercheurs (L.952-2, N°81 p. 972)</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BF9000"/>
                <w:sz w:val="13"/>
                <w:szCs w:val="13"/>
              </w:rPr>
              <w:t xml:space="preserve">41 · 47 · 36</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Prot. 1 art. 2 · Charte UE art. 14 § 3 · art. 13 PIDESC</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PFRLR : 77-87 DC (caractère propre des établissements sous contrat) ; loi Bayrou : 93-329 DC ; indépendance des professeurs d’université, PFRLR : 83-165 DC ; instruction en famille soumise à autorisation : 2021-823 DC.</w:t>
            </w:r>
          </w:p>
        </w:tc>
      </w:tr>
    </w:tbl>
    <w:p>
      <w:pPr>
        <w:spacing w:after="120"/>
      </w:pPr>
    </w:p>
    <w:p>
      <w:pPr>
        <w:spacing w:after="60" w:before="220"/>
      </w:pPr>
      <w:r>
        <w:rPr>
          <w:b/>
          <w:bCs/>
          <w:color w:val="1F3864"/>
          <w:sz w:val="24"/>
          <w:szCs w:val="24"/>
        </w:rPr>
        <w:t xml:space="preserve">Partie VII — Les droits économiques, sociaux et culturels</w:t>
      </w:r>
    </w:p>
    <w:tbl>
      <w:tblPr>
        <w:tblW w:type="dxa" w:w="15598"/>
        <w:tblBorders>
          <w:top w:val="single" w:color="BFBFBF" w:sz="2"/>
          <w:left w:val="single" w:color="BFBFBF" w:sz="2"/>
          <w:bottom w:val="single" w:color="BFBFBF" w:sz="2"/>
          <w:right w:val="single" w:color="BFBFBF" w:sz="2"/>
          <w:insideH w:val="single" w:color="D9D9D9" w:sz="2"/>
          <w:insideV w:val="single" w:color="BFBFBF" w:sz="2"/>
        </w:tblBorders>
      </w:tblPr>
      <w:tblGrid>
        <w:gridCol w:w="460"/>
        <w:gridCol w:w="2000"/>
        <w:gridCol w:w="700"/>
        <w:gridCol w:w="1150"/>
        <w:gridCol w:w="2050"/>
        <w:gridCol w:w="800"/>
        <w:gridCol w:w="3200"/>
        <w:gridCol w:w="5238"/>
      </w:tblGrid>
      <w:tr>
        <w:tc>
          <w:tcPr>
            <w:gridSpan w:val="8"/>
            <w:tcBorders>
              <w:top w:val="single" w:color="BFBFBF" w:sz="2"/>
              <w:left w:val="single" w:color="BFBFBF" w:sz="2"/>
              <w:bottom w:val="single" w:color="BFBFBF" w:sz="2"/>
              <w:right w:val="single" w:color="BFBFBF" w:sz="2"/>
            </w:tcBorders>
            <w:shd w:fill="E2EFDA" w:color="auto" w:val="clear"/>
          </w:tcPr>
          <w:p>
            <w:pPr>
              <w:spacing w:after="20" w:before="50"/>
            </w:pPr>
            <w:r>
              <w:rPr>
                <w:b/>
                <w:bCs/>
                <w:color w:val="548235"/>
                <w:sz w:val="21"/>
                <w:szCs w:val="21"/>
              </w:rPr>
              <w:t xml:space="preserve">VII-A — Commerce, propriété, éducation, santé</w:t>
            </w:r>
            <w:r>
              <w:rPr>
                <w:b/>
                <w:bCs/>
                <w:color w:val="548235"/>
                <w:sz w:val="15"/>
                <w:szCs w:val="15"/>
              </w:rPr>
              <w:t xml:space="preserve">     ■ VERT · arête basse · bande 8 → 36,4 mm du coin de la tranche · pas 9 mm · 6 onglets</w:t>
            </w:r>
          </w:p>
          <w:p>
            <w:pPr>
              <w:spacing w:after="40"/>
            </w:pPr>
            <w:r>
              <w:rPr>
                <w:i/>
                <w:iCs/>
                <w:color w:val="548235"/>
                <w:sz w:val="14"/>
                <w:szCs w:val="14"/>
              </w:rPr>
              <w:t xml:space="preserve">↳ Fiches 45 la liberté du commerce et de l’industrie · 46 le droit de propriété · 47 le droit à l’éducation et à la formation · 48 le droit à la santé et à la protection sociale</w:t>
            </w:r>
          </w:p>
        </w:tc>
      </w:tr>
      <w:tr>
        <w:trPr>
          <w:tblHeader/>
        </w:trPr>
        <w:tc>
          <w:tcPr>
            <w:tcW w:type="dxa" w:w="460"/>
            <w:tcBorders>
              <w:top w:val="single" w:color="BFBFBF" w:sz="2"/>
              <w:left w:val="single" w:color="BFBFBF" w:sz="2"/>
              <w:bottom w:val="single" w:color="BFBFBF" w:sz="2"/>
              <w:right w:val="single" w:color="BFBFBF" w:sz="2"/>
            </w:tcBorders>
            <w:shd w:fill="E2EFDA" w:color="auto" w:val="clear"/>
          </w:tcPr>
          <w:p>
            <w:pPr>
              <w:spacing w:after="16" w:before="16"/>
            </w:pPr>
            <w:r>
              <w:rPr>
                <w:b/>
                <w:bCs/>
                <w:i w:val="false"/>
                <w:iCs w:val="false"/>
                <w:color w:val="404040"/>
                <w:sz w:val="13"/>
                <w:szCs w:val="13"/>
              </w:rPr>
              <w:t xml:space="preserve">P</w:t>
            </w:r>
          </w:p>
        </w:tc>
        <w:tc>
          <w:tcPr>
            <w:tcW w:type="dxa" w:w="2000"/>
            <w:tcBorders>
              <w:top w:val="single" w:color="BFBFBF" w:sz="2"/>
              <w:left w:val="single" w:color="BFBFBF" w:sz="2"/>
              <w:bottom w:val="single" w:color="BFBFBF" w:sz="2"/>
              <w:right w:val="single" w:color="BFBFBF" w:sz="2"/>
            </w:tcBorders>
            <w:shd w:fill="E2EFDA" w:color="auto" w:val="clear"/>
          </w:tcPr>
          <w:p>
            <w:pPr>
              <w:spacing w:after="16" w:before="16"/>
            </w:pPr>
            <w:r>
              <w:rPr>
                <w:b/>
                <w:bCs/>
                <w:i w:val="false"/>
                <w:iCs w:val="false"/>
                <w:color w:val="404040"/>
                <w:sz w:val="13"/>
                <w:szCs w:val="13"/>
              </w:rPr>
              <w:t xml:space="preserve">À écrire sur l’onglet</w:t>
            </w:r>
          </w:p>
        </w:tc>
        <w:tc>
          <w:tcPr>
            <w:tcW w:type="dxa" w:w="700"/>
            <w:tcBorders>
              <w:top w:val="single" w:color="BFBFBF" w:sz="2"/>
              <w:left w:val="single" w:color="BFBFBF" w:sz="2"/>
              <w:bottom w:val="single" w:color="BFBFBF" w:sz="2"/>
              <w:right w:val="single" w:color="BFBFBF" w:sz="2"/>
            </w:tcBorders>
            <w:shd w:fill="E2EFDA" w:color="auto" w:val="clear"/>
          </w:tcPr>
          <w:p>
            <w:pPr>
              <w:spacing w:after="16" w:before="16"/>
            </w:pPr>
            <w:r>
              <w:rPr>
                <w:b/>
                <w:bCs/>
                <w:i w:val="false"/>
                <w:iCs w:val="false"/>
                <w:color w:val="404040"/>
                <w:sz w:val="13"/>
                <w:szCs w:val="13"/>
              </w:rPr>
              <w:t xml:space="preserve">N° · p.</w:t>
            </w:r>
          </w:p>
        </w:tc>
        <w:tc>
          <w:tcPr>
            <w:tcW w:type="dxa" w:w="1150"/>
            <w:tcBorders>
              <w:top w:val="single" w:color="BFBFBF" w:sz="2"/>
              <w:left w:val="single" w:color="BFBFBF" w:sz="2"/>
              <w:bottom w:val="single" w:color="BFBFBF" w:sz="2"/>
              <w:right w:val="single" w:color="BFBFBF" w:sz="2"/>
            </w:tcBorders>
            <w:shd w:fill="E2EFDA" w:color="auto" w:val="clear"/>
          </w:tcPr>
          <w:p>
            <w:pPr>
              <w:spacing w:after="16" w:before="16"/>
            </w:pPr>
            <w:r>
              <w:rPr>
                <w:b/>
                <w:bCs/>
                <w:i w:val="false"/>
                <w:iCs w:val="false"/>
                <w:color w:val="404040"/>
                <w:sz w:val="13"/>
                <w:szCs w:val="13"/>
              </w:rPr>
              <w:t xml:space="preserve">Position</w:t>
            </w:r>
          </w:p>
        </w:tc>
        <w:tc>
          <w:tcPr>
            <w:tcW w:type="dxa" w:w="2050"/>
            <w:tcBorders>
              <w:top w:val="single" w:color="BFBFBF" w:sz="2"/>
              <w:left w:val="single" w:color="BFBFBF" w:sz="2"/>
              <w:bottom w:val="single" w:color="BFBFBF" w:sz="2"/>
              <w:right w:val="single" w:color="BFBFBF" w:sz="2"/>
            </w:tcBorders>
            <w:shd w:fill="E2EFDA" w:color="auto" w:val="clear"/>
          </w:tcPr>
          <w:p>
            <w:pPr>
              <w:spacing w:after="16" w:before="16"/>
            </w:pPr>
            <w:r>
              <w:rPr>
                <w:b/>
                <w:bCs/>
                <w:i w:val="false"/>
                <w:iCs w:val="false"/>
                <w:color w:val="404040"/>
                <w:sz w:val="13"/>
                <w:szCs w:val="13"/>
              </w:rPr>
              <w:t xml:space="preserve">Intitulé</w:t>
            </w:r>
          </w:p>
        </w:tc>
        <w:tc>
          <w:tcPr>
            <w:tcW w:type="dxa" w:w="800"/>
            <w:tcBorders>
              <w:top w:val="single" w:color="BFBFBF" w:sz="2"/>
              <w:left w:val="single" w:color="BFBFBF" w:sz="2"/>
              <w:bottom w:val="single" w:color="BFBFBF" w:sz="2"/>
              <w:right w:val="single" w:color="BFBFBF" w:sz="2"/>
            </w:tcBorders>
            <w:shd w:fill="E2EFDA" w:color="auto" w:val="clear"/>
          </w:tcPr>
          <w:p>
            <w:pPr>
              <w:spacing w:after="16" w:before="16"/>
            </w:pPr>
            <w:r>
              <w:rPr>
                <w:b/>
                <w:bCs/>
                <w:i w:val="false"/>
                <w:iCs w:val="false"/>
                <w:color w:val="404040"/>
                <w:sz w:val="13"/>
                <w:szCs w:val="13"/>
              </w:rPr>
              <w:t xml:space="preserve">Fiche(s)</w:t>
            </w:r>
          </w:p>
        </w:tc>
        <w:tc>
          <w:tcPr>
            <w:tcW w:type="dxa" w:w="3200"/>
            <w:tcBorders>
              <w:top w:val="single" w:color="BFBFBF" w:sz="2"/>
              <w:left w:val="single" w:color="BFBFBF" w:sz="2"/>
              <w:bottom w:val="single" w:color="BFBFBF" w:sz="2"/>
              <w:right w:val="single" w:color="BFBFBF" w:sz="2"/>
            </w:tcBorders>
            <w:shd w:fill="E2EFDA" w:color="auto" w:val="clear"/>
          </w:tcPr>
          <w:p>
            <w:pPr>
              <w:spacing w:after="16" w:before="16"/>
            </w:pPr>
            <w:r>
              <w:rPr>
                <w:b/>
                <w:bCs/>
                <w:i w:val="false"/>
                <w:iCs w:val="false"/>
                <w:color w:val="404040"/>
                <w:sz w:val="13"/>
                <w:szCs w:val="13"/>
              </w:rPr>
              <w:t xml:space="preserve">Correspondances dans le recueil</w:t>
            </w:r>
          </w:p>
        </w:tc>
        <w:tc>
          <w:tcPr>
            <w:tcW w:type="dxa" w:w="5238"/>
            <w:tcBorders>
              <w:top w:val="single" w:color="BFBFBF" w:sz="2"/>
              <w:left w:val="single" w:color="BFBFBF" w:sz="2"/>
              <w:bottom w:val="single" w:color="BFBFBF" w:sz="2"/>
              <w:right w:val="single" w:color="BFBFBF" w:sz="2"/>
            </w:tcBorders>
            <w:shd w:fill="E2EFDA" w:color="auto" w:val="clear"/>
          </w:tcPr>
          <w:p>
            <w:pPr>
              <w:spacing w:after="16" w:before="16"/>
            </w:pPr>
            <w:r>
              <w:rPr>
                <w:b/>
                <w:bCs/>
                <w:i w:val="false"/>
                <w:iCs w:val="false"/>
                <w:color w:val="404040"/>
                <w:sz w:val="13"/>
                <w:szCs w:val="13"/>
              </w:rPr>
              <w:t xml:space="preserve">Réflexe Grand Oral (tes fiches)</w:t>
            </w:r>
          </w:p>
        </w:tc>
      </w:tr>
      <w:tr>
        <w:tc>
          <w:tcPr>
            <w:tcW w:type="dxa" w:w="460"/>
            <w:tcBorders>
              <w:top w:val="single" w:color="BFBFBF" w:sz="2"/>
              <w:left w:val="single" w:color="BFBFBF" w:sz="2"/>
              <w:bottom w:val="single" w:color="BFBFBF" w:sz="2"/>
              <w:right w:val="single" w:color="BFBFBF" w:sz="2"/>
            </w:tcBorders>
            <w:shd w:fill="FFD24A" w:color="auto" w:val="clear"/>
          </w:tcPr>
          <w:p>
            <w:pPr>
              <w:spacing w:after="16" w:before="16"/>
              <w:jc w:val="center"/>
            </w:pPr>
            <w:r>
              <w:rPr>
                <w:b/>
                <w:bCs/>
                <w:i w:val="false"/>
                <w:iCs w:val="false"/>
                <w:color w:val="6B4E00"/>
                <w:sz w:val="16"/>
                <w:szCs w:val="16"/>
              </w:rPr>
              <w:t xml:space="preserve">★</w:t>
            </w:r>
          </w:p>
        </w:tc>
        <w:tc>
          <w:tcPr>
            <w:tcW w:type="dxa" w:w="2000"/>
            <w:tcBorders>
              <w:top w:val="single" w:color="BFBFBF" w:sz="2"/>
              <w:left w:val="single" w:color="BFBFBF" w:sz="2"/>
              <w:bottom w:val="single" w:color="BFBFBF" w:sz="2"/>
              <w:right w:val="single" w:color="BFBFBF" w:sz="2"/>
            </w:tcBorders>
            <w:shd w:fill="FFF6DC" w:color="auto" w:val="clear"/>
          </w:tcPr>
          <w:p>
            <w:pPr>
              <w:spacing w:after="16" w:before="16"/>
            </w:pPr>
            <w:r>
              <w:rPr>
                <w:b/>
                <w:bCs/>
                <w:i w:val="false"/>
                <w:iCs w:val="false"/>
                <w:color w:val="1F1F1F"/>
                <w:sz w:val="14"/>
                <w:szCs w:val="14"/>
              </w:rPr>
              <w:t xml:space="preserve">N°4.2 PROT. 1 (46·47·42)  ★</w:t>
            </w:r>
          </w:p>
        </w:tc>
        <w:tc>
          <w:tcPr>
            <w:tcW w:type="dxa" w:w="70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595959"/>
                <w:sz w:val="12"/>
                <w:szCs w:val="12"/>
              </w:rPr>
              <w:t xml:space="preserve">N°4.2 · p. 42</w:t>
            </w:r>
          </w:p>
        </w:tc>
        <w:tc>
          <w:tcPr>
            <w:tcW w:type="dxa" w:w="1150"/>
            <w:tcBorders>
              <w:top w:val="single" w:color="BFBFBF" w:sz="2"/>
              <w:left w:val="single" w:color="BFBFBF" w:sz="2"/>
              <w:bottom w:val="single" w:color="BFBFBF" w:sz="2"/>
              <w:right w:val="single" w:color="BFBFBF" w:sz="2"/>
            </w:tcBorders>
            <w:shd w:fill="FFF6DC" w:color="auto" w:val="clear"/>
          </w:tcPr>
          <w:p>
            <w:pPr>
              <w:spacing w:after="16" w:before="16"/>
              <w:jc w:val="center"/>
            </w:pPr>
            <w:r>
              <w:rPr>
                <w:b/>
                <w:bCs/>
                <w:i w:val="false"/>
                <w:iCs w:val="false"/>
                <w:color w:val="548235"/>
                <w:sz w:val="13"/>
                <w:szCs w:val="13"/>
              </w:rPr>
              <w:t xml:space="preserve">bass. 8 mm (#1)</w:t>
            </w:r>
          </w:p>
        </w:tc>
        <w:tc>
          <w:tcPr>
            <w:tcW w:type="dxa" w:w="205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333333"/>
                <w:sz w:val="13"/>
                <w:szCs w:val="13"/>
              </w:rPr>
              <w:t xml:space="preserve">Protocole n°1 : propriété (art. 1er), instruction (art. 2), élections libres (art. 3)</w:t>
            </w:r>
          </w:p>
        </w:tc>
        <w:tc>
          <w:tcPr>
            <w:tcW w:type="dxa" w:w="800"/>
            <w:tcBorders>
              <w:top w:val="single" w:color="BFBFBF" w:sz="2"/>
              <w:left w:val="single" w:color="BFBFBF" w:sz="2"/>
              <w:bottom w:val="single" w:color="BFBFBF" w:sz="2"/>
              <w:right w:val="single" w:color="BFBFBF" w:sz="2"/>
            </w:tcBorders>
            <w:shd w:fill="FFF6DC" w:color="auto" w:val="clear"/>
          </w:tcPr>
          <w:p>
            <w:pPr>
              <w:spacing w:after="16" w:before="16"/>
              <w:jc w:val="center"/>
            </w:pPr>
            <w:r>
              <w:rPr>
                <w:b/>
                <w:bCs/>
                <w:i w:val="false"/>
                <w:iCs w:val="false"/>
                <w:color w:val="548235"/>
                <w:sz w:val="13"/>
                <w:szCs w:val="13"/>
              </w:rPr>
              <w:t xml:space="preserve">46 · 47 · 41 · 42 · 48</w:t>
            </w:r>
          </w:p>
        </w:tc>
        <w:tc>
          <w:tcPr>
            <w:tcW w:type="dxa" w:w="320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333333"/>
                <w:sz w:val="12"/>
                <w:szCs w:val="12"/>
              </w:rPr>
              <w:t xml:space="preserve">art. 17 DDHC · art. 17 et 14 Charte UE · al. 13 Préambule · art. 3 C. · art. 25 PIDCP</w:t>
            </w:r>
          </w:p>
        </w:tc>
        <w:tc>
          <w:tcPr>
            <w:tcW w:type="dxa" w:w="5238"/>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333333"/>
                <w:sz w:val="12"/>
                <w:szCs w:val="12"/>
              </w:rPr>
              <w:t xml:space="preserve">Art. 1er : Sporrong et Lönnroth (1982, trois normes) ; Draon c. France (2005, espérance légitime). Art. 2 : Kjeldsen (1976, pluralisme). Art. 3 : Mathieu-Mohin (1987) ; Hirst n°2 (2005, vote des détenus).</w:t>
            </w:r>
          </w:p>
        </w:tc>
      </w:tr>
      <w:tr>
        <w:tc>
          <w:tcPr>
            <w:tcW w:type="dxa" w:w="460"/>
            <w:tcBorders>
              <w:top w:val="single" w:color="BFBFBF" w:sz="2"/>
              <w:left w:val="single" w:color="BFBFBF" w:sz="2"/>
              <w:bottom w:val="single" w:color="BFBFBF" w:sz="2"/>
              <w:right w:val="single" w:color="BFBFBF" w:sz="2"/>
            </w:tcBorders>
            <w:shd w:fill="548235"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CHARTE art. 14–19 (47·46·53·43)</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N°17.2 · ≈ p. 176</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548235"/>
                <w:sz w:val="13"/>
                <w:szCs w:val="13"/>
              </w:rPr>
              <w:t xml:space="preserve">bass. 17 mm (#2)</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Éducation (14), profession (15), entreprise (16), propriété (17), asile (18), éloignement et extradition (19)</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548235"/>
                <w:sz w:val="13"/>
                <w:szCs w:val="13"/>
              </w:rPr>
              <w:t xml:space="preserve">47 · 41 · 50 · 45 · 46 · 53 · 43</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Prot. 1 (N°4.2) · Prot. 4 art. 4 (N°4.3) · Conv. Genève (N°31) · règl. asile (N°21.2)</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Art. 18-19 : non-refoulement ; Elgafaji (2009, protection subsidiaire). Côté mandat d’arrêt européen : Melloni (2013), Aranyosi (2016) (N°19.5). Art. 17 § 2 : propriété intellectuelle.</w:t>
            </w:r>
          </w:p>
        </w:tc>
      </w:tr>
      <w:tr>
        <w:tc>
          <w:tcPr>
            <w:tcW w:type="dxa" w:w="460"/>
            <w:tcBorders>
              <w:top w:val="single" w:color="BFBFBF" w:sz="2"/>
              <w:left w:val="single" w:color="BFBFBF" w:sz="2"/>
              <w:bottom w:val="single" w:color="BFBFBF" w:sz="2"/>
              <w:right w:val="single" w:color="BFBFBF" w:sz="2"/>
            </w:tcBorders>
            <w:shd w:fill="548235"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CIDE art. 13–41 (47·30)</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N°34.1 · ≈ p. 501</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548235"/>
                <w:sz w:val="13"/>
                <w:szCs w:val="13"/>
              </w:rPr>
              <w:t xml:space="preserve">bass. 8 mm (#1)</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Éducation (28-29), protection contre l’exploitation, mineurs privés de liberté (37), justice pénale des mineurs (40) · protocoles et OIT 182 (N°34.2 à 34.4)</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548235"/>
                <w:sz w:val="13"/>
                <w:szCs w:val="13"/>
              </w:rPr>
              <w:t xml:space="preserve">47 · 30 · 32 · 29</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CJPM (N°61.3-61.4) · Prot. 1 art. 2 · PIDESC art. 13</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Art. 37 : la détention d’un enfant n’est qu’une mesure de dernier ressort. Art. 40 : justice pénale spécialisée — PFRLR de la justice des mineurs (2002-461 DC).</w:t>
            </w:r>
          </w:p>
        </w:tc>
      </w:tr>
      <w:tr>
        <w:tc>
          <w:tcPr>
            <w:tcW w:type="dxa" w:w="460"/>
            <w:tcBorders>
              <w:top w:val="single" w:color="BFBFBF" w:sz="2"/>
              <w:left w:val="single" w:color="BFBFBF" w:sz="2"/>
              <w:bottom w:val="single" w:color="BFBFBF" w:sz="2"/>
              <w:right w:val="single" w:color="BFBFBF" w:sz="2"/>
            </w:tcBorders>
            <w:shd w:fill="F2F2F2" w:color="auto" w:val="clear"/>
          </w:tcPr>
          <w:p>
            <w:pPr>
              <w:spacing w:after="16" w:before="16"/>
              <w:jc w:val="center"/>
            </w:pPr>
            <w:r>
              <w:rPr>
                <w:b/>
                <w:bCs/>
                <w:i w:val="false"/>
                <w:iCs w:val="false"/>
                <w:color w:val="808080"/>
                <w:sz w:val="16"/>
                <w:szCs w:val="16"/>
              </w:rPr>
              <w:t xml:space="preserve">2</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N°64 PAUVRETÉ &amp; RSA (48·55)</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N°64 · p. 789</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548235"/>
                <w:sz w:val="13"/>
                <w:szCs w:val="13"/>
              </w:rPr>
              <w:t xml:space="preserve">bass. 8 mm (#1)</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Lutte contre la pauvreté et les exclusions — loi 2008-1249 (RSA) · CASF L.115-1 s.</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548235"/>
                <w:sz w:val="13"/>
                <w:szCs w:val="13"/>
              </w:rPr>
              <w:t xml:space="preserve">48 · 55 · 3</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al. 10-11 Préambule 1946 (N°2) · PIDESC art. 9-11 · Charte sociale (N°14)</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Al. 11 : droit d’obtenir de la collectivité des moyens convenables d’existence ; solidarité nationale (fiche 48).</w:t>
            </w:r>
          </w:p>
        </w:tc>
      </w:tr>
      <w:tr>
        <w:tc>
          <w:tcPr>
            <w:tcW w:type="dxa" w:w="460"/>
            <w:tcBorders>
              <w:top w:val="single" w:color="BFBFBF" w:sz="2"/>
              <w:left w:val="single" w:color="BFBFBF" w:sz="2"/>
              <w:bottom w:val="single" w:color="BFBFBF" w:sz="2"/>
              <w:right w:val="single" w:color="BFBFBF" w:sz="2"/>
            </w:tcBorders>
            <w:shd w:fill="548235"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N°78.1–78.2 DROIT À L’ÉDUCATION (47)</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N°78.1 · p. 965</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548235"/>
                <w:sz w:val="13"/>
                <w:szCs w:val="13"/>
              </w:rPr>
              <w:t xml:space="preserve">bass. 8 mm (#1)</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Droit à l’éducation et service public de l’enseignement (C. éduc. L.111-1 s.) · missions (L.121-1 s., N°78.2 p. 967)</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548235"/>
                <w:sz w:val="13"/>
                <w:szCs w:val="13"/>
              </w:rPr>
              <w:t xml:space="preserve">47 · 55</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al. 13 Préambule (N°2) · Prot. 1 art. 2 (N°4.2) · PIDESC art. 13 · CIDE art. 28 · Charte UE art. 14</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Gratuité de l’enseignement supérieur public, droits d’inscription modiques : 2019-809 QPC ; scolarisation des enfants handicapés : CE, Laruelle (2009).</w:t>
            </w:r>
          </w:p>
        </w:tc>
      </w:tr>
      <w:tr>
        <w:tc>
          <w:tcPr>
            <w:tcW w:type="dxa" w:w="460"/>
            <w:tcBorders>
              <w:top w:val="single" w:color="BFBFBF" w:sz="2"/>
              <w:left w:val="single" w:color="BFBFBF" w:sz="2"/>
              <w:bottom w:val="single" w:color="BFBFBF" w:sz="2"/>
              <w:right w:val="single" w:color="BFBFBF" w:sz="2"/>
            </w:tcBorders>
            <w:shd w:fill="548235"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N°109 LIBERTÉ DU COMMERCE (45)</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N°109 · p. 1183</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548235"/>
                <w:sz w:val="13"/>
                <w:szCs w:val="13"/>
              </w:rPr>
              <w:t xml:space="preserve">bass. 8 mm (#1)</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Décret d’Allarde — art. 7 de la loi des 2-17 mars 1791 (liberté du commerce et de l’industrie)</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548235"/>
                <w:sz w:val="13"/>
                <w:szCs w:val="13"/>
              </w:rPr>
              <w:t xml:space="preserve">45 · 46</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art. 4 DDHC · Charte UE art. 16</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Liberté d’entreprendre rattachée à l’art. 4 DDHC (81-132 DC) ; seule la loi peut restreindre une activité professionnelle (Daudignac, 1951).</w:t>
            </w:r>
          </w:p>
        </w:tc>
      </w:tr>
    </w:tbl>
    <w:p>
      <w:pPr>
        <w:spacing w:after="120"/>
      </w:pPr>
    </w:p>
    <w:tbl>
      <w:tblPr>
        <w:tblW w:type="dxa" w:w="15598"/>
        <w:tblBorders>
          <w:top w:val="single" w:color="BFBFBF" w:sz="2"/>
          <w:left w:val="single" w:color="BFBFBF" w:sz="2"/>
          <w:bottom w:val="single" w:color="BFBFBF" w:sz="2"/>
          <w:right w:val="single" w:color="BFBFBF" w:sz="2"/>
          <w:insideH w:val="single" w:color="D9D9D9" w:sz="2"/>
          <w:insideV w:val="single" w:color="BFBFBF" w:sz="2"/>
        </w:tblBorders>
      </w:tblPr>
      <w:tblGrid>
        <w:gridCol w:w="460"/>
        <w:gridCol w:w="2000"/>
        <w:gridCol w:w="700"/>
        <w:gridCol w:w="1150"/>
        <w:gridCol w:w="2050"/>
        <w:gridCol w:w="800"/>
        <w:gridCol w:w="3200"/>
        <w:gridCol w:w="5238"/>
      </w:tblGrid>
      <w:tr>
        <w:tc>
          <w:tcPr>
            <w:gridSpan w:val="8"/>
            <w:tcBorders>
              <w:top w:val="single" w:color="BFBFBF" w:sz="2"/>
              <w:left w:val="single" w:color="BFBFBF" w:sz="2"/>
              <w:bottom w:val="single" w:color="BFBFBF" w:sz="2"/>
              <w:right w:val="single" w:color="BFBFBF" w:sz="2"/>
            </w:tcBorders>
            <w:shd w:fill="EDE3D3" w:color="auto" w:val="clear"/>
          </w:tcPr>
          <w:p>
            <w:pPr>
              <w:spacing w:after="20" w:before="50"/>
            </w:pPr>
            <w:r>
              <w:rPr>
                <w:b/>
                <w:bCs/>
                <w:color w:val="8B6F31"/>
                <w:sz w:val="21"/>
                <w:szCs w:val="21"/>
              </w:rPr>
              <w:t xml:space="preserve">VII-B — Environnement, travail, logement, culture, asile</w:t>
            </w:r>
            <w:r>
              <w:rPr>
                <w:b/>
                <w:bCs/>
                <w:color w:val="8B6F31"/>
                <w:sz w:val="15"/>
                <w:szCs w:val="15"/>
              </w:rPr>
              <w:t xml:space="preserve">     ■ SABLE · arête basse · bande 36,4 → 79,1 mm du coin de la tranche · pas 9 mm · 11 onglets</w:t>
            </w:r>
          </w:p>
          <w:p>
            <w:pPr>
              <w:spacing w:after="40"/>
            </w:pPr>
            <w:r>
              <w:rPr>
                <w:i/>
                <w:iCs/>
                <w:color w:val="8B6F31"/>
                <w:sz w:val="14"/>
                <w:szCs w:val="14"/>
              </w:rPr>
              <w:t xml:space="preserve">↳ Fiches 49 le droit à un environnement sain · 50 le droit au travail · 51 le droit au logement · 52 le droit à la culture · 53 le droit d’asile</w:t>
            </w:r>
          </w:p>
        </w:tc>
      </w:tr>
      <w:tr>
        <w:trPr>
          <w:tblHeader/>
        </w:trPr>
        <w:tc>
          <w:tcPr>
            <w:tcW w:type="dxa" w:w="460"/>
            <w:tcBorders>
              <w:top w:val="single" w:color="BFBFBF" w:sz="2"/>
              <w:left w:val="single" w:color="BFBFBF" w:sz="2"/>
              <w:bottom w:val="single" w:color="BFBFBF" w:sz="2"/>
              <w:right w:val="single" w:color="BFBFBF" w:sz="2"/>
            </w:tcBorders>
            <w:shd w:fill="EDE3D3" w:color="auto" w:val="clear"/>
          </w:tcPr>
          <w:p>
            <w:pPr>
              <w:spacing w:after="16" w:before="16"/>
            </w:pPr>
            <w:r>
              <w:rPr>
                <w:b/>
                <w:bCs/>
                <w:i w:val="false"/>
                <w:iCs w:val="false"/>
                <w:color w:val="404040"/>
                <w:sz w:val="13"/>
                <w:szCs w:val="13"/>
              </w:rPr>
              <w:t xml:space="preserve">P</w:t>
            </w:r>
          </w:p>
        </w:tc>
        <w:tc>
          <w:tcPr>
            <w:tcW w:type="dxa" w:w="2000"/>
            <w:tcBorders>
              <w:top w:val="single" w:color="BFBFBF" w:sz="2"/>
              <w:left w:val="single" w:color="BFBFBF" w:sz="2"/>
              <w:bottom w:val="single" w:color="BFBFBF" w:sz="2"/>
              <w:right w:val="single" w:color="BFBFBF" w:sz="2"/>
            </w:tcBorders>
            <w:shd w:fill="EDE3D3" w:color="auto" w:val="clear"/>
          </w:tcPr>
          <w:p>
            <w:pPr>
              <w:spacing w:after="16" w:before="16"/>
            </w:pPr>
            <w:r>
              <w:rPr>
                <w:b/>
                <w:bCs/>
                <w:i w:val="false"/>
                <w:iCs w:val="false"/>
                <w:color w:val="404040"/>
                <w:sz w:val="13"/>
                <w:szCs w:val="13"/>
              </w:rPr>
              <w:t xml:space="preserve">À écrire sur l’onglet</w:t>
            </w:r>
          </w:p>
        </w:tc>
        <w:tc>
          <w:tcPr>
            <w:tcW w:type="dxa" w:w="700"/>
            <w:tcBorders>
              <w:top w:val="single" w:color="BFBFBF" w:sz="2"/>
              <w:left w:val="single" w:color="BFBFBF" w:sz="2"/>
              <w:bottom w:val="single" w:color="BFBFBF" w:sz="2"/>
              <w:right w:val="single" w:color="BFBFBF" w:sz="2"/>
            </w:tcBorders>
            <w:shd w:fill="EDE3D3" w:color="auto" w:val="clear"/>
          </w:tcPr>
          <w:p>
            <w:pPr>
              <w:spacing w:after="16" w:before="16"/>
            </w:pPr>
            <w:r>
              <w:rPr>
                <w:b/>
                <w:bCs/>
                <w:i w:val="false"/>
                <w:iCs w:val="false"/>
                <w:color w:val="404040"/>
                <w:sz w:val="13"/>
                <w:szCs w:val="13"/>
              </w:rPr>
              <w:t xml:space="preserve">N° · p.</w:t>
            </w:r>
          </w:p>
        </w:tc>
        <w:tc>
          <w:tcPr>
            <w:tcW w:type="dxa" w:w="1150"/>
            <w:tcBorders>
              <w:top w:val="single" w:color="BFBFBF" w:sz="2"/>
              <w:left w:val="single" w:color="BFBFBF" w:sz="2"/>
              <w:bottom w:val="single" w:color="BFBFBF" w:sz="2"/>
              <w:right w:val="single" w:color="BFBFBF" w:sz="2"/>
            </w:tcBorders>
            <w:shd w:fill="EDE3D3" w:color="auto" w:val="clear"/>
          </w:tcPr>
          <w:p>
            <w:pPr>
              <w:spacing w:after="16" w:before="16"/>
            </w:pPr>
            <w:r>
              <w:rPr>
                <w:b/>
                <w:bCs/>
                <w:i w:val="false"/>
                <w:iCs w:val="false"/>
                <w:color w:val="404040"/>
                <w:sz w:val="13"/>
                <w:szCs w:val="13"/>
              </w:rPr>
              <w:t xml:space="preserve">Position</w:t>
            </w:r>
          </w:p>
        </w:tc>
        <w:tc>
          <w:tcPr>
            <w:tcW w:type="dxa" w:w="2050"/>
            <w:tcBorders>
              <w:top w:val="single" w:color="BFBFBF" w:sz="2"/>
              <w:left w:val="single" w:color="BFBFBF" w:sz="2"/>
              <w:bottom w:val="single" w:color="BFBFBF" w:sz="2"/>
              <w:right w:val="single" w:color="BFBFBF" w:sz="2"/>
            </w:tcBorders>
            <w:shd w:fill="EDE3D3" w:color="auto" w:val="clear"/>
          </w:tcPr>
          <w:p>
            <w:pPr>
              <w:spacing w:after="16" w:before="16"/>
            </w:pPr>
            <w:r>
              <w:rPr>
                <w:b/>
                <w:bCs/>
                <w:i w:val="false"/>
                <w:iCs w:val="false"/>
                <w:color w:val="404040"/>
                <w:sz w:val="13"/>
                <w:szCs w:val="13"/>
              </w:rPr>
              <w:t xml:space="preserve">Intitulé</w:t>
            </w:r>
          </w:p>
        </w:tc>
        <w:tc>
          <w:tcPr>
            <w:tcW w:type="dxa" w:w="800"/>
            <w:tcBorders>
              <w:top w:val="single" w:color="BFBFBF" w:sz="2"/>
              <w:left w:val="single" w:color="BFBFBF" w:sz="2"/>
              <w:bottom w:val="single" w:color="BFBFBF" w:sz="2"/>
              <w:right w:val="single" w:color="BFBFBF" w:sz="2"/>
            </w:tcBorders>
            <w:shd w:fill="EDE3D3" w:color="auto" w:val="clear"/>
          </w:tcPr>
          <w:p>
            <w:pPr>
              <w:spacing w:after="16" w:before="16"/>
            </w:pPr>
            <w:r>
              <w:rPr>
                <w:b/>
                <w:bCs/>
                <w:i w:val="false"/>
                <w:iCs w:val="false"/>
                <w:color w:val="404040"/>
                <w:sz w:val="13"/>
                <w:szCs w:val="13"/>
              </w:rPr>
              <w:t xml:space="preserve">Fiche(s)</w:t>
            </w:r>
          </w:p>
        </w:tc>
        <w:tc>
          <w:tcPr>
            <w:tcW w:type="dxa" w:w="3200"/>
            <w:tcBorders>
              <w:top w:val="single" w:color="BFBFBF" w:sz="2"/>
              <w:left w:val="single" w:color="BFBFBF" w:sz="2"/>
              <w:bottom w:val="single" w:color="BFBFBF" w:sz="2"/>
              <w:right w:val="single" w:color="BFBFBF" w:sz="2"/>
            </w:tcBorders>
            <w:shd w:fill="EDE3D3" w:color="auto" w:val="clear"/>
          </w:tcPr>
          <w:p>
            <w:pPr>
              <w:spacing w:after="16" w:before="16"/>
            </w:pPr>
            <w:r>
              <w:rPr>
                <w:b/>
                <w:bCs/>
                <w:i w:val="false"/>
                <w:iCs w:val="false"/>
                <w:color w:val="404040"/>
                <w:sz w:val="13"/>
                <w:szCs w:val="13"/>
              </w:rPr>
              <w:t xml:space="preserve">Correspondances dans le recueil</w:t>
            </w:r>
          </w:p>
        </w:tc>
        <w:tc>
          <w:tcPr>
            <w:tcW w:type="dxa" w:w="5238"/>
            <w:tcBorders>
              <w:top w:val="single" w:color="BFBFBF" w:sz="2"/>
              <w:left w:val="single" w:color="BFBFBF" w:sz="2"/>
              <w:bottom w:val="single" w:color="BFBFBF" w:sz="2"/>
              <w:right w:val="single" w:color="BFBFBF" w:sz="2"/>
            </w:tcBorders>
            <w:shd w:fill="EDE3D3" w:color="auto" w:val="clear"/>
          </w:tcPr>
          <w:p>
            <w:pPr>
              <w:spacing w:after="16" w:before="16"/>
            </w:pPr>
            <w:r>
              <w:rPr>
                <w:b/>
                <w:bCs/>
                <w:i w:val="false"/>
                <w:iCs w:val="false"/>
                <w:color w:val="404040"/>
                <w:sz w:val="13"/>
                <w:szCs w:val="13"/>
              </w:rPr>
              <w:t xml:space="preserve">Réflexe Grand Oral (tes fiches)</w:t>
            </w:r>
          </w:p>
        </w:tc>
      </w:tr>
      <w:tr>
        <w:tc>
          <w:tcPr>
            <w:tcW w:type="dxa" w:w="460"/>
            <w:tcBorders>
              <w:top w:val="single" w:color="BFBFBF" w:sz="2"/>
              <w:left w:val="single" w:color="BFBFBF" w:sz="2"/>
              <w:bottom w:val="single" w:color="BFBFBF" w:sz="2"/>
              <w:right w:val="single" w:color="BFBFBF" w:sz="2"/>
            </w:tcBorders>
            <w:shd w:fill="8B6F31"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N°3.2 CHARTE ENV. (49)</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N°3.2 · p. 29</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8B6F31"/>
                <w:sz w:val="13"/>
                <w:szCs w:val="13"/>
              </w:rPr>
              <w:t xml:space="preserve">bass. 36,4 mm (#1)</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Charte de l’environnement (2004 / LC 1er mars 2005)</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8B6F31"/>
                <w:sz w:val="13"/>
                <w:szCs w:val="13"/>
              </w:rPr>
              <w:t xml:space="preserve">49</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C. env. L.110-1 s. (N°113) · air (N°114) · art. 8 CEDH (KlimaSeniorinnen)</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Tous les droits et devoirs ont valeur constitutionnelle (2008-564 DC OGM) ; vigilance (2011-116 QPC Michel Z.) ; art. 6 non invocable en QPC (2012-283 QPC) ; protection de l’environnement = OVC (2019-823 QPC) ; générations futures (2023-1066 QPC). CE Grande-Synthe (2021).</w:t>
            </w:r>
          </w:p>
        </w:tc>
      </w:tr>
      <w:tr>
        <w:tc>
          <w:tcPr>
            <w:tcW w:type="dxa" w:w="460"/>
            <w:tcBorders>
              <w:top w:val="single" w:color="BFBFBF" w:sz="2"/>
              <w:left w:val="single" w:color="BFBFBF" w:sz="2"/>
              <w:bottom w:val="single" w:color="BFBFBF" w:sz="2"/>
              <w:right w:val="single" w:color="BFBFBF" w:sz="2"/>
            </w:tcBorders>
            <w:shd w:fill="8B6F31"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N°14 CHARTE SOCIALE (50·51·48)</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N°14 · p. 126</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8B6F31"/>
                <w:sz w:val="13"/>
                <w:szCs w:val="13"/>
              </w:rPr>
              <w:t xml:space="preserve">bass. 45,4 mm (#2)</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Charte sociale européenne révisée (1996) — CEDS, réclamations collectives</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8B6F31"/>
                <w:sz w:val="13"/>
                <w:szCs w:val="13"/>
              </w:rPr>
              <w:t xml:space="preserve">50 · 51 · 48 · 47</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Préambule 1946 al. 5-11 (N°2) · PIDESC (N°25.1) · Charte UE titre IV (N°17.2) · DALO / logement (N°112)</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CEDS, FEANTSA c. France (2007) : violation de l’art. 31 (logement). Barème Macron : Cass. soc. 11 mai 2022 (art. 24 sans effet direct) contre les décisions du CEDS.</w:t>
            </w:r>
          </w:p>
        </w:tc>
      </w:tr>
      <w:tr>
        <w:tc>
          <w:tcPr>
            <w:tcW w:type="dxa" w:w="460"/>
            <w:tcBorders>
              <w:top w:val="single" w:color="BFBFBF" w:sz="2"/>
              <w:left w:val="single" w:color="BFBFBF" w:sz="2"/>
              <w:bottom w:val="single" w:color="BFBFBF" w:sz="2"/>
              <w:right w:val="single" w:color="BFBFBF" w:sz="2"/>
            </w:tcBorders>
            <w:shd w:fill="8B6F31"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CHARTE art. 27–38 (50·48·49·51)</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N°17.2 · ≈ p. 178</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8B6F31"/>
                <w:sz w:val="13"/>
                <w:szCs w:val="13"/>
              </w:rPr>
              <w:t xml:space="preserve">bass. 36,4 mm (#1)</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Titre IV Solidarité : travailleurs (27-33), sécurité sociale et logement (34), santé (35), environnement (37), consommateurs (38)</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8B6F31"/>
                <w:sz w:val="13"/>
                <w:szCs w:val="13"/>
              </w:rPr>
              <w:t xml:space="preserve">50 · 48 · 49 · 51</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Charte sociale (N°14) · PIDESC (N°25.1) · Préambule 1946 al. 5-11 (N°2) · Charte env. (N°3.2)</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Droits et « principes » (art. 52 § 5) : les principes ne sont invocables qu’à l’appui des actes qui les mettent en œuvre. Art. 31 § 2 (congés payés) : effet direct horizontal reconnu par la CJUE (2018).</w:t>
            </w:r>
          </w:p>
        </w:tc>
      </w:tr>
      <w:tr>
        <w:tc>
          <w:tcPr>
            <w:tcW w:type="dxa" w:w="460"/>
            <w:tcBorders>
              <w:top w:val="single" w:color="BFBFBF" w:sz="2"/>
              <w:left w:val="single" w:color="BFBFBF" w:sz="2"/>
              <w:bottom w:val="single" w:color="BFBFBF" w:sz="2"/>
              <w:right w:val="single" w:color="BFBFBF" w:sz="2"/>
            </w:tcBorders>
            <w:shd w:fill="8B6F31"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N°21.2 ASILE &amp; MIGRATION (53)</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N°21.2 · p. 333</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8B6F31"/>
                <w:sz w:val="13"/>
                <w:szCs w:val="13"/>
              </w:rPr>
              <w:t xml:space="preserve">bass. 36,4 mm (#1)</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Règlement (UE) 2024/1351 (Pacte sur la migration et l’asile) — art. 77-80 TFUE juste avant (N°21.1, p. 331)</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8B6F31"/>
                <w:sz w:val="13"/>
                <w:szCs w:val="13"/>
              </w:rPr>
              <w:t xml:space="preserve">53 · 43</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Conv. Genève (N°31) · Charte art. 18-19 · CESEDA asile (N°67.5) · al. 4 Préambule</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Succède au système de Dublin. Transferts : M.S.S. c. Belgique et Grèce (2011), Tarakhel (2014) — défaillances systémiques. Art. 78 TFUE : politique commune d’asile.</w:t>
            </w:r>
          </w:p>
        </w:tc>
      </w:tr>
      <w:tr>
        <w:tc>
          <w:tcPr>
            <w:tcW w:type="dxa" w:w="460"/>
            <w:tcBorders>
              <w:top w:val="single" w:color="BFBFBF" w:sz="2"/>
              <w:left w:val="single" w:color="BFBFBF" w:sz="2"/>
              <w:bottom w:val="single" w:color="BFBFBF" w:sz="2"/>
              <w:right w:val="single" w:color="BFBFBF" w:sz="2"/>
            </w:tcBorders>
            <w:shd w:fill="8B6F31"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N°25.1 PIDESC art. 6–15 (50·48·51·47)</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N°25.1 · ≈ p. 431</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8B6F31"/>
                <w:sz w:val="13"/>
                <w:szCs w:val="13"/>
              </w:rPr>
              <w:t xml:space="preserve">bass. 45,4 mm (#2)</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PIDESC : travail (6-8), sécurité sociale et famille (9-10), niveau de vie et logement (11), santé (12), éducation (13-14), culture (15)</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8B6F31"/>
                <w:sz w:val="13"/>
                <w:szCs w:val="13"/>
              </w:rPr>
              <w:t xml:space="preserve">50 · 48 · 51 · 47 · 52 · 13</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Préambule 1946 (N°2) · Charte sociale (N°14) · Charte UE titre IV · protocole PIDESC (N°25.2, p. 436)</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Réalisation progressive (art. 2 § 1) ; effet direct apprécié stipulation par stipulation (CE Ass., GISTI, 11 avril 2012). Art. 11 : logement (fiche 51) ; art. 15 : culture (fiche 52).</w:t>
            </w:r>
          </w:p>
        </w:tc>
      </w:tr>
      <w:tr>
        <w:tc>
          <w:tcPr>
            <w:tcW w:type="dxa" w:w="460"/>
            <w:tcBorders>
              <w:top w:val="single" w:color="BFBFBF" w:sz="2"/>
              <w:left w:val="single" w:color="BFBFBF" w:sz="2"/>
              <w:bottom w:val="single" w:color="BFBFBF" w:sz="2"/>
              <w:right w:val="single" w:color="BFBFBF" w:sz="2"/>
            </w:tcBorders>
            <w:shd w:fill="8B6F31"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N°31 CONV. GENÈVE (53·43)</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N°31 · p. 472</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8B6F31"/>
                <w:sz w:val="13"/>
                <w:szCs w:val="13"/>
              </w:rPr>
              <w:t xml:space="preserve">bass. 36,4 mm (#1)</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Convention de Genève relative au statut des réfugiés (1951)</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8B6F31"/>
                <w:sz w:val="13"/>
                <w:szCs w:val="13"/>
              </w:rPr>
              <w:t xml:space="preserve">53 · 43 · 12</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Charte UE art. 18-19 · règl. asile (N°21.2) · CESEDA asile (N°67.5) · al. 4 Préambule · art. 53-1 C.</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Art. 1er A 2 : définition du réfugié (crainte fondée de persécution) ; art. 33 : non-refoulement, l’article le plus cité. Asile constitutionnel, conventionnel et protection subsidiaire : 93-325 DC.</w:t>
            </w:r>
          </w:p>
        </w:tc>
      </w:tr>
      <w:tr>
        <w:tc>
          <w:tcPr>
            <w:tcW w:type="dxa" w:w="460"/>
            <w:tcBorders>
              <w:top w:val="single" w:color="BFBFBF" w:sz="2"/>
              <w:left w:val="single" w:color="BFBFBF" w:sz="2"/>
              <w:bottom w:val="single" w:color="BFBFBF" w:sz="2"/>
              <w:right w:val="single" w:color="BFBFBF" w:sz="2"/>
            </w:tcBorders>
            <w:shd w:fill="F2F2F2" w:color="auto" w:val="clear"/>
          </w:tcPr>
          <w:p>
            <w:pPr>
              <w:spacing w:after="16" w:before="16"/>
              <w:jc w:val="center"/>
            </w:pPr>
            <w:r>
              <w:rPr>
                <w:b/>
                <w:bCs/>
                <w:i w:val="false"/>
                <w:iCs w:val="false"/>
                <w:color w:val="808080"/>
                <w:sz w:val="16"/>
                <w:szCs w:val="16"/>
              </w:rPr>
              <w:t xml:space="preserve">2</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N°32 APATRIDES (53·55)</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N°32 · p. 480</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8B6F31"/>
                <w:sz w:val="13"/>
                <w:szCs w:val="13"/>
              </w:rPr>
              <w:t xml:space="preserve">bass. 54,4 mm (#3)</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Convention relative au statut des apatrides (1954)</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8B6F31"/>
                <w:sz w:val="13"/>
                <w:szCs w:val="13"/>
              </w:rPr>
              <w:t xml:space="preserve">53 · 55 · 13</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Conv. Genève (N°31) · art. 15 DUDH · CESEDA (N°67.5)</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L’OFPRA reconnaît aussi la qualité d’apatride. Utile sur les sujets de nationalité (déchéance) et de vulnérabilité.</w:t>
            </w:r>
          </w:p>
        </w:tc>
      </w:tr>
      <w:tr>
        <w:tc>
          <w:tcPr>
            <w:tcW w:type="dxa" w:w="460"/>
            <w:tcBorders>
              <w:top w:val="single" w:color="BFBFBF" w:sz="2"/>
              <w:left w:val="single" w:color="BFBFBF" w:sz="2"/>
              <w:bottom w:val="single" w:color="BFBFBF" w:sz="2"/>
              <w:right w:val="single" w:color="BFBFBF" w:sz="2"/>
            </w:tcBorders>
            <w:shd w:fill="8B6F31"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N°67.5 ASILE — CESEDA (53)</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N°67.5 · p. 816</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8B6F31"/>
                <w:sz w:val="13"/>
                <w:szCs w:val="13"/>
              </w:rPr>
              <w:t xml:space="preserve">bass. 36,4 mm (#1)</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Droit d’asile et qualité de réfugié — CESEDA (OFPRA, CNDA)</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8B6F31"/>
                <w:sz w:val="13"/>
                <w:szCs w:val="13"/>
              </w:rPr>
              <w:t xml:space="preserve">53 · 55 · 18</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al. 4 Préambule · art. 53-1 C. · Conv. Genève (N°31) · règl. 2024/1351 (N°21.2) · Charte UE art. 18</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93-325 DC : l’asile constitutionnel ; principe de fraternité et liberté d’aider autrui dans un but humanitaire, « délit de solidarité » (2018-717/718 QPC).</w:t>
            </w:r>
          </w:p>
        </w:tc>
      </w:tr>
      <w:tr>
        <w:tc>
          <w:tcPr>
            <w:tcW w:type="dxa" w:w="460"/>
            <w:tcBorders>
              <w:top w:val="single" w:color="BFBFBF" w:sz="2"/>
              <w:left w:val="single" w:color="BFBFBF" w:sz="2"/>
              <w:bottom w:val="single" w:color="BFBFBF" w:sz="2"/>
              <w:right w:val="single" w:color="BFBFBF" w:sz="2"/>
            </w:tcBorders>
            <w:shd w:fill="FFD24A" w:color="auto" w:val="clear"/>
          </w:tcPr>
          <w:p>
            <w:pPr>
              <w:spacing w:after="16" w:before="16"/>
              <w:jc w:val="center"/>
            </w:pPr>
            <w:r>
              <w:rPr>
                <w:b/>
                <w:bCs/>
                <w:i w:val="false"/>
                <w:iCs w:val="false"/>
                <w:color w:val="6B4E00"/>
                <w:sz w:val="16"/>
                <w:szCs w:val="16"/>
              </w:rPr>
              <w:t xml:space="preserve">★</w:t>
            </w:r>
          </w:p>
        </w:tc>
        <w:tc>
          <w:tcPr>
            <w:tcW w:type="dxa" w:w="2000"/>
            <w:tcBorders>
              <w:top w:val="single" w:color="BFBFBF" w:sz="2"/>
              <w:left w:val="single" w:color="BFBFBF" w:sz="2"/>
              <w:bottom w:val="single" w:color="BFBFBF" w:sz="2"/>
              <w:right w:val="single" w:color="BFBFBF" w:sz="2"/>
            </w:tcBorders>
            <w:shd w:fill="FFF6DC" w:color="auto" w:val="clear"/>
          </w:tcPr>
          <w:p>
            <w:pPr>
              <w:spacing w:after="16" w:before="16"/>
            </w:pPr>
            <w:r>
              <w:rPr>
                <w:b/>
                <w:bCs/>
                <w:i w:val="false"/>
                <w:iCs w:val="false"/>
                <w:color w:val="1F1F1F"/>
                <w:sz w:val="14"/>
                <w:szCs w:val="14"/>
              </w:rPr>
              <w:t xml:space="preserve">N°106–108 SYNDICAT &amp; GRÈVE (50)  ★</w:t>
            </w:r>
          </w:p>
        </w:tc>
        <w:tc>
          <w:tcPr>
            <w:tcW w:type="dxa" w:w="70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595959"/>
                <w:sz w:val="12"/>
                <w:szCs w:val="12"/>
              </w:rPr>
              <w:t xml:space="preserve">N°106 · p. 1180</w:t>
            </w:r>
          </w:p>
        </w:tc>
        <w:tc>
          <w:tcPr>
            <w:tcW w:type="dxa" w:w="1150"/>
            <w:tcBorders>
              <w:top w:val="single" w:color="BFBFBF" w:sz="2"/>
              <w:left w:val="single" w:color="BFBFBF" w:sz="2"/>
              <w:bottom w:val="single" w:color="BFBFBF" w:sz="2"/>
              <w:right w:val="single" w:color="BFBFBF" w:sz="2"/>
            </w:tcBorders>
            <w:shd w:fill="FFF6DC" w:color="auto" w:val="clear"/>
          </w:tcPr>
          <w:p>
            <w:pPr>
              <w:spacing w:after="16" w:before="16"/>
              <w:jc w:val="center"/>
            </w:pPr>
            <w:r>
              <w:rPr>
                <w:b/>
                <w:bCs/>
                <w:i w:val="false"/>
                <w:iCs w:val="false"/>
                <w:color w:val="8B6F31"/>
                <w:sz w:val="13"/>
                <w:szCs w:val="13"/>
              </w:rPr>
              <w:t xml:space="preserve">bass. 36,4 mm (#1)</w:t>
            </w:r>
          </w:p>
        </w:tc>
        <w:tc>
          <w:tcPr>
            <w:tcW w:type="dxa" w:w="205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333333"/>
                <w:sz w:val="13"/>
                <w:szCs w:val="13"/>
              </w:rPr>
              <w:t xml:space="preserve">Liberté syndicale (C. trav. L.2141-1 s.) · droit de grève (L.2511-1 s., N°107 p. 1182) · grève dans la fonction publique (CGFP L.114-1, N°108 p. 1183)</w:t>
            </w:r>
          </w:p>
        </w:tc>
        <w:tc>
          <w:tcPr>
            <w:tcW w:type="dxa" w:w="800"/>
            <w:tcBorders>
              <w:top w:val="single" w:color="BFBFBF" w:sz="2"/>
              <w:left w:val="single" w:color="BFBFBF" w:sz="2"/>
              <w:bottom w:val="single" w:color="BFBFBF" w:sz="2"/>
              <w:right w:val="single" w:color="BFBFBF" w:sz="2"/>
            </w:tcBorders>
            <w:shd w:fill="FFF6DC" w:color="auto" w:val="clear"/>
          </w:tcPr>
          <w:p>
            <w:pPr>
              <w:spacing w:after="16" w:before="16"/>
              <w:jc w:val="center"/>
            </w:pPr>
            <w:r>
              <w:rPr>
                <w:b/>
                <w:bCs/>
                <w:i w:val="false"/>
                <w:iCs w:val="false"/>
                <w:color w:val="8B6F31"/>
                <w:sz w:val="13"/>
                <w:szCs w:val="13"/>
              </w:rPr>
              <w:t xml:space="preserve">50 · 39</w:t>
            </w:r>
          </w:p>
        </w:tc>
        <w:tc>
          <w:tcPr>
            <w:tcW w:type="dxa" w:w="320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333333"/>
                <w:sz w:val="12"/>
                <w:szCs w:val="12"/>
              </w:rPr>
              <w:t xml:space="preserve">al. 6-7 Préambule 1946 (N°2) · art. 11 CEDH · art. 8 PIDESC · Charte sociale (N°14)</w:t>
            </w:r>
          </w:p>
        </w:tc>
        <w:tc>
          <w:tcPr>
            <w:tcW w:type="dxa" w:w="5238"/>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333333"/>
                <w:sz w:val="12"/>
                <w:szCs w:val="12"/>
              </w:rPr>
              <w:t xml:space="preserve">Grève de valeur constitutionnelle, à concilier avec la continuité du service public (79-105 DC) ; CE Ass., Dehaene (1950) ; négociation collective, élément de la liberté syndicale (Demir et Baykara, 2008).</w:t>
            </w:r>
          </w:p>
        </w:tc>
      </w:tr>
      <w:tr>
        <w:tc>
          <w:tcPr>
            <w:tcW w:type="dxa" w:w="460"/>
            <w:tcBorders>
              <w:top w:val="single" w:color="BFBFBF" w:sz="2"/>
              <w:left w:val="single" w:color="BFBFBF" w:sz="2"/>
              <w:bottom w:val="single" w:color="BFBFBF" w:sz="2"/>
              <w:right w:val="single" w:color="BFBFBF" w:sz="2"/>
            </w:tcBorders>
            <w:shd w:fill="8B6F31"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N°111–112 LOGEMENT DÉCENT (51)</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N°112 · p. 1190</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8B6F31"/>
                <w:sz w:val="13"/>
                <w:szCs w:val="13"/>
              </w:rPr>
              <w:t xml:space="preserve">bass. 45,4 mm (#2)</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Droit à un logement décent et indépendant (CCH L.300-1 et L.300-2) — droit à la mobilité (C. transports, N°111 p. 1189) juste avant</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8B6F31"/>
                <w:sz w:val="13"/>
                <w:szCs w:val="13"/>
              </w:rPr>
              <w:t xml:space="preserve">51 · 48</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al. 10-11 Préambule · PIDESC art. 11 · Charte sociale art. 31 (N°14) · Charte UE art. 34 § 3</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Logement décent, objectif de valeur constitutionnelle (94-359 DC) ; carence de l’État dans l’hébergement d’urgence (CE, ord., Fofana, 2012) ; inexécution d’un jugement DALO : Tchokontio Happi c. France (2015).</w:t>
            </w:r>
          </w:p>
        </w:tc>
      </w:tr>
      <w:tr>
        <w:tc>
          <w:tcPr>
            <w:tcW w:type="dxa" w:w="460"/>
            <w:tcBorders>
              <w:top w:val="single" w:color="BFBFBF" w:sz="2"/>
              <w:left w:val="single" w:color="BFBFBF" w:sz="2"/>
              <w:bottom w:val="single" w:color="BFBFBF" w:sz="2"/>
              <w:right w:val="single" w:color="BFBFBF" w:sz="2"/>
            </w:tcBorders>
            <w:shd w:fill="8B6F31"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N°113–114 ENVIRONNEMENT (49)</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N°113 · p. 1191</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8B6F31"/>
                <w:sz w:val="13"/>
                <w:szCs w:val="13"/>
              </w:rPr>
              <w:t xml:space="preserve">bass. 54,4 mm (#3)</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Principes généraux du droit de l’environnement (C. env. L.110-1 à L.110-3) · droit de respirer un air sain (L.220-1 et L.220-2, N°114 p. 1194)</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8B6F31"/>
                <w:sz w:val="13"/>
                <w:szCs w:val="13"/>
              </w:rPr>
              <w:t xml:space="preserve">49 · 9</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Charte env. (N°3.2) · art. 8 CEDH · Charte UE art. 37</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Principes de précaution, de prévention, pollueur-payeur ; Grande-Synthe (2021) ; KlimaSeniorinnen (2024).</w:t>
            </w:r>
          </w:p>
        </w:tc>
      </w:tr>
    </w:tbl>
    <w:p>
      <w:pPr>
        <w:spacing w:after="120"/>
      </w:pPr>
    </w:p>
    <w:p>
      <w:pPr>
        <w:spacing w:after="60" w:before="220"/>
      </w:pPr>
      <w:r>
        <w:rPr>
          <w:b/>
          <w:bCs/>
          <w:color w:val="1F3864"/>
          <w:sz w:val="24"/>
          <w:szCs w:val="24"/>
        </w:rPr>
        <w:t xml:space="preserve">Partie VIII — L’égalité et la non-discrimination</w:t>
      </w:r>
    </w:p>
    <w:tbl>
      <w:tblPr>
        <w:tblW w:type="dxa" w:w="15598"/>
        <w:tblBorders>
          <w:top w:val="single" w:color="BFBFBF" w:sz="2"/>
          <w:left w:val="single" w:color="BFBFBF" w:sz="2"/>
          <w:bottom w:val="single" w:color="BFBFBF" w:sz="2"/>
          <w:right w:val="single" w:color="BFBFBF" w:sz="2"/>
          <w:insideH w:val="single" w:color="D9D9D9" w:sz="2"/>
          <w:insideV w:val="single" w:color="BFBFBF" w:sz="2"/>
        </w:tblBorders>
      </w:tblPr>
      <w:tblGrid>
        <w:gridCol w:w="460"/>
        <w:gridCol w:w="2000"/>
        <w:gridCol w:w="700"/>
        <w:gridCol w:w="1150"/>
        <w:gridCol w:w="2050"/>
        <w:gridCol w:w="800"/>
        <w:gridCol w:w="3200"/>
        <w:gridCol w:w="5238"/>
      </w:tblGrid>
      <w:tr>
        <w:tc>
          <w:tcPr>
            <w:gridSpan w:val="8"/>
            <w:tcBorders>
              <w:top w:val="single" w:color="BFBFBF" w:sz="2"/>
              <w:left w:val="single" w:color="BFBFBF" w:sz="2"/>
              <w:bottom w:val="single" w:color="BFBFBF" w:sz="2"/>
              <w:right w:val="single" w:color="BFBFBF" w:sz="2"/>
            </w:tcBorders>
            <w:shd w:fill="DDE1E7" w:color="auto" w:val="clear"/>
          </w:tcPr>
          <w:p>
            <w:pPr>
              <w:spacing w:after="20" w:before="50"/>
            </w:pPr>
            <w:r>
              <w:rPr>
                <w:b/>
                <w:bCs/>
                <w:color w:val="5B6270"/>
                <w:sz w:val="21"/>
                <w:szCs w:val="21"/>
              </w:rPr>
              <w:t xml:space="preserve">VIII — Égalité et non-discrimination</w:t>
            </w:r>
            <w:r>
              <w:rPr>
                <w:b/>
                <w:bCs/>
                <w:color w:val="5B6270"/>
                <w:sz w:val="15"/>
                <w:szCs w:val="15"/>
              </w:rPr>
              <w:t xml:space="preserve">     ■ ARDOISE · arête basse · bande 79,1 → 140 mm du coin de la tranche · pas 9 mm · 14 onglets</w:t>
            </w:r>
          </w:p>
          <w:p>
            <w:pPr>
              <w:spacing w:after="40"/>
            </w:pPr>
            <w:r>
              <w:rPr>
                <w:i/>
                <w:iCs/>
                <w:color w:val="5B6270"/>
                <w:sz w:val="14"/>
                <w:szCs w:val="14"/>
              </w:rPr>
              <w:t xml:space="preserve">↳ Fiches 54 l’interdiction de la discrimination · 55 la prise en compte des vulnérabilités · 56 les mesures d’inégalité compensatoire</w:t>
            </w:r>
          </w:p>
        </w:tc>
      </w:tr>
      <w:tr>
        <w:trPr>
          <w:tblHeader/>
        </w:trPr>
        <w:tc>
          <w:tcPr>
            <w:tcW w:type="dxa" w:w="460"/>
            <w:tcBorders>
              <w:top w:val="single" w:color="BFBFBF" w:sz="2"/>
              <w:left w:val="single" w:color="BFBFBF" w:sz="2"/>
              <w:bottom w:val="single" w:color="BFBFBF" w:sz="2"/>
              <w:right w:val="single" w:color="BFBFBF" w:sz="2"/>
            </w:tcBorders>
            <w:shd w:fill="DDE1E7" w:color="auto" w:val="clear"/>
          </w:tcPr>
          <w:p>
            <w:pPr>
              <w:spacing w:after="16" w:before="16"/>
            </w:pPr>
            <w:r>
              <w:rPr>
                <w:b/>
                <w:bCs/>
                <w:i w:val="false"/>
                <w:iCs w:val="false"/>
                <w:color w:val="404040"/>
                <w:sz w:val="13"/>
                <w:szCs w:val="13"/>
              </w:rPr>
              <w:t xml:space="preserve">P</w:t>
            </w:r>
          </w:p>
        </w:tc>
        <w:tc>
          <w:tcPr>
            <w:tcW w:type="dxa" w:w="2000"/>
            <w:tcBorders>
              <w:top w:val="single" w:color="BFBFBF" w:sz="2"/>
              <w:left w:val="single" w:color="BFBFBF" w:sz="2"/>
              <w:bottom w:val="single" w:color="BFBFBF" w:sz="2"/>
              <w:right w:val="single" w:color="BFBFBF" w:sz="2"/>
            </w:tcBorders>
            <w:shd w:fill="DDE1E7" w:color="auto" w:val="clear"/>
          </w:tcPr>
          <w:p>
            <w:pPr>
              <w:spacing w:after="16" w:before="16"/>
            </w:pPr>
            <w:r>
              <w:rPr>
                <w:b/>
                <w:bCs/>
                <w:i w:val="false"/>
                <w:iCs w:val="false"/>
                <w:color w:val="404040"/>
                <w:sz w:val="13"/>
                <w:szCs w:val="13"/>
              </w:rPr>
              <w:t xml:space="preserve">À écrire sur l’onglet</w:t>
            </w:r>
          </w:p>
        </w:tc>
        <w:tc>
          <w:tcPr>
            <w:tcW w:type="dxa" w:w="700"/>
            <w:tcBorders>
              <w:top w:val="single" w:color="BFBFBF" w:sz="2"/>
              <w:left w:val="single" w:color="BFBFBF" w:sz="2"/>
              <w:bottom w:val="single" w:color="BFBFBF" w:sz="2"/>
              <w:right w:val="single" w:color="BFBFBF" w:sz="2"/>
            </w:tcBorders>
            <w:shd w:fill="DDE1E7" w:color="auto" w:val="clear"/>
          </w:tcPr>
          <w:p>
            <w:pPr>
              <w:spacing w:after="16" w:before="16"/>
            </w:pPr>
            <w:r>
              <w:rPr>
                <w:b/>
                <w:bCs/>
                <w:i w:val="false"/>
                <w:iCs w:val="false"/>
                <w:color w:val="404040"/>
                <w:sz w:val="13"/>
                <w:szCs w:val="13"/>
              </w:rPr>
              <w:t xml:space="preserve">N° · p.</w:t>
            </w:r>
          </w:p>
        </w:tc>
        <w:tc>
          <w:tcPr>
            <w:tcW w:type="dxa" w:w="1150"/>
            <w:tcBorders>
              <w:top w:val="single" w:color="BFBFBF" w:sz="2"/>
              <w:left w:val="single" w:color="BFBFBF" w:sz="2"/>
              <w:bottom w:val="single" w:color="BFBFBF" w:sz="2"/>
              <w:right w:val="single" w:color="BFBFBF" w:sz="2"/>
            </w:tcBorders>
            <w:shd w:fill="DDE1E7" w:color="auto" w:val="clear"/>
          </w:tcPr>
          <w:p>
            <w:pPr>
              <w:spacing w:after="16" w:before="16"/>
            </w:pPr>
            <w:r>
              <w:rPr>
                <w:b/>
                <w:bCs/>
                <w:i w:val="false"/>
                <w:iCs w:val="false"/>
                <w:color w:val="404040"/>
                <w:sz w:val="13"/>
                <w:szCs w:val="13"/>
              </w:rPr>
              <w:t xml:space="preserve">Position</w:t>
            </w:r>
          </w:p>
        </w:tc>
        <w:tc>
          <w:tcPr>
            <w:tcW w:type="dxa" w:w="2050"/>
            <w:tcBorders>
              <w:top w:val="single" w:color="BFBFBF" w:sz="2"/>
              <w:left w:val="single" w:color="BFBFBF" w:sz="2"/>
              <w:bottom w:val="single" w:color="BFBFBF" w:sz="2"/>
              <w:right w:val="single" w:color="BFBFBF" w:sz="2"/>
            </w:tcBorders>
            <w:shd w:fill="DDE1E7" w:color="auto" w:val="clear"/>
          </w:tcPr>
          <w:p>
            <w:pPr>
              <w:spacing w:after="16" w:before="16"/>
            </w:pPr>
            <w:r>
              <w:rPr>
                <w:b/>
                <w:bCs/>
                <w:i w:val="false"/>
                <w:iCs w:val="false"/>
                <w:color w:val="404040"/>
                <w:sz w:val="13"/>
                <w:szCs w:val="13"/>
              </w:rPr>
              <w:t xml:space="preserve">Intitulé</w:t>
            </w:r>
          </w:p>
        </w:tc>
        <w:tc>
          <w:tcPr>
            <w:tcW w:type="dxa" w:w="800"/>
            <w:tcBorders>
              <w:top w:val="single" w:color="BFBFBF" w:sz="2"/>
              <w:left w:val="single" w:color="BFBFBF" w:sz="2"/>
              <w:bottom w:val="single" w:color="BFBFBF" w:sz="2"/>
              <w:right w:val="single" w:color="BFBFBF" w:sz="2"/>
            </w:tcBorders>
            <w:shd w:fill="DDE1E7" w:color="auto" w:val="clear"/>
          </w:tcPr>
          <w:p>
            <w:pPr>
              <w:spacing w:after="16" w:before="16"/>
            </w:pPr>
            <w:r>
              <w:rPr>
                <w:b/>
                <w:bCs/>
                <w:i w:val="false"/>
                <w:iCs w:val="false"/>
                <w:color w:val="404040"/>
                <w:sz w:val="13"/>
                <w:szCs w:val="13"/>
              </w:rPr>
              <w:t xml:space="preserve">Fiche(s)</w:t>
            </w:r>
          </w:p>
        </w:tc>
        <w:tc>
          <w:tcPr>
            <w:tcW w:type="dxa" w:w="3200"/>
            <w:tcBorders>
              <w:top w:val="single" w:color="BFBFBF" w:sz="2"/>
              <w:left w:val="single" w:color="BFBFBF" w:sz="2"/>
              <w:bottom w:val="single" w:color="BFBFBF" w:sz="2"/>
              <w:right w:val="single" w:color="BFBFBF" w:sz="2"/>
            </w:tcBorders>
            <w:shd w:fill="DDE1E7" w:color="auto" w:val="clear"/>
          </w:tcPr>
          <w:p>
            <w:pPr>
              <w:spacing w:after="16" w:before="16"/>
            </w:pPr>
            <w:r>
              <w:rPr>
                <w:b/>
                <w:bCs/>
                <w:i w:val="false"/>
                <w:iCs w:val="false"/>
                <w:color w:val="404040"/>
                <w:sz w:val="13"/>
                <w:szCs w:val="13"/>
              </w:rPr>
              <w:t xml:space="preserve">Correspondances dans le recueil</w:t>
            </w:r>
          </w:p>
        </w:tc>
        <w:tc>
          <w:tcPr>
            <w:tcW w:type="dxa" w:w="5238"/>
            <w:tcBorders>
              <w:top w:val="single" w:color="BFBFBF" w:sz="2"/>
              <w:left w:val="single" w:color="BFBFBF" w:sz="2"/>
              <w:bottom w:val="single" w:color="BFBFBF" w:sz="2"/>
              <w:right w:val="single" w:color="BFBFBF" w:sz="2"/>
            </w:tcBorders>
            <w:shd w:fill="DDE1E7" w:color="auto" w:val="clear"/>
          </w:tcPr>
          <w:p>
            <w:pPr>
              <w:spacing w:after="16" w:before="16"/>
            </w:pPr>
            <w:r>
              <w:rPr>
                <w:b/>
                <w:bCs/>
                <w:i w:val="false"/>
                <w:iCs w:val="false"/>
                <w:color w:val="404040"/>
                <w:sz w:val="13"/>
                <w:szCs w:val="13"/>
              </w:rPr>
              <w:t xml:space="preserve">Réflexe Grand Oral (tes fiches)</w:t>
            </w:r>
          </w:p>
        </w:tc>
      </w:tr>
      <w:tr>
        <w:tc>
          <w:tcPr>
            <w:tcW w:type="dxa" w:w="460"/>
            <w:tcBorders>
              <w:top w:val="single" w:color="BFBFBF" w:sz="2"/>
              <w:left w:val="single" w:color="BFBFBF" w:sz="2"/>
              <w:bottom w:val="single" w:color="BFBFBF" w:sz="2"/>
              <w:right w:val="single" w:color="BFBFBF" w:sz="2"/>
            </w:tcBorders>
            <w:shd w:fill="5B6270"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CONST. art. 1–4 (54·36·42)</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N°3.1 · p. 6</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5B6270"/>
                <w:sz w:val="13"/>
                <w:szCs w:val="13"/>
              </w:rPr>
              <w:t xml:space="preserve">bass. 79,1 mm (#1)</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Préambule 1958 · art. 1er (égalité, laïcité, parité) · art. 3-4 (suffrage, partis)</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5B6270"/>
                <w:sz w:val="13"/>
                <w:szCs w:val="13"/>
              </w:rPr>
              <w:t xml:space="preserve">54 · 36 · 56 · 42</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Parité N°62.1 · laïcité N°77.1 (même art. 1er, Partie II) · loi 1905 N°75.1 · art. 3 Prot. 1 (N°4.2)</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Laïcité : 2012-297 QPC APPEL (4 composantes). Égalité : 2010-1 QPC Consorts L. (1re QPC). Suffrage (art. 3) : 2010-6/7 QPC (incapacité électorale automatique).</w:t>
            </w:r>
          </w:p>
        </w:tc>
      </w:tr>
      <w:tr>
        <w:tc>
          <w:tcPr>
            <w:tcW w:type="dxa" w:w="460"/>
            <w:tcBorders>
              <w:top w:val="single" w:color="BFBFBF" w:sz="2"/>
              <w:left w:val="single" w:color="BFBFBF" w:sz="2"/>
              <w:bottom w:val="single" w:color="BFBFBF" w:sz="2"/>
              <w:right w:val="single" w:color="BFBFBF" w:sz="2"/>
            </w:tcBorders>
            <w:shd w:fill="5B6270"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CEDH art. 14 (54)</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N°4.1 · ≈ p. 35</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5B6270"/>
                <w:sz w:val="13"/>
                <w:szCs w:val="13"/>
              </w:rPr>
              <w:t xml:space="preserve">bass. 88,1 mm (#2)</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Interdiction de la discrimination (accessoire) — Prot. 12 non ratifié</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5B6270"/>
                <w:sz w:val="13"/>
                <w:szCs w:val="13"/>
              </w:rPr>
              <w:t xml:space="preserve">54</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Prot. 12 (N°4.6) · art. 1er C. · art. 6 DDHC · art. 21 Charte UE · art. 26 PIDCP · loi 2008-496 (N°59.1) · dir. 2000/43 et 2000/78 (N°17.4, 20.3)</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Accessoire : Thlimmenos (2000) ; discrimination indirecte et preuve statistique : D.H. c. Rép. tchèque (2007) ; Gaygusuz (1996, prestation = bien). Prot. 12 : Sejdić et Finci (2009).</w:t>
            </w:r>
          </w:p>
        </w:tc>
      </w:tr>
      <w:tr>
        <w:tc>
          <w:tcPr>
            <w:tcW w:type="dxa" w:w="460"/>
            <w:tcBorders>
              <w:top w:val="single" w:color="BFBFBF" w:sz="2"/>
              <w:left w:val="single" w:color="BFBFBF" w:sz="2"/>
              <w:bottom w:val="single" w:color="BFBFBF" w:sz="2"/>
              <w:right w:val="single" w:color="BFBFBF" w:sz="2"/>
            </w:tcBorders>
            <w:shd w:fill="F2F2F2" w:color="auto" w:val="clear"/>
          </w:tcPr>
          <w:p>
            <w:pPr>
              <w:spacing w:after="16" w:before="16"/>
              <w:jc w:val="center"/>
            </w:pPr>
            <w:r>
              <w:rPr>
                <w:b/>
                <w:bCs/>
                <w:i w:val="false"/>
                <w:iCs w:val="false"/>
                <w:color w:val="808080"/>
                <w:sz w:val="16"/>
                <w:szCs w:val="16"/>
              </w:rPr>
              <w:t xml:space="preserve">2</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N°13 ISTANBUL (55·29)</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N°13 · p. 109</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5B6270"/>
                <w:sz w:val="13"/>
                <w:szCs w:val="13"/>
              </w:rPr>
              <w:t xml:space="preserve">bass. 97,1 mm (#3)</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Convention d’Istanbul — violences à l’égard des femmes et violences domestiques (2011)</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5B6270"/>
                <w:sz w:val="13"/>
                <w:szCs w:val="13"/>
              </w:rPr>
              <w:t xml:space="preserve">55 · 29 · 27</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CEDEF (N°33.1) · ordonnance de protection C. civ. 515-9 (N°63.2) · MIPROF (N°63.1)</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Obligations positives et diligence due ; à relier à L. et a. c. France (2025, art. 3 et 8, actes sexuels non consentis — fiche 27).</w:t>
            </w:r>
          </w:p>
        </w:tc>
      </w:tr>
      <w:tr>
        <w:tc>
          <w:tcPr>
            <w:tcW w:type="dxa" w:w="460"/>
            <w:tcBorders>
              <w:top w:val="single" w:color="BFBFBF" w:sz="2"/>
              <w:left w:val="single" w:color="BFBFBF" w:sz="2"/>
              <w:bottom w:val="single" w:color="BFBFBF" w:sz="2"/>
              <w:right w:val="single" w:color="BFBFBF" w:sz="2"/>
            </w:tcBorders>
            <w:shd w:fill="5B6270"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CHARTE art. 20–26 (54·55·56)</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N°17.2 · ≈ p. 177</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5B6270"/>
                <w:sz w:val="13"/>
                <w:szCs w:val="13"/>
              </w:rPr>
              <w:t xml:space="preserve">bass. 79,1 mm (#1)</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Titre III Égalité : égalité (20), non-discrimination (21), diversité (22), égalité F/H (23), enfant (24), âgés (25), handicap (26)</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5B6270"/>
                <w:sz w:val="13"/>
                <w:szCs w:val="13"/>
              </w:rPr>
              <w:t xml:space="preserve">54 · 55 · 56</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art. 14 et Prot. 12 CEDH · TFUE art. 19 et dir. 2000/43 (N°17.3-17.4) · dir. 2000/78 (N°20.3) · CIDE (N°34.1) · CDPH (N°36.1)</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Art. 21 : Mangold (2005) et Kücükdeveci (2010), principe général de non-discrimination en raison de l’âge ; Egenberger (2018), effet direct horizontal de l’art. 21. Art. 23 : actions positives (fiche 56).</w:t>
            </w:r>
          </w:p>
        </w:tc>
      </w:tr>
      <w:tr>
        <w:tc>
          <w:tcPr>
            <w:tcW w:type="dxa" w:w="460"/>
            <w:tcBorders>
              <w:top w:val="single" w:color="BFBFBF" w:sz="2"/>
              <w:left w:val="single" w:color="BFBFBF" w:sz="2"/>
              <w:bottom w:val="single" w:color="BFBFBF" w:sz="2"/>
              <w:right w:val="single" w:color="BFBFBF" w:sz="2"/>
            </w:tcBorders>
            <w:shd w:fill="5B6270"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N°17.3–17.5 NON-DISCRIMINATION &amp; TRAITE (54·29)</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N°17.3 · p. 183</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5B6270"/>
                <w:sz w:val="13"/>
                <w:szCs w:val="13"/>
              </w:rPr>
              <w:t xml:space="preserve">bass. 88,1 mm (#2)</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Art. 19 TFUE · directive 2000/43/CE (race, origine ethnique) · directive 2011/36/UE (traite, N°17.5 p. 187)</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5B6270"/>
                <w:sz w:val="13"/>
                <w:szCs w:val="13"/>
              </w:rPr>
              <w:t xml:space="preserve">54 · 56 · 29</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Charte art. 21 · dir. 2000/78 (N°20.3) · loi 2008-496 (N°59.1) · CERD (N°29) · Conv. Varsovie (N°9)</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La loi du 27 mai 2008 transpose la directive 2000/43 (définitions, aménagement de la preuve). Directive traite : prévention, poursuite, protection ; non-sanction des victimes contraintes (V.C.L. et A.N. c. RU, 2021).</w:t>
            </w:r>
          </w:p>
        </w:tc>
      </w:tr>
      <w:tr>
        <w:tc>
          <w:tcPr>
            <w:tcW w:type="dxa" w:w="460"/>
            <w:tcBorders>
              <w:top w:val="single" w:color="BFBFBF" w:sz="2"/>
              <w:left w:val="single" w:color="BFBFBF" w:sz="2"/>
              <w:bottom w:val="single" w:color="BFBFBF" w:sz="2"/>
              <w:right w:val="single" w:color="BFBFBF" w:sz="2"/>
            </w:tcBorders>
            <w:shd w:fill="5B6270"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N°20.2–20.3 ÉGALITÉ AU TRAVAIL (54·56)</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N°20.2 · p. 323</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5B6270"/>
                <w:sz w:val="13"/>
                <w:szCs w:val="13"/>
              </w:rPr>
              <w:t xml:space="preserve">bass. 79,1 mm (#1)</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Art. 157 TFUE (égalité de rémunération F/H) · directive 2000/78/CE (égalité en matière d’emploi)</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5B6270"/>
                <w:sz w:val="13"/>
                <w:szCs w:val="13"/>
              </w:rPr>
              <w:t xml:space="preserve">54 · 56 · 36</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Charte art. 21 et 23 · dir. 2000/43 (N°17.4) · C. trav. L.1132-1 (N°59.2) et L.3221-1 (N°62.4)</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Dir. 2000/78 : religion, handicap, âge, orientation sexuelle — Achbita et WABE (neutralité), Egenberger (tendance), Mangold (âge). Art. 157 § 4 : actions positives (fiche 56).</w:t>
            </w:r>
          </w:p>
        </w:tc>
      </w:tr>
      <w:tr>
        <w:tc>
          <w:tcPr>
            <w:tcW w:type="dxa" w:w="460"/>
            <w:tcBorders>
              <w:top w:val="single" w:color="BFBFBF" w:sz="2"/>
              <w:left w:val="single" w:color="BFBFBF" w:sz="2"/>
              <w:bottom w:val="single" w:color="BFBFBF" w:sz="2"/>
              <w:right w:val="single" w:color="BFBFBF" w:sz="2"/>
            </w:tcBorders>
            <w:shd w:fill="5B6270"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N°33.1 CEDEF (56·54·21)</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N°33.1 · p. 486</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5B6270"/>
                <w:sz w:val="13"/>
                <w:szCs w:val="13"/>
              </w:rPr>
              <w:t xml:space="preserve">bass. 79,1 mm (#1)</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Convention sur l’élimination des discriminations à l’égard des femmes (1979) · protocole (N°33.2, p. 493)</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5B6270"/>
                <w:sz w:val="13"/>
                <w:szCs w:val="13"/>
              </w:rPr>
              <w:t xml:space="preserve">56 · 54 · 21 · 29</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Charte UE art. 23 · Conv. Istanbul (N°13) · parité art. 1er C. (N°62.1) · loi 2014-873 (N°62.2)</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Art. 4 : mesures temporaires spéciales, fondement international des actions positives (fiche 56). Comité CEDEF (fiche 21).</w:t>
            </w:r>
          </w:p>
        </w:tc>
      </w:tr>
      <w:tr>
        <w:tc>
          <w:tcPr>
            <w:tcW w:type="dxa" w:w="460"/>
            <w:tcBorders>
              <w:top w:val="single" w:color="BFBFBF" w:sz="2"/>
              <w:left w:val="single" w:color="BFBFBF" w:sz="2"/>
              <w:bottom w:val="single" w:color="BFBFBF" w:sz="2"/>
              <w:right w:val="single" w:color="BFBFBF" w:sz="2"/>
            </w:tcBorders>
            <w:shd w:fill="5B6270"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N°36.1 CDPH (55·47·21)</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N°36.1 · p. 528</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5B6270"/>
                <w:sz w:val="13"/>
                <w:szCs w:val="13"/>
              </w:rPr>
              <w:t xml:space="preserve">bass. 88,1 mm (#2)</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Convention relative aux droits des personnes handicapées (2006) · protocole (N°36.2, p. 544)</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5B6270"/>
                <w:sz w:val="13"/>
                <w:szCs w:val="13"/>
              </w:rPr>
              <w:t xml:space="preserve">55 · 47 · 21 · 54</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Charte UE art. 26 · CASF L.114 s. (N°60.1) · dir. 2000/78 (N°20.3)</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Aménagement raisonnable ; passage d’un modèle médical à un modèle social du handicap ; scolarisation des enfants handicapés (CE, Laruelle, 2009, fiche 47).</w:t>
            </w:r>
          </w:p>
        </w:tc>
      </w:tr>
      <w:tr>
        <w:tc>
          <w:tcPr>
            <w:tcW w:type="dxa" w:w="460"/>
            <w:tcBorders>
              <w:top w:val="single" w:color="BFBFBF" w:sz="2"/>
              <w:left w:val="single" w:color="BFBFBF" w:sz="2"/>
              <w:bottom w:val="single" w:color="BFBFBF" w:sz="2"/>
              <w:right w:val="single" w:color="BFBFBF" w:sz="2"/>
            </w:tcBorders>
            <w:shd w:fill="5B6270"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N°59.1 LOI DU 27 MAI 2008 (54)</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N°59.1 · p. 753</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5B6270"/>
                <w:sz w:val="13"/>
                <w:szCs w:val="13"/>
              </w:rPr>
              <w:t xml:space="preserve">bass. 79,1 mm (#1)</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Lutte contre les discriminations — loi n° 2008-496 (discrimination directe et indirecte, harcèlement, preuve)</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5B6270"/>
                <w:sz w:val="13"/>
                <w:szCs w:val="13"/>
              </w:rPr>
              <w:t xml:space="preserve">54 · 56</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art. 14 CEDH · Charte UE art. 21 · dir. 2000/43 et 2000/78 (N°17.4, 20.3) · art. 1er C.</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Transposition des directives : discrimination indirecte (D.H. c. Rép. tchèque, 2007), aménagement de la charge de la preuve ; saisine du Défenseur des droits (N°39.2).</w:t>
            </w:r>
          </w:p>
        </w:tc>
      </w:tr>
      <w:tr>
        <w:tc>
          <w:tcPr>
            <w:tcW w:type="dxa" w:w="460"/>
            <w:tcBorders>
              <w:top w:val="single" w:color="BFBFBF" w:sz="2"/>
              <w:left w:val="single" w:color="BFBFBF" w:sz="2"/>
              <w:bottom w:val="single" w:color="BFBFBF" w:sz="2"/>
              <w:right w:val="single" w:color="BFBFBF" w:sz="2"/>
            </w:tcBorders>
            <w:shd w:fill="5B6270"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N°59.2–59.5 TRAVAIL · PÉNAL · ACTION (54·36)</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N°59.2 · p. 755</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5B6270"/>
                <w:sz w:val="13"/>
                <w:szCs w:val="13"/>
              </w:rPr>
              <w:t xml:space="preserve">bass. 88,1 mm (#2)</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 trav. L.1132-1 s. · C. pén. 225-1 à 225-4 et 432-7 (N°59.3) · action en justice, CPC 1263-1 (N°59.4) · DILCRAH (N°59.5)</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5B6270"/>
                <w:sz w:val="13"/>
                <w:szCs w:val="13"/>
              </w:rPr>
              <w:t xml:space="preserve">54 · 36 · 50</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loi 2008-496 (N°59.1) · CERD (N°29) · dir. 2000/78 (N°20.3)</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Liste des critères prohibés (art. 225-1 C. pén., L.1132-1 C. trav.) ; neutralité religieuse dans l’entreprise : Baby Loup, Achbita, WABE (fiche 36).</w:t>
            </w:r>
          </w:p>
        </w:tc>
      </w:tr>
      <w:tr>
        <w:tc>
          <w:tcPr>
            <w:tcW w:type="dxa" w:w="460"/>
            <w:tcBorders>
              <w:top w:val="single" w:color="BFBFBF" w:sz="2"/>
              <w:left w:val="single" w:color="BFBFBF" w:sz="2"/>
              <w:bottom w:val="single" w:color="BFBFBF" w:sz="2"/>
              <w:right w:val="single" w:color="BFBFBF" w:sz="2"/>
            </w:tcBorders>
            <w:shd w:fill="FFD24A" w:color="auto" w:val="clear"/>
          </w:tcPr>
          <w:p>
            <w:pPr>
              <w:spacing w:after="16" w:before="16"/>
              <w:jc w:val="center"/>
            </w:pPr>
            <w:r>
              <w:rPr>
                <w:b/>
                <w:bCs/>
                <w:i w:val="false"/>
                <w:iCs w:val="false"/>
                <w:color w:val="6B4E00"/>
                <w:sz w:val="16"/>
                <w:szCs w:val="16"/>
              </w:rPr>
              <w:t xml:space="preserve">★</w:t>
            </w:r>
          </w:p>
        </w:tc>
        <w:tc>
          <w:tcPr>
            <w:tcW w:type="dxa" w:w="2000"/>
            <w:tcBorders>
              <w:top w:val="single" w:color="BFBFBF" w:sz="2"/>
              <w:left w:val="single" w:color="BFBFBF" w:sz="2"/>
              <w:bottom w:val="single" w:color="BFBFBF" w:sz="2"/>
              <w:right w:val="single" w:color="BFBFBF" w:sz="2"/>
            </w:tcBorders>
            <w:shd w:fill="FFF6DC" w:color="auto" w:val="clear"/>
          </w:tcPr>
          <w:p>
            <w:pPr>
              <w:spacing w:after="16" w:before="16"/>
            </w:pPr>
            <w:r>
              <w:rPr>
                <w:b/>
                <w:bCs/>
                <w:i w:val="false"/>
                <w:iCs w:val="false"/>
                <w:color w:val="1F1F1F"/>
                <w:sz w:val="14"/>
                <w:szCs w:val="14"/>
              </w:rPr>
              <w:t xml:space="preserve">N°60.1–60.2 HANDICAP &amp; ÂGE (55·47)  ★</w:t>
            </w:r>
          </w:p>
        </w:tc>
        <w:tc>
          <w:tcPr>
            <w:tcW w:type="dxa" w:w="70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595959"/>
                <w:sz w:val="12"/>
                <w:szCs w:val="12"/>
              </w:rPr>
              <w:t xml:space="preserve">N°60.1 · p. 760</w:t>
            </w:r>
          </w:p>
        </w:tc>
        <w:tc>
          <w:tcPr>
            <w:tcW w:type="dxa" w:w="1150"/>
            <w:tcBorders>
              <w:top w:val="single" w:color="BFBFBF" w:sz="2"/>
              <w:left w:val="single" w:color="BFBFBF" w:sz="2"/>
              <w:bottom w:val="single" w:color="BFBFBF" w:sz="2"/>
              <w:right w:val="single" w:color="BFBFBF" w:sz="2"/>
            </w:tcBorders>
            <w:shd w:fill="FFF6DC" w:color="auto" w:val="clear"/>
          </w:tcPr>
          <w:p>
            <w:pPr>
              <w:spacing w:after="16" w:before="16"/>
              <w:jc w:val="center"/>
            </w:pPr>
            <w:r>
              <w:rPr>
                <w:b/>
                <w:bCs/>
                <w:i w:val="false"/>
                <w:iCs w:val="false"/>
                <w:color w:val="5B6270"/>
                <w:sz w:val="13"/>
                <w:szCs w:val="13"/>
              </w:rPr>
              <w:t xml:space="preserve">bass. 97,1 mm (#3)</w:t>
            </w:r>
          </w:p>
        </w:tc>
        <w:tc>
          <w:tcPr>
            <w:tcW w:type="dxa" w:w="205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333333"/>
                <w:sz w:val="13"/>
                <w:szCs w:val="13"/>
              </w:rPr>
              <w:t xml:space="preserve">Solidarité envers les personnes handicapées (CASF L.114 s.) et les personnes âgées (L.113-1 s., N°60.2 p. 764)</w:t>
            </w:r>
          </w:p>
        </w:tc>
        <w:tc>
          <w:tcPr>
            <w:tcW w:type="dxa" w:w="800"/>
            <w:tcBorders>
              <w:top w:val="single" w:color="BFBFBF" w:sz="2"/>
              <w:left w:val="single" w:color="BFBFBF" w:sz="2"/>
              <w:bottom w:val="single" w:color="BFBFBF" w:sz="2"/>
              <w:right w:val="single" w:color="BFBFBF" w:sz="2"/>
            </w:tcBorders>
            <w:shd w:fill="FFF6DC" w:color="auto" w:val="clear"/>
          </w:tcPr>
          <w:p>
            <w:pPr>
              <w:spacing w:after="16" w:before="16"/>
              <w:jc w:val="center"/>
            </w:pPr>
            <w:r>
              <w:rPr>
                <w:b/>
                <w:bCs/>
                <w:i w:val="false"/>
                <w:iCs w:val="false"/>
                <w:color w:val="5B6270"/>
                <w:sz w:val="13"/>
                <w:szCs w:val="13"/>
              </w:rPr>
              <w:t xml:space="preserve">55 · 47 · 13 · 21</w:t>
            </w:r>
          </w:p>
        </w:tc>
        <w:tc>
          <w:tcPr>
            <w:tcW w:type="dxa" w:w="3200"/>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333333"/>
                <w:sz w:val="12"/>
                <w:szCs w:val="12"/>
              </w:rPr>
              <w:t xml:space="preserve">CDPH (N°36.1) · Charte UE art. 25-26 · dir. 2000/78 (N°20.3)</w:t>
            </w:r>
          </w:p>
        </w:tc>
        <w:tc>
          <w:tcPr>
            <w:tcW w:type="dxa" w:w="5238"/>
            <w:tcBorders>
              <w:top w:val="single" w:color="BFBFBF" w:sz="2"/>
              <w:left w:val="single" w:color="BFBFBF" w:sz="2"/>
              <w:bottom w:val="single" w:color="BFBFBF" w:sz="2"/>
              <w:right w:val="single" w:color="BFBFBF" w:sz="2"/>
            </w:tcBorders>
            <w:shd w:fill="FFF6DC" w:color="auto" w:val="clear"/>
          </w:tcPr>
          <w:p>
            <w:pPr>
              <w:spacing w:after="16" w:before="16"/>
            </w:pPr>
            <w:r>
              <w:rPr>
                <w:b w:val="false"/>
                <w:bCs w:val="false"/>
                <w:i w:val="false"/>
                <w:iCs w:val="false"/>
                <w:color w:val="333333"/>
                <w:sz w:val="12"/>
                <w:szCs w:val="12"/>
              </w:rPr>
              <w:t xml:space="preserve">Loi du 11 février 2005 (définition du handicap, compensation, accessibilité) ; scolarisation : CE, Laruelle (2009), obligation de résultat de l’État.</w:t>
            </w:r>
          </w:p>
        </w:tc>
      </w:tr>
      <w:tr>
        <w:tc>
          <w:tcPr>
            <w:tcW w:type="dxa" w:w="460"/>
            <w:tcBorders>
              <w:top w:val="single" w:color="BFBFBF" w:sz="2"/>
              <w:left w:val="single" w:color="BFBFBF" w:sz="2"/>
              <w:bottom w:val="single" w:color="BFBFBF" w:sz="2"/>
              <w:right w:val="single" w:color="BFBFBF" w:sz="2"/>
            </w:tcBorders>
            <w:shd w:fill="5B6270"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N°62.1–62.2 PARITÉ &amp; ÉGALITÉ RÉELLE (56·42)</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N°62.1 · p. 774</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5B6270"/>
                <w:sz w:val="13"/>
                <w:szCs w:val="13"/>
              </w:rPr>
              <w:t xml:space="preserve">bass. 106,1 mm (#4)</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Parité (art. 1er al. 2 C.) · égalité réelle entre les femmes et les hommes (loi 2014-873, N°62.2 même page)</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5B6270"/>
                <w:sz w:val="13"/>
                <w:szCs w:val="13"/>
              </w:rPr>
              <w:t xml:space="preserve">56 · 42 · 54</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al. 3 Préambule 1946 · CEDEF (N°33.1) · Charte UE art. 23</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82-146 DC (quotas par sexe censurés) → révisions constitutionnelles de 1999 et 2008 ; 2006-533 DC. La parité s’est imposée par le pouvoir constituant contre le juge.</w:t>
            </w:r>
          </w:p>
        </w:tc>
      </w:tr>
      <w:tr>
        <w:tc>
          <w:tcPr>
            <w:tcW w:type="dxa" w:w="460"/>
            <w:tcBorders>
              <w:top w:val="single" w:color="BFBFBF" w:sz="2"/>
              <w:left w:val="single" w:color="BFBFBF" w:sz="2"/>
              <w:bottom w:val="single" w:color="BFBFBF" w:sz="2"/>
              <w:right w:val="single" w:color="BFBFBF" w:sz="2"/>
            </w:tcBorders>
            <w:shd w:fill="F2F2F2" w:color="auto" w:val="clear"/>
          </w:tcPr>
          <w:p>
            <w:pPr>
              <w:spacing w:after="16" w:before="16"/>
              <w:jc w:val="center"/>
            </w:pPr>
            <w:r>
              <w:rPr>
                <w:b/>
                <w:bCs/>
                <w:i w:val="false"/>
                <w:iCs w:val="false"/>
                <w:color w:val="808080"/>
                <w:sz w:val="16"/>
                <w:szCs w:val="16"/>
              </w:rPr>
              <w:t xml:space="preserve">2</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N°62.3–62.7 ÉGALITÉ PROFESSIONNELLE (56·54)</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N°62.3 · p. 775</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5B6270"/>
                <w:sz w:val="13"/>
                <w:szCs w:val="13"/>
              </w:rPr>
              <w:t xml:space="preserve">bass. 115,1 mm (#5)</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C. trav. L.1142-1 s. et L.3221-1 s. (N°62.4) · fonction publique (N°62.5) · Haut Conseil à l’égalité (N°62.6) · délégations parlementaires (N°62.7)</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5B6270"/>
                <w:sz w:val="13"/>
                <w:szCs w:val="13"/>
              </w:rPr>
              <w:t xml:space="preserve">56 · 54 · 50</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art. 157 TFUE (N°20.2) · Charte UE art. 23</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Égalité de rémunération pour un travail de valeur égale.</w:t>
            </w:r>
          </w:p>
        </w:tc>
      </w:tr>
      <w:tr>
        <w:tc>
          <w:tcPr>
            <w:tcW w:type="dxa" w:w="460"/>
            <w:tcBorders>
              <w:top w:val="single" w:color="BFBFBF" w:sz="2"/>
              <w:left w:val="single" w:color="BFBFBF" w:sz="2"/>
              <w:bottom w:val="single" w:color="BFBFBF" w:sz="2"/>
              <w:right w:val="single" w:color="BFBFBF" w:sz="2"/>
            </w:tcBorders>
            <w:shd w:fill="5B6270" w:color="auto" w:val="clear"/>
          </w:tcPr>
          <w:p>
            <w:pPr>
              <w:spacing w:after="16" w:before="16"/>
              <w:jc w:val="center"/>
            </w:pPr>
            <w:r>
              <w:rPr>
                <w:b/>
                <w:bCs/>
                <w:i w:val="false"/>
                <w:iCs w:val="false"/>
                <w:color w:val="FFFFFF"/>
                <w:sz w:val="16"/>
                <w:szCs w:val="16"/>
              </w:rPr>
              <w:t xml:space="preserve">1</w:t>
            </w:r>
          </w:p>
        </w:tc>
        <w:tc>
          <w:tcPr>
            <w:tcW w:type="dxa" w:w="2000"/>
            <w:tcBorders>
              <w:top w:val="single" w:color="BFBFBF" w:sz="2"/>
              <w:left w:val="single" w:color="BFBFBF" w:sz="2"/>
              <w:bottom w:val="single" w:color="BFBFBF" w:sz="2"/>
              <w:right w:val="single" w:color="BFBFBF" w:sz="2"/>
            </w:tcBorders>
          </w:tcPr>
          <w:p>
            <w:pPr>
              <w:spacing w:after="16" w:before="16"/>
            </w:pPr>
            <w:r>
              <w:rPr>
                <w:b/>
                <w:bCs/>
                <w:i w:val="false"/>
                <w:iCs w:val="false"/>
                <w:color w:val="1F1F1F"/>
                <w:sz w:val="14"/>
                <w:szCs w:val="14"/>
              </w:rPr>
              <w:t xml:space="preserve">N°63.2 ORDONNANCE DE PROTECTION (55·27)</w:t>
            </w:r>
          </w:p>
        </w:tc>
        <w:tc>
          <w:tcPr>
            <w:tcW w:type="dxa" w:w="7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595959"/>
                <w:sz w:val="12"/>
                <w:szCs w:val="12"/>
              </w:rPr>
              <w:t xml:space="preserve">N°63.2 · p. 785</w:t>
            </w:r>
          </w:p>
        </w:tc>
        <w:tc>
          <w:tcPr>
            <w:tcW w:type="dxa" w:w="115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5B6270"/>
                <w:sz w:val="13"/>
                <w:szCs w:val="13"/>
              </w:rPr>
              <w:t xml:space="preserve">bass. 124,1 mm (#6)</w:t>
            </w:r>
          </w:p>
        </w:tc>
        <w:tc>
          <w:tcPr>
            <w:tcW w:type="dxa" w:w="205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3"/>
                <w:szCs w:val="13"/>
              </w:rPr>
              <w:t xml:space="preserve">Ordonnance de protection des victimes de violences — C. civ. 515-9 à 515-13 · loi 2010-769 (MIPROF, N°63.1 p. 783)</w:t>
            </w:r>
          </w:p>
        </w:tc>
        <w:tc>
          <w:tcPr>
            <w:tcW w:type="dxa" w:w="800"/>
            <w:tcBorders>
              <w:top w:val="single" w:color="BFBFBF" w:sz="2"/>
              <w:left w:val="single" w:color="BFBFBF" w:sz="2"/>
              <w:bottom w:val="single" w:color="BFBFBF" w:sz="2"/>
              <w:right w:val="single" w:color="BFBFBF" w:sz="2"/>
            </w:tcBorders>
          </w:tcPr>
          <w:p>
            <w:pPr>
              <w:spacing w:after="16" w:before="16"/>
              <w:jc w:val="center"/>
            </w:pPr>
            <w:r>
              <w:rPr>
                <w:b/>
                <w:bCs/>
                <w:i w:val="false"/>
                <w:iCs w:val="false"/>
                <w:color w:val="5B6270"/>
                <w:sz w:val="13"/>
                <w:szCs w:val="13"/>
              </w:rPr>
              <w:t xml:space="preserve">55 · 27 · 34</w:t>
            </w:r>
          </w:p>
        </w:tc>
        <w:tc>
          <w:tcPr>
            <w:tcW w:type="dxa" w:w="3200"/>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Conv. Istanbul (N°13) · art. 3 et 8 CEDH</w:t>
            </w:r>
          </w:p>
        </w:tc>
        <w:tc>
          <w:tcPr>
            <w:tcW w:type="dxa" w:w="5238"/>
            <w:tcBorders>
              <w:top w:val="single" w:color="BFBFBF" w:sz="2"/>
              <w:left w:val="single" w:color="BFBFBF" w:sz="2"/>
              <w:bottom w:val="single" w:color="BFBFBF" w:sz="2"/>
              <w:right w:val="single" w:color="BFBFBF" w:sz="2"/>
            </w:tcBorders>
          </w:tcPr>
          <w:p>
            <w:pPr>
              <w:spacing w:after="16" w:before="16"/>
            </w:pPr>
            <w:r>
              <w:rPr>
                <w:b w:val="false"/>
                <w:bCs w:val="false"/>
                <w:i w:val="false"/>
                <w:iCs w:val="false"/>
                <w:color w:val="333333"/>
                <w:sz w:val="12"/>
                <w:szCs w:val="12"/>
              </w:rPr>
              <w:t xml:space="preserve">Délivrée en urgence par le juge aux affaires familiales ; obligations positives de l’État face aux violences (fiche 27 : L. et a. c. France, 2025).</w:t>
            </w:r>
          </w:p>
        </w:tc>
      </w:tr>
    </w:tbl>
    <w:p>
      <w:pPr>
        <w:spacing w:after="120"/>
      </w:pPr>
    </w:p>
    <w:p>
      <w:pPr>
        <w:spacing w:after="60" w:before="140"/>
      </w:pPr>
      <w:r>
        <w:rPr>
          <w:b/>
          <w:bCs/>
          <w:color w:val="1F3864"/>
          <w:sz w:val="22"/>
          <w:szCs w:val="22"/>
        </w:rPr>
        <w:t xml:space="preserve">Conseils de pose — version B</w:t>
      </w:r>
    </w:p>
    <w:p>
      <w:pPr>
        <w:spacing w:after="30"/>
        <w:ind w:left="280" w:hanging="200"/>
      </w:pPr>
      <w:r>
        <w:rPr>
          <w:b/>
          <w:bCs/>
          <w:color w:val="1F3864"/>
          <w:sz w:val="16"/>
          <w:szCs w:val="16"/>
        </w:rPr>
        <w:t xml:space="preserve">▪ </w:t>
      </w:r>
      <w:r>
        <w:rPr>
          <w:b/>
          <w:bCs/>
          <w:sz w:val="16"/>
          <w:szCs w:val="16"/>
        </w:rPr>
        <w:t xml:space="preserve">Trois gabarits. </w:t>
      </w:r>
      <w:r>
        <w:rPr>
          <w:color w:val="404040"/>
          <w:sz w:val="16"/>
          <w:szCs w:val="16"/>
        </w:rPr>
        <w:t xml:space="preserve">Une bande de carton de 24 cm pour la tranche (repères des 5 bandes VI-A à VI-E) et une bande de 16 cm pour la tête et le pied (repères depuis le coin de la tranche, s’arrêter à 20 mm du dos).</w:t>
      </w:r>
    </w:p>
    <w:p>
      <w:pPr>
        <w:spacing w:after="30"/>
        <w:ind w:left="280" w:hanging="200"/>
      </w:pPr>
      <w:r>
        <w:rPr>
          <w:b/>
          <w:bCs/>
          <w:color w:val="1F3864"/>
          <w:sz w:val="16"/>
          <w:szCs w:val="16"/>
        </w:rPr>
        <w:t xml:space="preserve">▪ </w:t>
      </w:r>
      <w:r>
        <w:rPr>
          <w:b/>
          <w:bCs/>
          <w:sz w:val="16"/>
          <w:szCs w:val="16"/>
        </w:rPr>
        <w:t xml:space="preserve">Pose par arête. </w:t>
      </w:r>
      <w:r>
        <w:rPr>
          <w:color w:val="404040"/>
          <w:sz w:val="16"/>
          <w:szCs w:val="16"/>
        </w:rPr>
        <w:t xml:space="preserve">Commence par la tranche (Partie VI, 102 onglets), puis la tête, puis le pied ; dans chaque groupe, suis l’ordre des pages et le créneau indiqué.</w:t>
      </w:r>
    </w:p>
    <w:p>
      <w:pPr>
        <w:spacing w:after="30"/>
        <w:ind w:left="280" w:hanging="200"/>
      </w:pPr>
      <w:r>
        <w:rPr>
          <w:b/>
          <w:bCs/>
          <w:color w:val="1F3864"/>
          <w:sz w:val="16"/>
          <w:szCs w:val="16"/>
        </w:rPr>
        <w:t xml:space="preserve">▪ </w:t>
      </w:r>
      <w:r>
        <w:rPr>
          <w:b/>
          <w:bCs/>
          <w:sz w:val="16"/>
          <w:szCs w:val="16"/>
        </w:rPr>
        <w:t xml:space="preserve">Écriture. </w:t>
      </w:r>
      <w:r>
        <w:rPr>
          <w:color w:val="404040"/>
          <w:sz w:val="16"/>
          <w:szCs w:val="16"/>
        </w:rPr>
        <w:t xml:space="preserve">Sur la tête et le pied, l’onglet est lu livre posé à plat : écris le texte parallèlement au bord du livre, dans les 4 mm les plus éloignés de la page.</w:t>
      </w:r>
    </w:p>
    <w:p>
      <w:pPr>
        <w:spacing w:after="30"/>
        <w:ind w:left="280" w:hanging="200"/>
      </w:pPr>
      <w:r>
        <w:rPr>
          <w:b/>
          <w:bCs/>
          <w:color w:val="1F3864"/>
          <w:sz w:val="16"/>
          <w:szCs w:val="16"/>
        </w:rPr>
        <w:t xml:space="preserve">▪ </w:t>
      </w:r>
      <w:r>
        <w:rPr>
          <w:b/>
          <w:bCs/>
          <w:sz w:val="16"/>
          <w:szCs w:val="16"/>
        </w:rPr>
        <w:t xml:space="preserve">Si tu hésites entre A et B. </w:t>
      </w:r>
      <w:r>
        <w:rPr>
          <w:color w:val="404040"/>
          <w:sz w:val="16"/>
          <w:szCs w:val="16"/>
        </w:rPr>
        <w:t xml:space="preserve">Le modèle 3D de la version B (fichier joint) se compare directement à celui de la version A : même livre, mêmes onglets, organisation différente.</w:t>
      </w:r>
    </w:p>
    <w:sectPr>
      <w:pgSz w:w="16838" w:h="11906" w:orient="landscape"/>
      <w:pgMar w:top="620" w:right="620" w:bottom="620" w:left="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2026-10-11T14:05:03.886Z</dcterms:created>
  <dcterms:modified xsi:type="dcterms:W3CDTF">2026-10-11T14:05:03.886Z</dcterms:modified>
</cp:coreProperties>
</file>

<file path=docProps/custom.xml><?xml version="1.0" encoding="utf-8"?>
<Properties xmlns="http://schemas.openxmlformats.org/officeDocument/2006/custom-properties" xmlns:vt="http://schemas.openxmlformats.org/officeDocument/2006/docPropsVTypes"/>
</file>