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SOH 관리자 이력 메뉴 분리와 기관 조회</w:t>
      </w:r>
    </w:p>
    <w:p>
      <w:r>
        <w:t>2026년 10월 1일  |  백엔드와 프론트엔드 prod 변경기록</w:t>
      </w:r>
    </w:p>
    <w:p>
      <w:r>
        <w:t>슈퍼관리자의 영상 시청 이력과 토큰 실패 이력을 별도 메뉴로 분리하고, 각 메뉴에서 가입기관을 선택해 해당 기관 사용자의 기록을 조회하도록 수정했습니다. 시청 현황 확인과 실패 대응을 직접 선택할 수 있도록 메뉴를 구분했습니다.</w:t>
      </w:r>
    </w:p>
    <w:p>
      <w:pPr>
        <w:pStyle w:val="Heading1"/>
      </w:pPr>
      <w:r>
        <w:t>기준 환경과 변경 위치</w:t>
      </w:r>
    </w:p>
    <w:p>
      <w:r>
        <w:t>Backend 기준 commit 3fa3651c215df9f178676bd27851073a0b33f16c, Frontend 기준 commit 4518e65입니다. Java 17과 Gradle Wrapper, Vite와 React 및 TypeScript 환경에서 검증했습니다. 운영 API는 https://api.soh.thomabio.com/api, 프론트는 https://soh.thomabio.com입니다.</w:t>
        <w:br/>
        <w:t>백엔드: OralExerciseHistoryController, OralExerciseHistoryService, UserRepository와 이력 query/service/security 테스트. 프론트: SuperAdminExerciseHistoryPage.tsx, api/exerciseHistory.ts, AdminSidebar.tsx, routes/index.tsx와 이력 smoke 스크립트. 두 저장소의 README와 AGENTS.md를 관련 계약에 맞게 갱신했습니다.</w:t>
      </w:r>
    </w:p>
    <w:p>
      <w:pPr>
        <w:pStyle w:val="Heading1"/>
      </w:pPr>
      <w:r>
        <w:t>화면 동작</w:t>
      </w:r>
    </w:p>
    <w:p>
      <w:r>
        <w:t>영상 시청 이력은 /superadmin/exercise-history, 토큰 실패 이력은 /superadmin/token-failure-history로 접근합니다. 일반 관리자는 두 메뉴와 직접 URL에 접근할 수 없습니다. 기존 시청 URL은 유지합니다.</w:t>
        <w:br/>
        <w:t>기관 목록은 현재 검색어와 페이지에 영향받지 않습니다. 전체 기관, 기관 미지정과 기록이 있는 사용자의 기관을 선택할 수 있습니다. 선택 기관은 공백을 제거한 가입기관명 전체와 일치하며 대구1과 대구10을 구분합니다. 기관 변경과 검색은 첫 페이지로 돌아가고 열려 있던 사용자 상세를 닫습니다.</w:t>
        <w:br/>
        <w:t>시청 화면은 완료 횟수와 반복 시청, 토큰 수령 상태를 표시합니다. 실패 화면은 실패 기록이 있는 사용자와 영상만 표시하며 번호 오답, 시간 초과, 발급 오류의 횟수와 상세 발생 시각을 제공합니다. 토큰 수령 후에도 과거 실패를 조회할 수 있습니다.</w:t>
      </w:r>
    </w:p>
    <w:p>
      <w:pPr>
        <w:pStyle w:val="Heading1"/>
      </w:pPr>
      <w:r>
        <w:t>API와 데이터 영향</w:t>
      </w:r>
    </w:p>
    <w:p>
      <w:r>
        <w:t>신규 GET /admin/oral-exercise-history/organizations는 삭제되지 않은 이력 보유 사용자의 가입기관명을 공백 제거와 중복 제거 후 반환합니다. NULL 및 빈 기관은 빈 문자열로 묶습니다.</w:t>
        <w:br/>
        <w:t>사용자 목록 /users의 organization 생략은 전체, 빈 문자열은 미지정, 그 외에는 정확 일치입니다. kind=FAILURES는 실패가 있는 사용자만 페이지 분할 전에 조회합니다. 영상 상세 이벤트의 kind=VIEWING은 VIEW와 COMPLETE, FAILURES는 세 종류의 토큰 실패만 조회합니다. kind 생략 시 ALL로 기존 복합 상세 계약을 유지합니다. 실패 필터와 기관 필터를 적용한 뒤 총 건수와 페이지를 계산합니다.</w:t>
        <w:br/>
        <w:t>DB 스키마와 저장된 이력, Secret, 인프라, 사용자 시청 잠금, 완료 회차 집계, 실패 중복 방지 및 토큰 지급과 회수는 변경하지 않습니다. 레거시 진도 저장 횟수를 완료 횟수로 사용하지 않습니다.</w:t>
      </w:r>
    </w:p>
    <w:p>
      <w:pPr>
        <w:pStyle w:val="Heading1"/>
      </w:pPr>
      <w:r>
        <w:t>검증 결과</w:t>
      </w:r>
    </w:p>
    <w:p>
      <w:r>
        <w:t>Java 17의 Gradle Wrapper로 *OralExerciseHistory*와 *OralExerciseRewardFailure* 대상 15개 테스트 및 bootJar 빌드를 통과했습니다. 기관 정확 일치, 미지정, 삭제 사용자 제외, 기관 목록 중복 제거, 레거시 진도 사용자, 실패 필터의 페이지 집계와 슈퍼관리자 권한을 확인했습니다. 기존 H2 테스트 스키마의 onboarding_survey_required 누락을 보완했습니다.</w:t>
        <w:br/>
        <w:t>프론트 npm run build와 변경 TS/TSX 파일 ESLint를 통과했습니다. history-institution-smoke.cjs와 history-dialog-smoke.cjs로 메뉴 전환, 검색과 기관 결합, 페이지 초기화, 수령 후 실패 보존, 실패 상세 분리, 오류 재시도와 빈 결과, 즉시 모달, 사용자 전환과 권한을 검증했습니다. 1366×768, 820×1180, 390×844 화면을 캡처하고 검토했습니다. API는 모의 데이터만 사용했으며 운영 토큰 발급과 DB 쓰기는 수행하지 않았습니다.</w:t>
      </w:r>
    </w:p>
    <w:p>
      <w:pPr>
        <w:pStyle w:val="Heading1"/>
      </w:pPr>
      <w:r>
        <w:t>배포와 복구</w:t>
      </w:r>
    </w:p>
    <w:p>
      <w:r>
        <w:t>백엔드 prod를 먼저 푸시하고 deploy-api-prod.yml의 최종 결과와 ASG refresh 완료 및 health를 확인한 뒤 프론트 prod를 푸시합니다. 프론트는 deploy-soh-production-server.yml의 최종 결과를 확인합니다. 다른 진행 중인 로컬 문진표 변경과 기존 삭제·미추적 파일은 이번 커밋에서 제외합니다.</w:t>
        <w:br/>
        <w:t>복구 시 프론트의 이번 변경을 먼저 revert하여 배포하고 필요하면 백엔드 필터 변경을 revert합니다. 기존 API 응답 구조와 URL을 유지하므로 데이터 복구나 Secret 교체는 필요하지 않습니다. 실제 기기 Safari와 운영 tokenadmin 로그인은 모의 테스트로 검증되지 않았으며 운영 사용자별 데이터는 배포 후 조회로 확인할 수 있습니다.</w:t>
      </w:r>
    </w:p>
    <w:sectPr w:rsidR="00FC693F" w:rsidRPr="0006063C" w:rsidSect="00034616">
      <w:pgSz w:w="11909" w:h="16834"/>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Malgun Gothic" w:hAnsi="Malgun Gothic" w:eastAsia="Malgun Gothic"/>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20" w:line="264" w:lineRule="auto"/>
      <w:outlineLvl w:val="0"/>
    </w:pPr>
    <w:rPr>
      <w:rFonts w:asciiTheme="majorHAnsi" w:eastAsiaTheme="majorEastAsia" w:hAnsiTheme="majorHAnsi" w:cstheme="majorBidi" w:ascii="Malgun Gothic" w:hAnsi="Malgun Gothic" w:eastAsia="Malgun Gothic"/>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64" w:lineRule="auto"/>
      <w:contextualSpacing/>
    </w:pPr>
    <w:rPr>
      <w:rFonts w:asciiTheme="majorHAnsi" w:eastAsiaTheme="majorEastAsia" w:hAnsiTheme="majorHAnsi" w:cstheme="majorBidi" w:ascii="Malgun Gothic" w:hAnsi="Malgun Gothic" w:eastAsia="Malgun Gothic"/>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