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서식 3 자료 반출 가능 및 불가 구분표</w:t>
      </w:r>
    </w:p>
    <w:p>
      <w:pPr>
        <w:snapToGrid w:val="0"/>
      </w:pPr>
      <w:r>
        <w:rPr>
          <w:b w:val="0"/>
        </w:rPr>
        <w:t>SOH 구강 건강관리 서비스 | 작성 기준일 2026년 9월 18일</w:t>
      </w:r>
    </w:p>
    <w:p>
      <w:pPr>
        <w:snapToGrid w:val="0"/>
      </w:pPr>
      <w:r>
        <w:rPr>
          <w:b w:val="0"/>
        </w:rPr>
        <w:t>아래 반출 구분은 승인 전 검토안입니다. 실제 반출 가능 여부는 기업 책임자와 자료 소유 운영기관이 확정합니다. 이 문서 작성으로 반출·계정 발급·외부 전송을 승인하지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78"/>
        <w:gridCol w:w="1491"/>
        <w:gridCol w:w="4950"/>
        <w:gridCol w:w="4324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산출물 명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반출 구분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사유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대체 확인 방법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회사소개서 또는 서비스 소개서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가능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공개 서비스 설명 범위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공개 웹 및 서식1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대상 목록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비공개 주소·식별정보 최종 검토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필요 항목만 마스킹하여 제공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블록체인 아키텍처·설계 문서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내부 인프라 구조 포함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민감 상세 제거본 또는 현장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불변식 및 파라미터 명세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앱 로직과 외부 계약 명세 구분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 및 지정 코드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스마트 컨트랙트 소스코드 일체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자체 보유 여부와 제3자 권리 확인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제공 또는 접근 협의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배포 스크립트 및 설정 파일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Secret 참조만 허용, 실제 비밀값·env·state 제외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마스킹 소스·구성 화면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권한 구조 문서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실제 계정명·인원 등 제한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직무 기준 매트릭스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업그레이드 절차서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회사/운영기관 승인 문서 확인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절차 인터뷰와 승인 증적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의존성 현황표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계약·연락처 및 내부 연결정보 포함 가능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역할·오류 영향 중심 제공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노드 설정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운영기관 소관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입회 열람 협의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폐쇄형·자체 체인 운영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체인 파라미터·참여조직은 운영기관 소관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기관 제공 요약 또는 현장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지갑 구성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공개주소도 서비스·사용자 연결 검토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서비스 관리주소만 별도 승인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관리 정책 및 절차서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정책은 제공 가능 범위 검토, 키 원문은 불가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마스킹 보관설정·접근정책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사용 및 서명 통제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서명 요청에 개인키 포함 가능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개인키 제거한 요청 구조와 승인 증적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침해 대응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비상연락처 및 사고정보 검토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역할 중심 절차와 마스킹 이력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연계 백엔드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내부 처리·보안 약점 정보 포함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본 작성본과 범위 제한 소스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관리자 콘솔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실제 사용자·관리자 정보 포함 가능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테스트 계정 시연 및 가림 화면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프론트엔드·앱 설정 및 서명 화면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토큰·개인정보·비공개 주소 제거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정적 설정 및 시연 화면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모니터링 구성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 경보·내부 주소 정보 포함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룰 요약 및 가림 증적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긴급 정지 절차 및 사고 이력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사고 이력과 비상운영정보 포함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범위 제한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기존 감사·점검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보고서 보유 여부와 제3자 배포권 확인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요약/현장 열람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잔액과 내부 원장 대사 자료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거래 및 이용자 연결정보 포함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선정기간 마스킹 대사표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증적 표본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개인정보·키·인증정보 제거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점검사 지정 표본만 가림 제공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35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환경 및 접근권</w:t>
            </w:r>
          </w:p>
        </w:tc>
        <w:tc>
          <w:tcPr>
            <w:tcW w:type="dxa" w:w="1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조건부 (안)</w:t>
            </w:r>
          </w:p>
        </w:tc>
        <w:tc>
          <w:tcPr>
            <w:tcW w:type="dxa" w:w="49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최소권한과 기간 제한 필요</w:t>
            </w:r>
          </w:p>
        </w:tc>
        <w:tc>
          <w:tcPr>
            <w:tcW w:type="dxa" w:w="4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읽기 전용 접근 또는 지정 commit 스냅샷</w:t>
            </w:r>
          </w:p>
        </w:tc>
      </w:tr>
    </w:tbl>
    <w:p>
      <w:pPr>
        <w:spacing w:after="40"/>
        <w:snapToGrid w:val="0"/>
      </w:pPr>
    </w:p>
    <w:p>
      <w:pPr>
        <w:snapToGrid w:val="0"/>
      </w:pPr>
      <w:r>
        <w:rPr>
          <w:b w:val="0"/>
        </w:rPr>
        <w:t>공통 불가 항목: 실제 개인키·시드·복호화키·RSA키·JWT/AWS 자격증명·DB 비밀번호·인증 토큰 원문. 존재 및 통제 방식만 가린 설정이나 담당자 입회로 확인합니다. 운영 DB 전체 덤프는 기본 제출물로 포함하지 않습니다.</w:t>
      </w:r>
    </w:p>
    <w:sectPr w:rsidR="00FC693F" w:rsidRPr="0006063C" w:rsidSect="00034616">
      <w:footerReference w:type="default" r:id="rId9"/>
      <w:pgSz w:w="16838" w:h="11906" w:orient="landscape"/>
      <w:pgMar w:top="964" w:right="964" w:bottom="964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1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1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1" w:lineRule="auto"/>
      <w:ind w:left="36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 w:line="271" w:lineRule="auto"/>
      <w:ind w:left="72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 w:line="271" w:lineRule="auto"/>
      <w:ind w:left="108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1" w:lineRule="auto"/>
      <w:ind w:left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1" w:lineRule="auto"/>
      <w:ind w:left="1080"/>
      <w:contextualSpacing/>
    </w:pPr>
    <w:rPr>
      <w:rFonts w:ascii="맑은 고딕" w:hAnsi="맑은 고딕" w:eastAsia="맑은 고딕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1" w:lineRule="auto"/>
    </w:pPr>
    <w:rPr>
      <w:rFonts w:ascii="맑은 고딕" w:hAnsi="맑은 고딕" w:eastAsia="맑은 고딕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1" w:lineRule="auto"/>
    </w:pPr>
    <w:rPr>
      <w:rFonts w:ascii="맑은 고딕" w:hAnsi="맑은 고딕" w:eastAsia="맑은 고딕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맑은 고딕" w:hAnsi="맑은 고딕" w:eastAsia="맑은 고딕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1" w:lineRule="auto"/>
      <w:ind w:left="936" w:right="936"/>
    </w:pPr>
    <w:rPr>
      <w:rFonts w:ascii="맑은 고딕" w:hAnsi="맑은 고딕" w:eastAsia="맑은 고딕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1" w:lineRule="auto"/>
      <w:outlineLvl w:val="9"/>
    </w:pPr>
    <w:rPr>
      <w:rFonts w:ascii="맑은 고딕" w:hAnsi="맑은 고딕" w:eastAsia="맑은 고딕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3 자료 반출 가능 및 불가 구분표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