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서식 4 사전 요청자료 제출 점검표</w:t>
      </w:r>
    </w:p>
    <w:p>
      <w:pPr>
        <w:snapToGrid w:val="0"/>
      </w:pPr>
      <w:r>
        <w:rPr>
          <w:b w:val="0"/>
        </w:rPr>
        <w:t>SOH 구강 건강관리 서비스 | 작성 기준일 2026년 9월 18일</w:t>
      </w:r>
    </w:p>
    <w:p>
      <w:pPr>
        <w:snapToGrid w:val="0"/>
      </w:pPr>
      <w:r>
        <w:rPr>
          <w:b w:val="0"/>
        </w:rPr>
        <w:t>외부 제출 전 취합용입니다. “일부 제출 예정”은 작성본 패키지에 내용 일부가 준비되었다는 의미이며, 이메일 전송이나 제출 완료를 뜻하지 않습니다. 보유 여부를 확인하지 못한 자료는 미보유/해당 없음으로 임의 확정하지 않았습니다.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293"/>
        <w:gridCol w:w="2050"/>
        <w:gridCol w:w="5591"/>
        <w:gridCol w:w="3409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산출물 명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제출 여부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파일명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회사소개서 또는 서비스 소개서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서식1_SOH_블록체인_보안현황_조사서.docx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서비스 개요만 작성. 회사소개서 별도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 대상 목록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서식2_SOH_점검대상_목록.docx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주소·수량 미확정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블록체인 아키텍처·설계 문서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00_SOH_사전요청자료_항목별_작성본.docx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부록 A. 체인 내부 설계 별도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불변식 및 파라미터 명세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3~7. 앱 기준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스마트 컨트랙트 소스코드 일체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자체 보유 여부 미확정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배포 스크립트 및 설정 파일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00_SOH_사전요청자료_항목별_작성본.docx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항목 28. 스크립트 원본 미첨부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권한 구조 문서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서식6_SOH_권한_인벤토리_매트릭스.docx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실제 인원·승인 절차 미확정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업그레이드 절차서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8~21. 승인 절차서 별도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의존성 현황표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22~26 및 외부 의존성 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노드 설정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자료 협조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폐쇄형·자체 체인 운영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00_SOH_사전요청자료_항목별_작성본.docx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항목 33. 체인 내부 원본 미첨부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지갑 구성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서식7_SOH_지갑_주소_인벤토리.docx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실제 서비스 주소 미기입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키 관리 정책 및 절차서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33~38. 승인 정책·시험증적 별도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키 사용 및 서명 통제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39~41 및 48~51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키 침해 대응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회사 정책·훈련기록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온체인 연계 백엔드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00_SOH_사전요청자료_항목별_작성본.docx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부록 A, 서식5 43~49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관리자 콘솔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서식6_SOH_권한_인벤토리_매트릭스.docx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권한 코드 기반. 실제 계정 증적 별도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프론트엔드·앱 설정 및 서명 화면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00_SOH_사전요청자료_항목별_작성본.docx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항목 40. 운영 화면 증적 미첨부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온체인 모니터링 구성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52·54. 운영 룰 별도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긴급 정지 절차 및 사고 이력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53·55. 사고대장 별도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기존 감사·점검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보유 여부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온체인 잔액과 내부 원장 대사 자료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서식5_SOH_서면질의_회신서.docx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문항 56~57. 실제 대사기록 없음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증적 표본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점검사가 지정 후 별도 추출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3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 환경 및 접근권</w:t>
            </w:r>
          </w:p>
        </w:tc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일부 제출 예정</w:t>
            </w:r>
          </w:p>
        </w:tc>
        <w:tc>
          <w:tcPr>
            <w:tcW w:type="dxa" w:w="55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00_SOH_사전요청자료_항목별_작성본.docx</w:t>
            </w:r>
          </w:p>
        </w:tc>
        <w:tc>
          <w:tcPr>
            <w:tcW w:type="dxa" w:w="3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항목 46. 계정·저장소 접근 미발급</w:t>
            </w:r>
          </w:p>
        </w:tc>
      </w:tr>
    </w:tbl>
    <w:p>
      <w:pPr>
        <w:spacing w:after="40"/>
        <w:snapToGrid w:val="0"/>
      </w:pPr>
    </w:p>
    <w:p>
      <w:pPr>
        <w:snapToGrid w:val="0"/>
      </w:pPr>
      <w:r>
        <w:rPr>
          <w:b w:val="0"/>
        </w:rPr>
        <w:t>최종 발송 직전에 원본 서식의 제출/일부 제출/미보유/해당 없음 중 해당 값으로 확정하고 실제 첨부파일을 대조해야 합니다. 본 패키지에 포함된 파일은 DOCX 8개와 작성 안내이며 실행 결과·원본 설정·증적 표본은 포함하지 않습니다.</w:t>
      </w:r>
    </w:p>
    <w:sectPr w:rsidR="00FC693F" w:rsidRPr="0006063C" w:rsidSect="00034616">
      <w:footerReference w:type="default" r:id="rId9"/>
      <w:pgSz w:w="16838" w:h="11906" w:orient="landscape"/>
      <w:pgMar w:top="964" w:right="964" w:bottom="964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SOH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1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1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1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1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1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271" w:lineRule="auto"/>
      <w:ind w:left="36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 w:line="271" w:lineRule="auto"/>
      <w:ind w:left="72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 w:line="271" w:lineRule="auto"/>
      <w:ind w:left="108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71" w:lineRule="auto"/>
      <w:ind w:left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71" w:lineRule="auto"/>
      <w:ind w:left="1080"/>
      <w:contextualSpacing/>
    </w:pPr>
    <w:rPr>
      <w:rFonts w:ascii="맑은 고딕" w:hAnsi="맑은 고딕" w:eastAsia="맑은 고딕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71" w:lineRule="auto"/>
    </w:pPr>
    <w:rPr>
      <w:rFonts w:ascii="맑은 고딕" w:hAnsi="맑은 고딕" w:eastAsia="맑은 고딕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271" w:lineRule="auto"/>
    </w:pPr>
    <w:rPr>
      <w:rFonts w:ascii="맑은 고딕" w:hAnsi="맑은 고딕" w:eastAsia="맑은 고딕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00"/>
    </w:pPr>
    <w:rPr>
      <w:rFonts w:ascii="맑은 고딕" w:hAnsi="맑은 고딕" w:eastAsia="맑은 고딕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71" w:lineRule="auto"/>
      <w:ind w:left="936" w:right="936"/>
    </w:pPr>
    <w:rPr>
      <w:rFonts w:ascii="맑은 고딕" w:hAnsi="맑은 고딕" w:eastAsia="맑은 고딕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271" w:lineRule="auto"/>
      <w:outlineLvl w:val="9"/>
    </w:pPr>
    <w:rPr>
      <w:rFonts w:ascii="맑은 고딕" w:hAnsi="맑은 고딕" w:eastAsia="맑은 고딕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4 사전 요청자료 제출 점검표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