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서식 5 서면 질의 회신서</w:t>
      </w:r>
    </w:p>
    <w:p>
      <w:pPr>
        <w:snapToGrid w:val="0"/>
      </w:pPr>
      <w:r>
        <w:rPr>
          <w:b w:val="0"/>
        </w:rPr>
        <w:t>SOH 구강 건강관리 서비스 | 작성 기준일 2026년 9월 18일</w:t>
      </w:r>
    </w:p>
    <w:p>
      <w:pPr>
        <w:snapToGrid w:val="0"/>
      </w:pPr>
      <w:r>
        <w:rPr>
          <w:b w:val="0"/>
        </w:rPr>
        <w:t>SOH의 블록체인 연동과 키관리 현황에 관한 58개 문항 회신입니다. 기준 commit은 00 항목별 작성본 부록 C를 따릅니다. 운영기관 확인과 기업 확인 사항은 해당 답변에 표시했습니다.</w:t>
      </w:r>
    </w:p>
    <w:p>
      <w:pPr>
        <w:pStyle w:val="Heading1"/>
        <w:snapToGrid w:val="0"/>
      </w:pPr>
      <w:r>
        <w:t>1 설계 의도와 전제</w:t>
      </w:r>
    </w:p>
    <w:p>
      <w:pPr>
        <w:keepNext/>
        <w:snapToGrid w:val="0"/>
      </w:pPr>
      <w:r>
        <w:rPr>
          <w:b/>
        </w:rPr>
        <w:t>1. 온체인에 둔 데이터와 오프체인에 둔 데이터를 나눈 기준은 무엇입니까.</w:t>
      </w:r>
    </w:p>
    <w:p>
      <w:pPr>
        <w:snapToGrid w:val="0"/>
      </w:pPr>
      <w:r>
        <w:rPr>
          <w:b w:val="0"/>
        </w:rPr>
        <w:t>SOH는 토큰 계정·전송·회수·승인과 DID 관련 기능을 외부 체인 API로 처리합니다. 회원 인적정보, CI 해시, 건강설문·구강분석, 진도·동의·리워드 원장 및 암호화 키는 오프체인에서 처리합니다. 개인정보 원문을 체인에 직접 적재하지 않는 경계를 지향하나, 외부 DID 서버의 실제 온체인 필드와 보관 정책은 운영기관 확인 필요입니다. [E03, E04, E10]</w:t>
      </w:r>
    </w:p>
    <w:p>
      <w:pPr>
        <w:keepNext/>
        <w:snapToGrid w:val="0"/>
      </w:pPr>
      <w:r>
        <w:rPr>
          <w:b/>
        </w:rPr>
        <w:t>2. 설계 시 신뢰할 수 있다고 전제한 주체는 누구입니까. 그 주체가 악의적으로 행동하면 어떤 결과가 발생합니까.</w:t>
      </w:r>
    </w:p>
    <w:p>
      <w:pPr>
        <w:snapToGrid w:val="0"/>
      </w:pPr>
      <w:r>
        <w:rPr>
          <w:b w:val="0"/>
        </w:rPr>
        <w:t>다대구 인증 공급자, 대구체인 및 토큰/DID 서버, SOH/AWS/GitHub 관리자 권한을 신뢰합니다. 인증 공급자가 거짓 값을 반환하면 계정 연결에, 토큰 서버가 거짓 성공을 반환하면 내부 원장에 영향을 줄 수 있습니다. 독립 체인 검증 및 공급자 권한 통제 증적은 별도 확인이 필요합니다. [E06, E10]</w:t>
      </w:r>
    </w:p>
    <w:p>
      <w:pPr>
        <w:keepNext/>
        <w:snapToGrid w:val="0"/>
      </w:pPr>
      <w:r>
        <w:rPr>
          <w:b/>
        </w:rPr>
        <w:t>3. 시스템 전체에서 항상 참이어야 하는 조건은 무엇입니까. 그 조건이 깨진 것을 무엇으로 알 수 있습니까.</w:t>
      </w:r>
    </w:p>
    <w:p>
      <w:pPr>
        <w:snapToGrid w:val="0"/>
      </w:pPr>
      <w:r>
        <w:rPr>
          <w:b w:val="0"/>
        </w:rPr>
        <w:t>업무조건은 사용자·토큰별 중복 지급 방지, 선행 영상 완료에 따른 접근 제한, 완료된 리워드 여정의 추가 지급 차단, 삭제/초기화 전 회수 실패 시 중단입니다. 멱등키 유일 제약·상태 이력·관련 테스트로 확인합니다. 체인 성공 후 DB 실패 등 분산 실패를 전부 감지하는 모니터링은 확인되지 않았습니다. [E04, E12, E14]</w:t>
      </w:r>
    </w:p>
    <w:p>
      <w:pPr>
        <w:keepNext/>
        <w:snapToGrid w:val="0"/>
      </w:pPr>
      <w:r>
        <w:rPr>
          <w:b/>
        </w:rPr>
        <w:t>4. 주요 파라미터의 현재 값을 그 값으로 정한 근거는 무엇입니까.</w:t>
      </w:r>
    </w:p>
    <w:p>
      <w:pPr>
        <w:snapToGrid w:val="0"/>
      </w:pPr>
      <w:r>
        <w:rPr>
          <w:b w:val="0"/>
        </w:rPr>
        <w:t>코드 기준 리워드 1회 기본 수량은 1, 필수 토큰 5종·상시 토큰 7종입니다. tokenDecimals 기본값은 18이며 실제 운영값·단위는 별도 확인이 필요합니다. 회수 승인량은 Long.MAX_VALUE 고정값입니다. 각 값의 사업/보안 승인 근거는 담당자 확인 필요입니다. [E04, E05, E07]</w:t>
      </w:r>
    </w:p>
    <w:p>
      <w:pPr>
        <w:keepNext/>
        <w:snapToGrid w:val="0"/>
      </w:pPr>
      <w:r>
        <w:rPr>
          <w:b/>
        </w:rPr>
        <w:t>5. 파라미터가 어떤 범위를 벗어나면 위험하다고 판단합니까. 그 범위를 코드에서 강제하고 있습니까.</w:t>
      </w:r>
    </w:p>
    <w:p>
      <w:pPr>
        <w:snapToGrid w:val="0"/>
      </w:pPr>
      <w:r>
        <w:rPr>
          <w:b w:val="0"/>
        </w:rPr>
        <w:t>관리자 토큰 생성 supply는 @NotNull/@Positive, 토큰명은 허용 리워드명 검증이 있습니다. 지갑주소·키·owner·계약 누락도 차단합니다. 모든 환경변수의 상한, 1일 전송 한도, 주소 whitelist, 모든 범용 프록시 payload의 동일 수준 검증은 확인되지 않았습니다. [E06, E07, E14]</w:t>
      </w:r>
    </w:p>
    <w:p>
      <w:pPr>
        <w:keepNext/>
        <w:snapToGrid w:val="0"/>
      </w:pPr>
      <w:r>
        <w:rPr>
          <w:b/>
        </w:rPr>
        <w:t>6. 산술 계산에서 반올림 방향과 정밀도를 어떻게 정했습니까. 절삭으로 남는 잔여분은 어디로 귀속됩니까.</w:t>
      </w:r>
    </w:p>
    <w:p>
      <w:pPr>
        <w:snapToGrid w:val="0"/>
      </w:pPr>
      <w:r>
        <w:rPr>
          <w:b w:val="0"/>
        </w:rPr>
        <w:t>리워드 금액은 long 정수로 처리하며 해당 경로에서 이자·수수료의 소수 반올림/잔여분 배분 로직은 확인되지 않았습니다. 온체인 decimals와 API amount의 단위 변환·절삭은 외부 토큰 서버 명세 확인이 필요합니다. [E04, E05, E06]</w:t>
      </w:r>
    </w:p>
    <w:p>
      <w:pPr>
        <w:keepNext/>
        <w:snapToGrid w:val="0"/>
      </w:pPr>
      <w:r>
        <w:rPr>
          <w:b/>
        </w:rPr>
        <w:t>7. 수수료, 이자, 보상 산정식은 문서와 코드 중 무엇을 기준으로 관리합니까. 둘이 다를 경우 무엇이 우선합니까.</w:t>
      </w:r>
    </w:p>
    <w:p>
      <w:pPr>
        <w:snapToGrid w:val="0"/>
      </w:pPr>
      <w:r>
        <w:rPr>
          <w:b w:val="0"/>
        </w:rPr>
        <w:t>실행 기준은 배포된 코드와 환경설정입니다. 리워드 기본값은 UserRewardProperties에 있으며 운영 override를 확인해야 합니다. 문서와 코드 불일치 시 적용 원칙을 정한 회사 승인 절차는 확인 필요입니다. 자체 수수료·이자 산정 기능은 확인되지 않았습니다. [E04, E05]</w:t>
      </w:r>
    </w:p>
    <w:p>
      <w:pPr>
        <w:pStyle w:val="Heading1"/>
        <w:snapToGrid w:val="0"/>
      </w:pPr>
      <w:r>
        <w:t>2 스마트 컨트랙트와 배포</w:t>
      </w:r>
    </w:p>
    <w:p>
      <w:pPr>
        <w:keepNext/>
        <w:snapToGrid w:val="0"/>
      </w:pPr>
      <w:r>
        <w:rPr>
          <w:b/>
        </w:rPr>
        <w:t>8. 점검 대상으로 지정한 시점 이후 배포 전까지 코드 변경 계획이 있습니까.</w:t>
      </w:r>
    </w:p>
    <w:p>
      <w:pPr>
        <w:snapToGrid w:val="0"/>
      </w:pPr>
      <w:r>
        <w:rPr>
          <w:b w:val="0"/>
        </w:rPr>
        <w:t>현재 운영 서비스입니다. 작성 기준 commit 이후 변경 계획 및 점검 기간 코드 동결 여부는 담당자 확인 필요입니다. 점검 시점과 실제 배포 commit을 일치시켜야 합니다.</w:t>
      </w:r>
    </w:p>
    <w:p>
      <w:pPr>
        <w:keepNext/>
        <w:snapToGrid w:val="0"/>
      </w:pPr>
      <w:r>
        <w:rPr>
          <w:b/>
        </w:rPr>
        <w:t>9. 외부 저장소에서 가져와 수정한 코드가 있습니까. 있다면 원본 대비 무엇을 바꾸었고 그 이유는 무엇입니까.</w:t>
      </w:r>
    </w:p>
    <w:p>
      <w:pPr>
        <w:snapToGrid w:val="0"/>
      </w:pPr>
      <w:r>
        <w:rPr>
          <w:b w:val="0"/>
        </w:rPr>
        <w:t>검토 범위에서 자체 컨트랙트 fork 프로젝트는 확인되지 않았습니다. Java/React 오픈소스 의존성은 Gradle/package 파일로 관리하며, 다른 제품에서 이식한 앱 코드의 권리·원본 버전 및 변경내역 제출범위는 담당자 확인 필요입니다. [E02]</w:t>
      </w:r>
    </w:p>
    <w:p>
      <w:pPr>
        <w:keepNext/>
        <w:snapToGrid w:val="0"/>
      </w:pPr>
      <w:r>
        <w:rPr>
          <w:b/>
        </w:rPr>
        <w:t>10. 배포 시 초기 파라미터를 누가 정하고 누가 검증합니까.</w:t>
      </w:r>
    </w:p>
    <w:p>
      <w:pPr>
        <w:snapToGrid w:val="0"/>
      </w:pPr>
      <w:r>
        <w:rPr>
          <w:b w:val="0"/>
        </w:rPr>
        <w:t>소스/환경변수/GitHub Secrets에서 앱 파라미터를 공급합니다. 초기값 결정자·독립 검증자 및 컨트랙트 초기화 승인 절차는 담당자/운영기관 확인 필요입니다. 자동 CI 검증이 사람의 승인 분리를 입증하지는 않습니다. [E09]</w:t>
      </w:r>
    </w:p>
    <w:p>
      <w:pPr>
        <w:keepNext/>
        <w:snapToGrid w:val="0"/>
      </w:pPr>
      <w:r>
        <w:rPr>
          <w:b/>
        </w:rPr>
        <w:t>11. 배포 직후 수행하는 검증 절차가 있습니까. 무엇을 확인합니까.</w:t>
      </w:r>
    </w:p>
    <w:p>
      <w:pPr>
        <w:snapToGrid w:val="0"/>
      </w:pPr>
      <w:r>
        <w:rPr>
          <w:b w:val="0"/>
        </w:rPr>
        <w:t>SOH 앱 workflow는 빌드, 환경설정 guard, AWS 계정과 Launch Template/JDBC 구성, 배포·ASG refresh 등을 점검합니다. 이번 프로젝트의 9월 17일 배포에서 workflow 완료·API health·프론트 CDN 갱신을 확인한 이력이 있습니다. 체인 계약 배포 직후 검증은 운영기관 확인 필요입니다. [E09]</w:t>
      </w:r>
    </w:p>
    <w:p>
      <w:pPr>
        <w:keepNext/>
        <w:snapToGrid w:val="0"/>
      </w:pPr>
      <w:r>
        <w:rPr>
          <w:b/>
        </w:rPr>
        <w:t>12. 배포가 잘못되었을 때 되돌리는 방법은 무엇입니까.</w:t>
      </w:r>
    </w:p>
    <w:p>
      <w:pPr>
        <w:snapToGrid w:val="0"/>
      </w:pPr>
      <w:r>
        <w:rPr>
          <w:b w:val="0"/>
        </w:rPr>
        <w:t>앱은 검증된 이전 commit/배포 파일로 복구하는 경로가 있습니다. DB 데이터 및 설문 완료 기록을 보존해야 하며 체인 전송을 앱 롤백만으로 취소할 수 없습니다. 컨트랙트 rollback/업그레이드 복구는 운영기관 절차 확인 필요입니다.</w:t>
      </w:r>
    </w:p>
    <w:p>
      <w:pPr>
        <w:keepNext/>
        <w:snapToGrid w:val="0"/>
      </w:pPr>
      <w:r>
        <w:rPr>
          <w:b/>
        </w:rPr>
        <w:t>13. 테스트가 다루지 못한다고 이미 알고 있는 영역이 있습니까.</w:t>
      </w:r>
    </w:p>
    <w:p>
      <w:pPr>
        <w:snapToGrid w:val="0"/>
      </w:pPr>
      <w:r>
        <w:rPr>
          <w:b w:val="0"/>
        </w:rPr>
        <w:t>코드상 단위/보안 테스트는 있으나 운영 키관리, 실제 체인 합의·재구성, 외부 서명 서버 격리, 실제 권한 보유자, 통신단절 후 체인-원장 불일치 및 외부 callback 신뢰성의 종단간 보장을 입증하지 않습니다. 해당 영역은 추가 점검 대상입니다. [E12]</w:t>
      </w:r>
    </w:p>
    <w:p>
      <w:pPr>
        <w:pStyle w:val="Heading1"/>
        <w:snapToGrid w:val="0"/>
      </w:pPr>
      <w:r>
        <w:t>3 권한과 업그레이드</w:t>
      </w:r>
    </w:p>
    <w:p>
      <w:pPr>
        <w:keepNext/>
        <w:snapToGrid w:val="0"/>
      </w:pPr>
      <w:r>
        <w:rPr>
          <w:b/>
        </w:rPr>
        <w:t>14. 배포 이후에도 남아 있는 특권 권한은 무엇이며 남겨 둔 이유는 무엇입니까.</w:t>
      </w:r>
    </w:p>
    <w:p>
      <w:pPr>
        <w:snapToGrid w:val="0"/>
      </w:pPr>
      <w:r>
        <w:rPr>
          <w:b w:val="0"/>
        </w:rPr>
        <w:t>앱에는 일반/슈퍼 관리자, 범용 /daegu-chain API의 슈퍼 관리자 권한, 토큰 생성 API의 관리자 권한이 있습니다. owner 키를 사용한 회수와 사용자 지갑의 owner 대상 approve 경로가 남습니다. 체인에서 owner가 할 수 있는 mint/burn/잠금/업그레이드 전체 권한은 운영기관 확인 필요입니다. [E06, E07, E13]</w:t>
      </w:r>
    </w:p>
    <w:p>
      <w:pPr>
        <w:keepNext/>
        <w:snapToGrid w:val="0"/>
      </w:pPr>
      <w:r>
        <w:rPr>
          <w:b/>
        </w:rPr>
        <w:t>15. 다중서명 임계값을 현재 값으로 정한 근거는 무엇입니까.</w:t>
      </w:r>
    </w:p>
    <w:p>
      <w:pPr>
        <w:snapToGrid w:val="0"/>
      </w:pPr>
      <w:r>
        <w:rPr>
          <w:b w:val="0"/>
        </w:rPr>
        <w:t>SOH 주요 경로는 단일 개인키를 외부 API에 전달하는 방식이며 다중서명 임계값 설정은 확인되지 않았습니다. 외부 운영기관 내부 다중서명 여부는 미확정입니다. 해당 없음으로 최종 확정하기 전 외부 통제를 확인해야 합니다. [E07]</w:t>
      </w:r>
    </w:p>
    <w:p>
      <w:pPr>
        <w:keepNext/>
        <w:snapToGrid w:val="0"/>
      </w:pPr>
      <w:r>
        <w:rPr>
          <w:b/>
        </w:rPr>
        <w:t>16. 서명자 중 몇 명이 동시에 연락 두절되면 운영이 멈춥니까.</w:t>
      </w:r>
    </w:p>
    <w:p>
      <w:pPr>
        <w:snapToGrid w:val="0"/>
      </w:pPr>
      <w:r>
        <w:rPr>
          <w:b w:val="0"/>
        </w:rPr>
        <w:t>SOH는 사람이 건별 서명하는 다중서명 흐름이 확인되지 않아 서명자 연락두절 인원을 산정할 수 없습니다. 키 접근 가능 인원, 비상 대행 및 외부 운영기관 가용성은 담당자 확인 필요입니다.</w:t>
      </w:r>
    </w:p>
    <w:p>
      <w:pPr>
        <w:keepNext/>
        <w:snapToGrid w:val="0"/>
      </w:pPr>
      <w:r>
        <w:rPr>
          <w:b/>
        </w:rPr>
        <w:t>17. 서명자 키가 서로 다른 매체와 장소에 보관되어 있습니까. 한 사람이 둘 이상의 키를 보관하는 경우가 있습니까.</w:t>
      </w:r>
    </w:p>
    <w:p>
      <w:pPr>
        <w:snapToGrid w:val="0"/>
      </w:pPr>
      <w:r>
        <w:rPr>
          <w:b w:val="0"/>
        </w:rPr>
        <w:t>운영 owner 키와 사용자 키 암호화키는 백엔드 env로 공급하고 사용자 키 암호문은 DB에 보관합니다. 직무분리, 물리 매체/장소 분산, 동일인 복수 키 보유 여부는 확인 필요입니다. 단순 Secret 분리를 인적 분리 보관으로 기재하지 않습니다. [E07~E09]</w:t>
      </w:r>
    </w:p>
    <w:p>
      <w:pPr>
        <w:keepNext/>
        <w:snapToGrid w:val="0"/>
      </w:pPr>
      <w:r>
        <w:rPr>
          <w:b/>
        </w:rPr>
        <w:t>18. 타임락을 설정했다면 그 시간 동안 무엇을 하기로 되어 있습니까. 실제로 그 절차를 수행한 적이 있습니까.</w:t>
      </w:r>
    </w:p>
    <w:p>
      <w:pPr>
        <w:snapToGrid w:val="0"/>
      </w:pPr>
      <w:r>
        <w:rPr>
          <w:b w:val="0"/>
        </w:rPr>
        <w:t>SOH 연동 코드에서 온체인 타임락 설정·대기 중 검증 절차를 확인하지 못했습니다. 외부 계약의 타임락과 실행 이력은 운영기관 확인 필요입니다.</w:t>
      </w:r>
    </w:p>
    <w:p>
      <w:pPr>
        <w:keepNext/>
        <w:snapToGrid w:val="0"/>
      </w:pPr>
      <w:r>
        <w:rPr>
          <w:b/>
        </w:rPr>
        <w:t>19. 권한 보유자가 퇴사하거나 직무가 바뀔 때 권한 회수는 어떤 절차로 이루어집니까.</w:t>
      </w:r>
    </w:p>
    <w:p>
      <w:pPr>
        <w:snapToGrid w:val="0"/>
      </w:pPr>
      <w:r>
        <w:rPr>
          <w:b w:val="0"/>
        </w:rPr>
        <w:t>퇴사·직무변경 시 SOH 관리자 계정, GitHub/AWS 권한, 외부 체인 앱키 및 owner 키 접근권을 회수하는 회사 절차·SLA·최근 이력은 담당자 확인 필요입니다. 권한을 가진 직무만 서식6에 기재했습니다.</w:t>
      </w:r>
    </w:p>
    <w:p>
      <w:pPr>
        <w:keepNext/>
        <w:snapToGrid w:val="0"/>
      </w:pPr>
      <w:r>
        <w:rPr>
          <w:b/>
        </w:rPr>
        <w:t>20. 업그레이드 시 스토리지 배치 충돌을 어떤 방법으로 확인합니까.</w:t>
      </w:r>
    </w:p>
    <w:p>
      <w:pPr>
        <w:snapToGrid w:val="0"/>
      </w:pPr>
      <w:r>
        <w:rPr>
          <w:b w:val="0"/>
        </w:rPr>
        <w:t>자체 업그레이드 컨트랙트/프록시 및 storage-layout 검사 도구는 확인되지 않았습니다. 외부 Token20 등의 구조와 충돌 검증은 운영기관 확인 필요입니다. 앱 DB migration 검증과는 구분합니다.</w:t>
      </w:r>
    </w:p>
    <w:p>
      <w:pPr>
        <w:keepNext/>
        <w:snapToGrid w:val="0"/>
      </w:pPr>
      <w:r>
        <w:rPr>
          <w:b/>
        </w:rPr>
        <w:t>21. 긴급 상황에서 정해진 절차를 생략하고 업그레이드할 수 있는 경로가 있습니까.</w:t>
      </w:r>
    </w:p>
    <w:p>
      <w:pPr>
        <w:snapToGrid w:val="0"/>
      </w:pPr>
      <w:r>
        <w:rPr>
          <w:b w:val="0"/>
        </w:rPr>
        <w:t>prod push로 배포가 시작되는 앱 경로가 있습니다. 브랜치 보호, 환경 승인, 비상 우회권한은 실제 GitHub 설정 확인이 필요합니다. 체인 업그레이드의 비상 우회는 운영기관 확인 필요입니다. [E09]</w:t>
      </w:r>
    </w:p>
    <w:p>
      <w:pPr>
        <w:pStyle w:val="Heading1"/>
        <w:snapToGrid w:val="0"/>
      </w:pPr>
      <w:r>
        <w:t>4 외부 의존성</w:t>
      </w:r>
    </w:p>
    <w:p>
      <w:pPr>
        <w:keepNext/>
        <w:snapToGrid w:val="0"/>
      </w:pPr>
      <w:r>
        <w:rPr>
          <w:b/>
        </w:rPr>
        <w:t>22. 각 외부 대상이 잘못된 값을 반환하면 시스템에서 어떤 결과가 발생합니까.</w:t>
      </w:r>
    </w:p>
    <w:p>
      <w:pPr>
        <w:snapToGrid w:val="0"/>
      </w:pPr>
      <w:r>
        <w:rPr>
          <w:b w:val="0"/>
        </w:rPr>
        <w:t>토큰 서버의 성공 응답은 내부 지급/회수 성공 판단에 사용되어 오류 시 원장 불일치가 생길 수 있습니다. 잘못된 계약 목록·지갑주소는 잘못된 대상 선택이나 실패를 유발할 수 있습니다. DID/다대구 인증정보 오류는 가입·계정연결에 영향을 줍니다. 외부 의존성 표를 함께 참조합니다. [E06, E10]</w:t>
      </w:r>
    </w:p>
    <w:p>
      <w:pPr>
        <w:keepNext/>
        <w:snapToGrid w:val="0"/>
      </w:pPr>
      <w:r>
        <w:rPr>
          <w:b/>
        </w:rPr>
        <w:t>23. 외부 대상의 값이 정상 범위를 벗어났는지 검증하는 로직이 있습니까.</w:t>
      </w:r>
    </w:p>
    <w:p>
      <w:pPr>
        <w:snapToGrid w:val="0"/>
      </w:pPr>
      <w:r>
        <w:rPr>
          <w:b w:val="0"/>
        </w:rPr>
        <w:t>빈 응답·일부 실패 상태, 필수 주소·키 누락, 레거시 DID 키 형식, 허용 리워드명 등을 검사합니다. ExternalTokenClient는 res가 없고 state도 없으면 실패로 판단하지 않는 경로가 있습니다. 응답 검사가 체인 finality·실제 수량/수신자 독립 검증까지 포괄하지는 않습니다. [E06, E07, E14]</w:t>
      </w:r>
    </w:p>
    <w:p>
      <w:pPr>
        <w:keepNext/>
        <w:snapToGrid w:val="0"/>
      </w:pPr>
      <w:r>
        <w:rPr>
          <w:b/>
        </w:rPr>
        <w:t>24. 외부 대상이 응답하지 않을 때 시스템은 멈춥니까, 아니면 마지막 값을 계속 사용합니까.</w:t>
      </w:r>
    </w:p>
    <w:p>
      <w:pPr>
        <w:snapToGrid w:val="0"/>
      </w:pPr>
      <w:r>
        <w:rPr>
          <w:b w:val="0"/>
        </w:rPr>
        <w:t>체인/토큰 호출 실패 시 오류 또는 TOKEN_TRANSFER_FAILED 등의 상태를 남기고 동일 보상의 후속 재시도 경로가 있습니다. 이전 성공값으로 신규 전송을 대체하는 보장은 없습니다. 지갑/DID 생성 실패는 정상 가입 완료를 막습니다. 전용 장애 대체 체인 및 타임아웃 운영값은 확인 필요입니다. [E04, E06, E10]</w:t>
      </w:r>
    </w:p>
    <w:p>
      <w:pPr>
        <w:keepNext/>
        <w:snapToGrid w:val="0"/>
      </w:pPr>
      <w:r>
        <w:rPr>
          <w:b/>
        </w:rPr>
        <w:t>25. 외부 대상의 운영 주체가 값을 임의로 바꿀 수 있습니까. 그 경우 대응 수단이 있습니까.</w:t>
      </w:r>
    </w:p>
    <w:p>
      <w:pPr>
        <w:snapToGrid w:val="0"/>
      </w:pPr>
      <w:r>
        <w:rPr>
          <w:b w:val="0"/>
        </w:rPr>
        <w:t>SOH는 외부 API 반환값을 사용하므로 공급자 권한·코드 변경에 영향을 받습니다. 운영기관의 변경 통지, 독립 검증, 중지 및 복구 협약은 담당자 확인 필요입니다. 감사 로그만으로 공급자의 악의적 변경을 차단한다고 볼 수 없습니다. [E06, E15]</w:t>
      </w:r>
    </w:p>
    <w:p>
      <w:pPr>
        <w:keepNext/>
        <w:snapToGrid w:val="0"/>
      </w:pPr>
      <w:r>
        <w:rPr>
          <w:b/>
        </w:rPr>
        <w:t>26. 브릿지를 사용한다면 양쪽 체인의 자산 수량이 일치하는지 무엇으로 확인합니까.</w:t>
      </w:r>
    </w:p>
    <w:p>
      <w:pPr>
        <w:snapToGrid w:val="0"/>
      </w:pPr>
      <w:r>
        <w:rPr>
          <w:b w:val="0"/>
        </w:rPr>
        <w:t>검토한 SOH 리워드 경로에서 크로스체인 브릿지 연동은 확인되지 않았습니다. 외부 서비스 내부의 브릿지 사용 여부는 운영기관 확인 필요입니다.</w:t>
      </w:r>
    </w:p>
    <w:p>
      <w:pPr>
        <w:pStyle w:val="Heading1"/>
        <w:snapToGrid w:val="0"/>
      </w:pPr>
      <w:r>
        <w:t>5 노드와 체인 운영</w:t>
      </w:r>
    </w:p>
    <w:p>
      <w:pPr>
        <w:keepNext/>
        <w:snapToGrid w:val="0"/>
      </w:pPr>
      <w:r>
        <w:rPr>
          <w:b/>
        </w:rPr>
        <w:t>27. 노드의 RPC를 외부에 공개하고 있습니까. 공개한다면 어떤 메서드까지 허용합니까.</w:t>
      </w:r>
    </w:p>
    <w:p>
      <w:pPr>
        <w:snapToGrid w:val="0"/>
      </w:pPr>
      <w:r>
        <w:rPr>
          <w:b w:val="0"/>
        </w:rPr>
        <w:t>SOH 자체 노드 RPC 공개 구성은 확인되지 않았습니다. 대신 /daegu-chain/**의 HTTP 프록시 API가 존재하며 슈퍼 관리자 역할로 제한됩니다. 실제 체인 RPC 공개 메서드, IP 제한 및 노드 네트워크 설정은 운영기관 확인 필요입니다. [E06, E13]</w:t>
      </w:r>
    </w:p>
    <w:p>
      <w:pPr>
        <w:keepNext/>
        <w:snapToGrid w:val="0"/>
      </w:pPr>
      <w:r>
        <w:rPr>
          <w:b/>
        </w:rPr>
        <w:t>28. 트랜잭션을 몇 블록 확정 후 최종으로 인정합니까. 그 수를 정한 근거는 무엇입니까.</w:t>
      </w:r>
    </w:p>
    <w:p>
      <w:pPr>
        <w:snapToGrid w:val="0"/>
      </w:pPr>
      <w:r>
        <w:rPr>
          <w:b w:val="0"/>
        </w:rPr>
        <w:t>SOH는 외부 토큰 API 응답을 기준으로 성공 상태를 기록합니다. n블록 확인 대기 또는 finality 조회를 강제하는 로직은 검토 경로에서 확인되지 않았습니다. 실제 확정 기준과 tx/fact hash 의미는 운영기관 명세 확인이 필요합니다. [E04, E06]</w:t>
      </w:r>
    </w:p>
    <w:p>
      <w:pPr>
        <w:keepNext/>
        <w:snapToGrid w:val="0"/>
      </w:pPr>
      <w:r>
        <w:rPr>
          <w:b/>
        </w:rPr>
        <w:t>29. 체인 재구성이 발생한 경우 어떻게 인지하고 무엇을 되돌립니까.</w:t>
      </w:r>
    </w:p>
    <w:p>
      <w:pPr>
        <w:snapToGrid w:val="0"/>
      </w:pPr>
      <w:r>
        <w:rPr>
          <w:b w:val="0"/>
        </w:rPr>
        <w:t>체인 reorg 전용 감지·원장 rollback 구현은 확인되지 않았습니다. 허가형이라는 이유로 재구성/비정상 상태가 없다고 가정하지 않으며 운영기관의 finality 보장 및 장애 복구 절차가 필요합니다.</w:t>
      </w:r>
    </w:p>
    <w:p>
      <w:pPr>
        <w:keepNext/>
        <w:snapToGrid w:val="0"/>
      </w:pPr>
      <w:r>
        <w:rPr>
          <w:b/>
        </w:rPr>
        <w:t>30. 노드 클라이언트 버전 업그레이드와 하드포크 대응은 누가 판단하고 언제 적용합니까.</w:t>
      </w:r>
    </w:p>
    <w:p>
      <w:pPr>
        <w:snapToGrid w:val="0"/>
      </w:pPr>
      <w:r>
        <w:rPr>
          <w:b w:val="0"/>
        </w:rPr>
        <w:t>SOH 앱 배포는 GitHub Actions로 관리하지만 체인 노드 버전 및 하드포크 판단·적용은 운영기관 확인 대상입니다. 통지 창구, 연동 시험, 점검시간 합의도 담당자 확인 필요입니다.</w:t>
      </w:r>
    </w:p>
    <w:p>
      <w:pPr>
        <w:keepNext/>
        <w:snapToGrid w:val="0"/>
      </w:pPr>
      <w:r>
        <w:rPr>
          <w:b/>
        </w:rPr>
        <w:t>31. 허가형 체인을 운영한다면 채널 또는 조직을 추가하거나 제거하는 결정은 누가 승인합니까.</w:t>
      </w:r>
    </w:p>
    <w:p>
      <w:pPr>
        <w:snapToGrid w:val="0"/>
      </w:pPr>
      <w:r>
        <w:rPr>
          <w:b w:val="0"/>
        </w:rPr>
        <w:t>SOH가 채널·조직 참여를 직접 관리하는 자료는 확인되지 않았습니다. 대구체인 운영기관의 참여 승인체계 확인 필요입니다. Fabric 용어인 채널/MSP를 Mitum 구조에 그대로 적용하지 않습니다.</w:t>
      </w:r>
    </w:p>
    <w:p>
      <w:pPr>
        <w:keepNext/>
        <w:snapToGrid w:val="0"/>
      </w:pPr>
      <w:r>
        <w:rPr>
          <w:b/>
        </w:rPr>
        <w:t>32. 허가형 체인을 운영한다면 인증서 폐기가 필요할 때 어떤 절차로 처리합니까.</w:t>
      </w:r>
    </w:p>
    <w:p>
      <w:pPr>
        <w:snapToGrid w:val="0"/>
      </w:pPr>
      <w:r>
        <w:rPr>
          <w:b w:val="0"/>
        </w:rPr>
        <w:t>외부 체인의 인증서/노드키 폐기·전파·재발급 절차는 운영기관 확인 필요입니다. SOH의 JWT 만료나 앱키 교체와 체인 인증서 폐기를 혼동하지 않습니다.</w:t>
      </w:r>
    </w:p>
    <w:p>
      <w:pPr>
        <w:pStyle w:val="Heading1"/>
        <w:snapToGrid w:val="0"/>
      </w:pPr>
      <w:r>
        <w:t>6 키 관리와 서명 통제</w:t>
      </w:r>
    </w:p>
    <w:p>
      <w:pPr>
        <w:keepNext/>
        <w:snapToGrid w:val="0"/>
      </w:pPr>
      <w:r>
        <w:rPr>
          <w:b/>
        </w:rPr>
        <w:t>33. 키를 생성할 때 사용한 난수 원천은 무엇입니까. 생성 과정을 기록으로 남겼습니까.</w:t>
      </w:r>
    </w:p>
    <w:p>
      <w:pPr>
        <w:snapToGrid w:val="0"/>
      </w:pPr>
      <w:r>
        <w:rPr>
          <w:b w:val="0"/>
        </w:rPr>
        <w:t>체인 지갑키는 외부 계정 생성 API에서 받으므로 난수 원천·생성장비·입회/생성기록은 운영기관 확인 필요입니다. SOH 암호화 IV는 Java SecureRandom으로 생성하며 IV 12바이트, GCM 태그 128비트입니다. 이는 지갑키 자체의 생성 엔트로피가 아닙니다. [E07]</w:t>
      </w:r>
    </w:p>
    <w:p>
      <w:pPr>
        <w:keepNext/>
        <w:snapToGrid w:val="0"/>
      </w:pPr>
      <w:r>
        <w:rPr>
          <w:b/>
        </w:rPr>
        <w:t>34. 키가 평문으로 존재하는 순간이 있습니까. 있다면 어디입니까.</w:t>
      </w:r>
    </w:p>
    <w:p>
      <w:pPr>
        <w:snapToGrid w:val="0"/>
      </w:pPr>
      <w:r>
        <w:rPr>
          <w:b w:val="0"/>
        </w:rPr>
        <w:t>예. 외부 계정생성 응답, SOH 프로세스의 키 암호화 전/복호화 후 메모리 및 approve/reclaim 요청 구성 시 평문 개인키가 존재합니다. DB에는 사용자 키 암호문을 저장하지만 owner 키는 실행환경에 공급됩니다. Java String 메모리의 즉시 완전 삭제와 모든 전송 구간 TLS는 입증되지 않았습니다. [E06~E09]</w:t>
      </w:r>
    </w:p>
    <w:p>
      <w:pPr>
        <w:keepNext/>
        <w:snapToGrid w:val="0"/>
      </w:pPr>
      <w:r>
        <w:rPr>
          <w:b/>
        </w:rPr>
        <w:t>35. 개발자 개인 단말에 배포용 키가 남아 있는 경우가 있습니까.</w:t>
      </w:r>
    </w:p>
    <w:p>
      <w:pPr>
        <w:snapToGrid w:val="0"/>
      </w:pPr>
      <w:r>
        <w:rPr>
          <w:b w:val="0"/>
        </w:rPr>
        <w:t>담당자 확인 필요. 개발자 단말·다운로드·Git 이력·CI 산출물 및 배포 env 사본의 잔존 여부를 별도 확인해야 합니다. 이번 작성에서는 단말의 비밀값을 수집하지 않았습니다.</w:t>
      </w:r>
    </w:p>
    <w:p>
      <w:pPr>
        <w:keepNext/>
        <w:snapToGrid w:val="0"/>
      </w:pPr>
      <w:r>
        <w:rPr>
          <w:b/>
        </w:rPr>
        <w:t>36. 키 백업본은 몇 부가 어디에 있으며 누가 접근할 수 있습니까.</w:t>
      </w:r>
    </w:p>
    <w:p>
      <w:pPr>
        <w:snapToGrid w:val="0"/>
      </w:pPr>
      <w:r>
        <w:rPr>
          <w:b w:val="0"/>
        </w:rPr>
        <w:t>담당자 확인 필요. AWS/GitHub/S3/EC2의 배포 구조는 확인되나 지갑키·복호화키·owner 키의 백업 수량·위치·접근자 및 상호 분리는 운영 증적이 필요합니다. [E08, E09]</w:t>
      </w:r>
    </w:p>
    <w:p>
      <w:pPr>
        <w:keepNext/>
        <w:snapToGrid w:val="0"/>
      </w:pPr>
      <w:r>
        <w:rPr>
          <w:b/>
        </w:rPr>
        <w:t>37. 복구 절차를 실제로 시험해 본 적이 있습니까. 언제 수행했고 결과는 어땠습니까.</w:t>
      </w:r>
    </w:p>
    <w:p>
      <w:pPr>
        <w:snapToGrid w:val="0"/>
      </w:pPr>
      <w:r>
        <w:rPr>
          <w:b w:val="0"/>
        </w:rPr>
        <w:t>담당자 확인 필요. 지갑 암호문과 복호화키 복구, owner 키 복구의 실제 시험일·결과는 확인하지 못했습니다. RDS 백업 기능만으로 지갑 복구 시험 완료를 기재하지 않습니다.</w:t>
      </w:r>
    </w:p>
    <w:p>
      <w:pPr>
        <w:keepNext/>
        <w:snapToGrid w:val="0"/>
      </w:pPr>
      <w:r>
        <w:rPr>
          <w:b/>
        </w:rPr>
        <w:t>38. 키를 교체한 적이 있습니까. 교체 시 기존 키는 어떻게 처리합니까.</w:t>
      </w:r>
    </w:p>
    <w:p>
      <w:pPr>
        <w:snapToGrid w:val="0"/>
      </w:pPr>
      <w:r>
        <w:rPr>
          <w:b w:val="0"/>
        </w:rPr>
        <w:t>레거시 DID 키를 체인 지갑키로 재사용하지 않고 새 지갑을 생성하는 보정 코드가 있습니다. 실제 교체 이력, 잔여 자산 처리, 이전 키 폐기 및 복호화키의 정기 교체 절차는 담당자 확인 필요입니다. 복호화키 임의 교체는 기존 지갑 복호화를 막을 수 있습니다. [E07]</w:t>
      </w:r>
    </w:p>
    <w:p>
      <w:pPr>
        <w:keepNext/>
        <w:snapToGrid w:val="0"/>
      </w:pPr>
      <w:r>
        <w:rPr>
          <w:b/>
        </w:rPr>
        <w:t>39. 서명 요청이 정당한지 누가 어떻게 확인합니까. 요청자와 승인자가 분리되어 있습니까.</w:t>
      </w:r>
    </w:p>
    <w:p>
      <w:pPr>
        <w:snapToGrid w:val="0"/>
      </w:pPr>
      <w:r>
        <w:rPr>
          <w:b w:val="0"/>
        </w:rPr>
        <w:t>앱 인증·역할과 보상 업무조건을 백엔드가 검사합니다. 일반 사용자 보상/회수는 자동 처리되며 사람 요청자와 독립 승인자를 나누는 workflow는 확인되지 않았습니다. 관리자 삭제/초기화는 권한 및 확인값 등을 검사합니다. [E04, E13, E14]</w:t>
      </w:r>
    </w:p>
    <w:p>
      <w:pPr>
        <w:keepNext/>
        <w:snapToGrid w:val="0"/>
      </w:pPr>
      <w:r>
        <w:rPr>
          <w:b/>
        </w:rPr>
        <w:t>40. 서명 대상 데이터를 서명 화면과 다른 경로로 대조하는 절차가 있습니까.</w:t>
      </w:r>
    </w:p>
    <w:p>
      <w:pPr>
        <w:snapToGrid w:val="0"/>
      </w:pPr>
      <w:r>
        <w:rPr>
          <w:b w:val="0"/>
        </w:rPr>
        <w:t>SOH의 사용자 지갑 승인 경로는 서버 API 방식입니다. 사용자의 서명 화면과 독립 채널로 서명 payload를 대조하는 절차·시연 증적은 확인되지 않았습니다. 외부 서명 서버의 검증은 별도 확인 대상입니다.</w:t>
      </w:r>
    </w:p>
    <w:p>
      <w:pPr>
        <w:keepNext/>
        <w:snapToGrid w:val="0"/>
      </w:pPr>
      <w:r>
        <w:rPr>
          <w:b/>
        </w:rPr>
        <w:t>41. 화이트리스트에 없는 주소로 출금해야 할 때 어떤 절차를 거칩니까. 실제 사례가 있습니까.</w:t>
      </w:r>
    </w:p>
    <w:p>
      <w:pPr>
        <w:snapToGrid w:val="0"/>
      </w:pPr>
      <w:r>
        <w:rPr>
          <w:b w:val="0"/>
        </w:rPr>
        <w:t>정상 지급은 DB에 저장된 사용자 지갑주소, 회수는 설정된 owner 주소를 사용합니다. 이는 모든 전송 API에 적용되는 주소 화이트리스트 통제와 같지 않습니다. 범용 관리자 전송 경로의 예외 승인·주소 등록 절차와 사례는 확인 필요입니다. [E04, E06]</w:t>
      </w:r>
    </w:p>
    <w:p>
      <w:pPr>
        <w:keepNext/>
        <w:snapToGrid w:val="0"/>
      </w:pPr>
      <w:r>
        <w:rPr>
          <w:b/>
        </w:rPr>
        <w:t>42. 키가 유출되었다고 판단하는 기준은 무엇입니까. 판단 후 첫 조치는 무엇이며 몇 분 안에 가능합니까.</w:t>
      </w:r>
    </w:p>
    <w:p>
      <w:pPr>
        <w:snapToGrid w:val="0"/>
      </w:pPr>
      <w:r>
        <w:rPr>
          <w:b w:val="0"/>
        </w:rPr>
        <w:t>유출 판단 기준, 대응 책임자, 키 사용 차단·자산 이전의 순서 및 목표 시간은 담당자 확인 필요입니다. 기존 운영 지침에는 노출된 키 교체 원칙이 있으나 실제 비상조치 수행시간은 확인하지 않았습니다.</w:t>
      </w:r>
    </w:p>
    <w:p>
      <w:pPr>
        <w:pStyle w:val="Heading1"/>
        <w:snapToGrid w:val="0"/>
      </w:pPr>
      <w:r>
        <w:t>7 온체인 연계 백엔드와 관리자 콘솔</w:t>
      </w:r>
    </w:p>
    <w:p>
      <w:pPr>
        <w:keepNext/>
        <w:snapToGrid w:val="0"/>
      </w:pPr>
      <w:r>
        <w:rPr>
          <w:b/>
        </w:rPr>
        <w:t>43. 출금 트랜잭션을 발생시킬 수 있는 경로를 전부 나열하면 무엇입니까.</w:t>
      </w:r>
    </w:p>
    <w:p>
      <w:pPr>
        <w:snapToGrid w:val="0"/>
      </w:pPr>
      <w:r>
        <w:rPr>
          <w:b w:val="0"/>
        </w:rPr>
        <w:t>① POST /oral-exercise/rewards/button-click 지급 ② POST /oral-exercise/rewards/reclaim 회수 ③ DELETE /admin/user 및 POST /admin/user/test-data/reset 전 회수 ④ /daegu-chain/token-20/transfer, transfer-from ⑤ /daegu-chain/common/account/transfer ⑥ /daegu-chain/point/transfer ⑦ /daegu-chain/nft-721/transfer. 모두 API base /api 아래입니다. mint/burn/approve 및 NFT set-approval-for-all 등 권한·자산 변경 경로도 별도 포함해야 합니다. 외부 서버의 수동·배치 경로는 미확정입니다. [E04, E06, E14]</w:t>
      </w:r>
    </w:p>
    <w:p>
      <w:pPr>
        <w:keepNext/>
        <w:snapToGrid w:val="0"/>
      </w:pPr>
      <w:r>
        <w:rPr>
          <w:b/>
        </w:rPr>
        <w:t>44. 정상 경로 외에 운영자 수동 실행이나 배치 작업으로 출금이 발생하는 경우가 있습니까.</w:t>
      </w:r>
    </w:p>
    <w:p>
      <w:pPr>
        <w:snapToGrid w:val="0"/>
      </w:pPr>
      <w:r>
        <w:rPr>
          <w:b w:val="0"/>
        </w:rPr>
        <w:t>범용 슈퍼 관리자 프록시 API가 있어 일반 사용자 흐름 밖에서도 전송 요청이 가능합니다. 운영자 직접 스크립트/배치, 외부 토큰 서버 관리콘솔에서의 추가 실행 여부는 담당자 확인 필요입니다. UI에 메뉴가 없다는 이유로 수동 실행 경로를 제외하지 않습니다. [E06, E13]</w:t>
      </w:r>
    </w:p>
    <w:p>
      <w:pPr>
        <w:keepNext/>
        <w:snapToGrid w:val="0"/>
      </w:pPr>
      <w:r>
        <w:rPr>
          <w:b/>
        </w:rPr>
        <w:t>45. 같은 출금 요청이 두 번 처리되는 것을 무엇으로 막습니까.</w:t>
      </w:r>
    </w:p>
    <w:p>
      <w:pPr>
        <w:snapToGrid w:val="0"/>
      </w:pPr>
      <w:r>
        <w:rPr>
          <w:b w:val="0"/>
        </w:rPr>
        <w:t>사용자·토큰별 이력 조회 및 idempotency_key 유일 제약, 기존 상태 확인과 일부 지갑 잠금이 있습니다. 외부 토큰 요청에는 공통 멱등키 전달이 확인되지 않아 외부 전송 성공 후 응답 유실/DB 실패 시 중복 위험은 별도 대사·운영 확인이 필요합니다. 범용 전송 API 전체에 동일 통제가 적용되는 것은 아닙니다. [E04, E06]</w:t>
      </w:r>
    </w:p>
    <w:p>
      <w:pPr>
        <w:keepNext/>
        <w:snapToGrid w:val="0"/>
      </w:pPr>
      <w:r>
        <w:rPr>
          <w:b/>
        </w:rPr>
        <w:t>46. 입금을 확정으로 인정하는 기준은 무엇입니까. 확정 전에 사용자에게 잔액을 반영합니까.</w:t>
      </w:r>
    </w:p>
    <w:p>
      <w:pPr>
        <w:snapToGrid w:val="0"/>
      </w:pPr>
      <w:r>
        <w:rPr>
          <w:b w:val="0"/>
        </w:rPr>
        <w:t>일반 입금 감시·n블록 확정 대기 시스템은 확인되지 않았습니다. SOH가 발생시킨 리워드 지급은 외부 API 성공 응답 뒤 원장·잔액을 반영합니다. 체인 잔액을 독립 조회하여 확정하는 기준은 운영기관 확인 필요입니다. [E04, E06]</w:t>
      </w:r>
    </w:p>
    <w:p>
      <w:pPr>
        <w:keepNext/>
        <w:snapToGrid w:val="0"/>
      </w:pPr>
      <w:r>
        <w:rPr>
          <w:b/>
        </w:rPr>
        <w:t>47. 서명 서버에 접근할 수 있는 계정은 몇 개이며 누구입니까. 사람이 직접 접속할 수 있습니까.</w:t>
      </w:r>
    </w:p>
    <w:p>
      <w:pPr>
        <w:snapToGrid w:val="0"/>
      </w:pPr>
      <w:r>
        <w:rPr>
          <w:b w:val="0"/>
        </w:rPr>
        <w:t>서명 요청은 SOH 백엔드와 외부 API 서버를 통과합니다. AWS/서버 관리자, 서비스 계정 및 직접 접속 가능한 인원·권한은 확인 필요입니다. 전용 격리 서명 서버의 존재 및 계정 수를 임의 기재하지 않았습니다.</w:t>
      </w:r>
    </w:p>
    <w:p>
      <w:pPr>
        <w:keepNext/>
        <w:snapToGrid w:val="0"/>
      </w:pPr>
      <w:r>
        <w:rPr>
          <w:b/>
        </w:rPr>
        <w:t>48. 서명 서버가 서명 요청을 거부하는 조건이 있습니까.</w:t>
      </w:r>
    </w:p>
    <w:p>
      <w:pPr>
        <w:snapToGrid w:val="0"/>
      </w:pPr>
      <w:r>
        <w:rPr>
          <w:b w:val="0"/>
        </w:rPr>
        <w:t>앱에서는 인증/역할 미충족, 지갑·owner·계약·키 누락, 복호화 실패, 레거시 DID 키, 선행 조건·중복 및 완료 조건 위반 등을 거부합니다. 외부 서명 서버 자체의 금액·속도·주소 제한, 독립 검증 규칙은 확인 필요입니다. [E04, E07, E13]</w:t>
      </w:r>
    </w:p>
    <w:p>
      <w:pPr>
        <w:keepNext/>
        <w:snapToGrid w:val="0"/>
      </w:pPr>
      <w:r>
        <w:rPr>
          <w:b/>
        </w:rPr>
        <w:t>49. 관리자 콘솔에서 블록체인 관련 기능을 실행할 때 추가 승인을 요구합니까.</w:t>
      </w:r>
    </w:p>
    <w:p>
      <w:pPr>
        <w:snapToGrid w:val="0"/>
      </w:pPr>
      <w:r>
        <w:rPr>
          <w:b w:val="0"/>
        </w:rPr>
        <w:t>역할 검증은 있으나 일반적인 추가 승인자·MFA workflow는 확인되지 않았습니다. 슈퍼 관리자 사용자 초기화에는 대상 로그인 ID 재입력을 요구하고 회수 실패 시 초기화를 중단합니다. ID 확인은 이중승인과는 다릅니다. [E14]</w:t>
      </w:r>
    </w:p>
    <w:p>
      <w:pPr>
        <w:pStyle w:val="Heading1"/>
        <w:snapToGrid w:val="0"/>
      </w:pPr>
      <w:r>
        <w:t>8 이용자 대상 구간</w:t>
      </w:r>
    </w:p>
    <w:p>
      <w:pPr>
        <w:keepNext/>
        <w:snapToGrid w:val="0"/>
      </w:pPr>
      <w:r>
        <w:rPr>
          <w:b/>
        </w:rPr>
        <w:t>50. 프론트엔드와 앱에 들어가는 컨트랙트 주소와 RPC 엔드포인트를 누가 어떤 절차로 변경합니까.</w:t>
      </w:r>
    </w:p>
    <w:p>
      <w:pPr>
        <w:snapToGrid w:val="0"/>
      </w:pPr>
      <w:r>
        <w:rPr>
          <w:b w:val="0"/>
        </w:rPr>
        <w:t>SOH 프론트의 주 경로는 API base URL과 백엔드 리워드 API입니다. 리워드 계약/체인/API 연결은 백엔드 설정·외부 목록에서 결정합니다. 변경자의 실제 권한, GitHub 보호규칙·검토자 및 승인 단계는 담당자 확인 필요입니다. [E05, E11]</w:t>
      </w:r>
    </w:p>
    <w:p>
      <w:pPr>
        <w:keepNext/>
        <w:snapToGrid w:val="0"/>
      </w:pPr>
      <w:r>
        <w:rPr>
          <w:b/>
        </w:rPr>
        <w:t>51. 사용자에게 서명을 요청할 때 승인 범위를 어떻게 표시합니까. 무제한 승인을 요청하는 경우가 있습니까.</w:t>
      </w:r>
    </w:p>
    <w:p>
      <w:pPr>
        <w:snapToGrid w:val="0"/>
      </w:pPr>
      <w:r>
        <w:rPr>
          <w:b w:val="0"/>
        </w:rPr>
        <w:t>사용자가 지갑에서 직접 서명하는 별도 화면은 주 경로에서 확인되지 않았습니다. 서버는 owner 대상 approve에 9223372036854775807을 전달합니다. 이는 건별 리워드 수량을 크게 초과하는 고정 승인입니다. 정확한 체인 단위, 승인 범위 고지·동의·철회 기능 및 실운영 allowance는 확인 필요입니다. [E07]</w:t>
      </w:r>
    </w:p>
    <w:p>
      <w:pPr>
        <w:pStyle w:val="Heading1"/>
        <w:snapToGrid w:val="0"/>
      </w:pPr>
      <w:r>
        <w:t>9 모니터링과 긴급 대응</w:t>
      </w:r>
    </w:p>
    <w:p>
      <w:pPr>
        <w:keepNext/>
        <w:snapToGrid w:val="0"/>
      </w:pPr>
      <w:r>
        <w:rPr>
          <w:b/>
        </w:rPr>
        <w:t>52. 특권 함수가 호출되면 몇 분 안에 인지할 수 있습니까. 야간과 휴일에도 동일합니까.</w:t>
      </w:r>
    </w:p>
    <w:p>
      <w:pPr>
        <w:snapToGrid w:val="0"/>
      </w:pPr>
      <w:r>
        <w:rPr>
          <w:b w:val="0"/>
        </w:rPr>
        <w:t>특권 함수 호출을 몇 분 이내 감지한다는 보장과 야간/휴일 동일 대응 증적은 확인되지 않았습니다. 사용자 문맥 API 로그와 관리자 조회가 있으나 전용 실시간 온체인 알림은 별도 확인 필요입니다. [E15]</w:t>
      </w:r>
    </w:p>
    <w:p>
      <w:pPr>
        <w:keepNext/>
        <w:snapToGrid w:val="0"/>
      </w:pPr>
      <w:r>
        <w:rPr>
          <w:b/>
        </w:rPr>
        <w:t>53. 출금을 즉시 중지할 권한을 가진 사람은 누구이며 중지까지 몇 분이 걸립니까.</w:t>
      </w:r>
    </w:p>
    <w:p>
      <w:pPr>
        <w:snapToGrid w:val="0"/>
      </w:pPr>
      <w:r>
        <w:rPr>
          <w:b w:val="0"/>
        </w:rPr>
        <w:t>담당자와 중지 목표시간은 확인 필요입니다. USER_REWARD_TOKEN_TRANSFER_ENABLED는 일부 정상 보상 경로의 설정이며 범용 관리자 전송/회수까지 포함한 전역 kill switch가 아닙니다. 설정 변경 및 배포 소요시간과 외부 owner 차단 절차를 별도 확정해야 합니다. [E04, E06, E09]</w:t>
      </w:r>
    </w:p>
    <w:p>
      <w:pPr>
        <w:keepNext/>
        <w:snapToGrid w:val="0"/>
      </w:pPr>
      <w:r>
        <w:rPr>
          <w:b/>
        </w:rPr>
        <w:t>54. 이상 징후 임계값을 정한 근거는 무엇입니까. 오탐이 많아 알림을 끈 사례가 있습니까.</w:t>
      </w:r>
    </w:p>
    <w:p>
      <w:pPr>
        <w:snapToGrid w:val="0"/>
      </w:pPr>
      <w:r>
        <w:rPr>
          <w:b w:val="0"/>
        </w:rPr>
        <w:t>온체인 이상징후 임계값·오탐 조정·알림 중지 기록은 담당자 확인 필요입니다. API 실패 이력과 실제 관제 룰 운영을 구분해야 합니다. [E15]</w:t>
      </w:r>
    </w:p>
    <w:p>
      <w:pPr>
        <w:keepNext/>
        <w:snapToGrid w:val="0"/>
      </w:pPr>
      <w:r>
        <w:rPr>
          <w:b/>
        </w:rPr>
        <w:t>55. 블록체인 관련 사고나 장애가 있었다면 원인과 재발 방지 조치는 무엇입니까.</w:t>
      </w:r>
    </w:p>
    <w:p>
      <w:pPr>
        <w:snapToGrid w:val="0"/>
      </w:pPr>
      <w:r>
        <w:rPr>
          <w:b w:val="0"/>
        </w:rPr>
        <w:t>저장소 운영 문서에는 지갑키 형식 불일치, 토큰 전송/회수 실패 및 DB 자격증명 관련 장애 대응 설명이 있습니다. 사고대장으로 확인한 발생일·영향·조치 승인 및 보안사고 여부는 담당자 확인 필요입니다. 코드의 보정·재시도 구현만으로 모든 사고가 종결되었다고 기재하지 않습니다.</w:t>
      </w:r>
    </w:p>
    <w:p>
      <w:pPr>
        <w:pStyle w:val="Heading1"/>
        <w:snapToGrid w:val="0"/>
      </w:pPr>
      <w:r>
        <w:t>10 잔액 대조와 기존 점검</w:t>
      </w:r>
    </w:p>
    <w:p>
      <w:pPr>
        <w:keepNext/>
        <w:snapToGrid w:val="0"/>
      </w:pPr>
      <w:r>
        <w:rPr>
          <w:b/>
        </w:rPr>
        <w:t>56. 온체인 잔액과 내부 원장을 얼마나 자주 대조합니까. 누가 수행하고 누가 확인합니까.</w:t>
      </w:r>
    </w:p>
    <w:p>
      <w:pPr>
        <w:snapToGrid w:val="0"/>
      </w:pPr>
      <w:r>
        <w:rPr>
          <w:b w:val="0"/>
        </w:rPr>
        <w:t>내부 잔액은 지급·회수 원장으로 계산합니다. 온체인 잔액과 정기 대조하는 주기·수행자·확인자 및 최근 실행 증적은 확인되지 않았습니다. 결제/정산 비대상이라도 리워드 전송 실패 대사는 점검기관과 범위를 협의해야 합니다. [E04]</w:t>
      </w:r>
    </w:p>
    <w:p>
      <w:pPr>
        <w:keepNext/>
        <w:snapToGrid w:val="0"/>
      </w:pPr>
      <w:r>
        <w:rPr>
          <w:b/>
        </w:rPr>
        <w:t>57. 대조 결과가 맞지 않은 적이 있습니까. 원인은 무엇이었습니까.</w:t>
      </w:r>
    </w:p>
    <w:p>
      <w:pPr>
        <w:snapToGrid w:val="0"/>
      </w:pPr>
      <w:r>
        <w:rPr>
          <w:b w:val="0"/>
        </w:rPr>
        <w:t>담당자 확인 필요. 원장 불일치 이력과 원인·보정 증적을 운영 데이터로 확인하지 않았습니다. 외부 전송 성공 후 응답 유실 또는 DB 실패는 검토해야 할 시나리오입니다.</w:t>
      </w:r>
    </w:p>
    <w:p>
      <w:pPr>
        <w:keepNext/>
        <w:snapToGrid w:val="0"/>
      </w:pPr>
      <w:r>
        <w:rPr>
          <w:b/>
        </w:rPr>
        <w:t>58. 기존 감사에서 지적된 항목 중 조치하지 않은 것이 있습니까. 조치하지 않은 이유는 무엇입니까.</w:t>
      </w:r>
    </w:p>
    <w:p>
      <w:pPr>
        <w:snapToGrid w:val="0"/>
      </w:pPr>
      <w:r>
        <w:rPr>
          <w:b w:val="0"/>
        </w:rPr>
        <w:t>기존 감사 보고서 및 미조치 항목 대장은 담당자 확인 필요입니다. 이번 코드·문서 대조에서 확인한 검토사항은 본 패키지 00 문서 부록 B에 있으며 외부 감사 확정 지적으로 표현하지 않습니다.</w:t>
      </w:r>
    </w:p>
    <w:p>
      <w:pPr>
        <w:pStyle w:val="Heading1"/>
        <w:snapToGrid w:val="0"/>
      </w:pPr>
      <w:r>
        <w:t>별첨 외부 의존성 현황</w:t>
      </w:r>
    </w:p>
    <w:tbl>
      <w:tblPr>
        <w:tblW w:type="auto" w:w="0"/>
        <w:jc w:val="center"/>
        <w:tblLayout w:type="fixed"/>
        <w:tblLook w:firstColumn="1" w:firstRow="1" w:lastColumn="0" w:lastRow="0" w:noHBand="0" w:noVBand="1" w:val="04A0"/>
      </w:tblPr>
      <w:tblGrid>
        <w:gridCol w:w="1984"/>
        <w:gridCol w:w="1984"/>
        <w:gridCol w:w="2948"/>
        <w:gridCol w:w="3061"/>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spacing w:after="40" w:before="40" w:line="259" w:lineRule="auto"/>
            </w:pPr>
            <w:r>
              <w:rPr>
                <w:b/>
                <w:sz w:val="19"/>
              </w:rPr>
              <w:t>의존 대상</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spacing w:after="40" w:before="40" w:line="259" w:lineRule="auto"/>
            </w:pPr>
            <w:r>
              <w:rPr>
                <w:b/>
                <w:sz w:val="19"/>
              </w:rPr>
              <w:t>운영 주체</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spacing w:after="40" w:before="40" w:line="259" w:lineRule="auto"/>
            </w:pPr>
            <w:r>
              <w:rPr>
                <w:b/>
                <w:sz w:val="19"/>
              </w:rPr>
              <w:t>오류의 영향</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spacing w:after="40" w:before="40" w:line="259" w:lineRule="auto"/>
            </w:pPr>
            <w:r>
              <w:rPr>
                <w:b/>
                <w:sz w:val="19"/>
              </w:rPr>
              <w:t>장애 시 대체 경로</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 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대구체인 운영기관. 실제 계약주체 확인 필요</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계정생성·승인·체인 조회 실패 또는 잘못된 상태</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대체 노드/공급자 자동 전환 확인되지 않음</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토큰 서버</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담당자 확인 필요</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잘못된 전송·계약 목록·성공 응답이면 원장 오류 가능</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실패 기록·후속 재시도. 체인 확정 대사 별도 필요</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DID 서버</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담당자 확인 필요</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가입 DID 발급 실패 또는 잘못된 식별정보</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프로비저닝 실패 시 가입 완료 차단. 공급자 대체 확인 필요</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다대구 인증</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다대구 운영기관</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로그인/신규 사용자 연결 실패 또는 오연결 위험</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일반 로그인 경로는 별도 존재. 계정 자격조건 충족 필요</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AWS</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AWS / SOH 인프라 담당</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API·DB·정적 웹 또는 Secret 접근 장애</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ASG·백업 구성은 있음. 실제 복구시험·목표시간 미확정</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AI 분석 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운영/계약 주체 확인 필요</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문진 분석·맞춤 콘텐츠 산출 실패</w:t>
            </w:r>
          </w:p>
        </w:tc>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기존 문진은 규칙 기반 fallback 구현. 다른 분석의 대체 여부 별도 확인</w:t>
            </w:r>
          </w:p>
        </w:tc>
      </w:tr>
    </w:tbl>
    <w:p>
      <w:pPr>
        <w:spacing w:after="40"/>
        <w:snapToGrid w:val="0"/>
      </w:pPr>
    </w:p>
    <w:sectPr w:rsidR="00FC693F" w:rsidRPr="0006063C" w:rsidSect="00034616">
      <w:footerReference w:type="default" r:id="rId9"/>
      <w:pgSz w:w="11906" w:h="16838"/>
      <w:pgMar w:top="964" w:right="964" w:bottom="964" w:left="9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1" w:lineRule="auto"/>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1" w:lineRule="auto"/>
      <w:outlineLvl w:val="1"/>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71"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100" w:line="271" w:lineRule="auto"/>
      <w:outlineLvl w:val="3"/>
    </w:pPr>
    <w:rPr>
      <w:rFonts w:asciiTheme="majorHAnsi" w:eastAsiaTheme="majorEastAsia" w:hAnsiTheme="majorHAnsi" w:cstheme="majorBidi" w:ascii="맑은 고딕" w:hAnsi="맑은 고딕" w:eastAsia="맑은 고딕"/>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100" w:line="271" w:lineRule="auto"/>
      <w:outlineLvl w:val="4"/>
    </w:pPr>
    <w:rPr>
      <w:rFonts w:asciiTheme="majorHAnsi" w:eastAsiaTheme="majorEastAsia" w:hAnsiTheme="majorHAnsi" w:cstheme="majorBidi" w:ascii="맑은 고딕" w:hAnsi="맑은 고딕" w:eastAsia="맑은 고딕"/>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100" w:line="271" w:lineRule="auto"/>
      <w:outlineLvl w:val="5"/>
    </w:pPr>
    <w:rPr>
      <w:rFonts w:asciiTheme="majorHAnsi" w:eastAsiaTheme="majorEastAsia" w:hAnsiTheme="majorHAnsi" w:cstheme="majorBidi" w:ascii="맑은 고딕" w:hAnsi="맑은 고딕" w:eastAsia="맑은 고딕"/>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100" w:line="271" w:lineRule="auto"/>
      <w:outlineLvl w:val="6"/>
    </w:pPr>
    <w:rPr>
      <w:rFonts w:asciiTheme="majorHAnsi" w:eastAsiaTheme="majorEastAsia" w:hAnsiTheme="majorHAnsi" w:cstheme="majorBidi" w:ascii="맑은 고딕" w:hAnsi="맑은 고딕" w:eastAsia="맑은 고딕"/>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100" w:line="271" w:lineRule="auto"/>
      <w:outlineLvl w:val="7"/>
    </w:pPr>
    <w:rPr>
      <w:rFonts w:asciiTheme="majorHAnsi" w:eastAsiaTheme="majorEastAsia" w:hAnsiTheme="majorHAnsi" w:cstheme="majorBidi" w:ascii="맑은 고딕" w:hAnsi="맑은 고딕" w:eastAsia="맑은 고딕"/>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71" w:lineRule="auto"/>
      <w:outlineLvl w:val="8"/>
    </w:pPr>
    <w:rPr>
      <w:rFonts w:asciiTheme="majorHAnsi" w:eastAsiaTheme="majorEastAsia" w:hAnsiTheme="majorHAnsi" w:cstheme="majorBidi" w:ascii="맑은 고딕" w:hAnsi="맑은 고딕" w:eastAsia="맑은 고딕"/>
      <w:i/>
      <w:iCs/>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71" w:lineRule="auto"/>
    </w:pPr>
    <w:rPr>
      <w:rFonts w:ascii="맑은 고딕" w:hAnsi="맑은 고딕" w:eastAsia="맑은 고딕"/>
      <w:color w:val="000000"/>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1" w:lineRule="auto" w:before="200"/>
      <w:contextualSpacing/>
    </w:pPr>
    <w:rPr>
      <w:rFonts w:asciiTheme="majorHAnsi" w:eastAsiaTheme="majorEastAsia" w:hAnsiTheme="majorHAnsi" w:cstheme="majorBidi" w:ascii="맑은 고딕" w:hAnsi="맑은 고딕" w:eastAsia="맑은 고딕"/>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1" w:lineRule="auto"/>
    </w:pPr>
    <w:rPr>
      <w:rFonts w:asciiTheme="majorHAnsi" w:eastAsiaTheme="majorEastAsia" w:hAnsiTheme="majorHAnsi" w:cstheme="majorBidi" w:ascii="맑은 고딕" w:hAnsi="맑은 고딕" w:eastAsia="맑은 고딕"/>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71" w:lineRule="auto"/>
      <w:ind w:left="720"/>
      <w:contextualSpacing/>
    </w:pPr>
    <w:rPr>
      <w:rFonts w:ascii="맑은 고딕" w:hAnsi="맑은 고딕" w:eastAsia="맑은 고딕"/>
      <w:color w:val="000000"/>
      <w:sz w:val="21"/>
    </w:rPr>
  </w:style>
  <w:style w:type="paragraph" w:styleId="BodyText">
    <w:name w:val="Body Text"/>
    <w:basedOn w:val="Normal"/>
    <w:link w:val="BodyText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line="271" w:lineRule="auto"/>
    </w:pPr>
    <w:rPr>
      <w:rFonts w:ascii="맑은 고딕" w:hAnsi="맑은 고딕" w:eastAsia="맑은 고딕"/>
      <w:color w:val="000000"/>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line="271" w:lineRule="auto"/>
      <w:ind w:left="360" w:hanging="360"/>
      <w:contextualSpacing/>
    </w:pPr>
    <w:rPr>
      <w:rFonts w:ascii="맑은 고딕" w:hAnsi="맑은 고딕" w:eastAsia="맑은 고딕"/>
      <w:color w:val="000000"/>
      <w:sz w:val="21"/>
    </w:rPr>
  </w:style>
  <w:style w:type="paragraph" w:styleId="List2">
    <w:name w:val="List 2"/>
    <w:basedOn w:val="Normal"/>
    <w:uiPriority w:val="99"/>
    <w:unhideWhenUsed/>
    <w:rsid w:val="00326F90"/>
    <w:pPr>
      <w:spacing w:after="100" w:line="271" w:lineRule="auto"/>
      <w:ind w:left="720" w:hanging="360"/>
      <w:contextualSpacing/>
    </w:pPr>
    <w:rPr>
      <w:rFonts w:ascii="맑은 고딕" w:hAnsi="맑은 고딕" w:eastAsia="맑은 고딕"/>
      <w:color w:val="000000"/>
      <w:sz w:val="21"/>
    </w:rPr>
  </w:style>
  <w:style w:type="paragraph" w:styleId="List3">
    <w:name w:val="List 3"/>
    <w:basedOn w:val="Normal"/>
    <w:uiPriority w:val="99"/>
    <w:unhideWhenUsed/>
    <w:rsid w:val="00326F90"/>
    <w:pPr>
      <w:spacing w:after="100" w:line="271" w:lineRule="auto"/>
      <w:ind w:left="1080" w:hanging="360"/>
      <w:contextualSpacing/>
    </w:pPr>
    <w:rPr>
      <w:rFonts w:ascii="맑은 고딕" w:hAnsi="맑은 고딕" w:eastAsia="맑은 고딕"/>
      <w:color w:val="000000"/>
      <w:sz w:val="21"/>
    </w:rPr>
  </w:style>
  <w:style w:type="paragraph" w:styleId="ListBullet">
    <w:name w:val="List Bullet"/>
    <w:basedOn w:val="Normal"/>
    <w:uiPriority w:val="99"/>
    <w:unhideWhenUsed/>
    <w:rsid w:val="00326F90"/>
    <w:pPr>
      <w:numPr>
        <w:numId w:val="1"/>
      </w:numPr>
      <w:spacing w:after="100" w:line="271" w:lineRule="auto"/>
      <w:contextualSpacing/>
    </w:pPr>
    <w:rPr>
      <w:rFonts w:ascii="맑은 고딕" w:hAnsi="맑은 고딕" w:eastAsia="맑은 고딕"/>
      <w:color w:val="000000"/>
      <w:sz w:val="21"/>
    </w:rPr>
  </w:style>
  <w:style w:type="paragraph" w:styleId="ListBullet2">
    <w:name w:val="List Bullet 2"/>
    <w:basedOn w:val="Normal"/>
    <w:uiPriority w:val="99"/>
    <w:unhideWhenUsed/>
    <w:rsid w:val="00326F90"/>
    <w:pPr>
      <w:numPr>
        <w:numId w:val="2"/>
      </w:numPr>
      <w:spacing w:after="100" w:line="271" w:lineRule="auto"/>
      <w:contextualSpacing/>
    </w:pPr>
    <w:rPr>
      <w:rFonts w:ascii="맑은 고딕" w:hAnsi="맑은 고딕" w:eastAsia="맑은 고딕"/>
      <w:color w:val="000000"/>
      <w:sz w:val="21"/>
    </w:rPr>
  </w:style>
  <w:style w:type="paragraph" w:styleId="ListBullet3">
    <w:name w:val="List Bullet 3"/>
    <w:basedOn w:val="Normal"/>
    <w:uiPriority w:val="99"/>
    <w:unhideWhenUsed/>
    <w:rsid w:val="00326F90"/>
    <w:pPr>
      <w:numPr>
        <w:numId w:val="3"/>
      </w:numPr>
      <w:spacing w:after="100" w:line="271" w:lineRule="auto"/>
      <w:contextualSpacing/>
    </w:pPr>
    <w:rPr>
      <w:rFonts w:ascii="맑은 고딕" w:hAnsi="맑은 고딕" w:eastAsia="맑은 고딕"/>
      <w:color w:val="000000"/>
      <w:sz w:val="21"/>
    </w:rPr>
  </w:style>
  <w:style w:type="paragraph" w:styleId="ListNumber">
    <w:name w:val="List Number"/>
    <w:basedOn w:val="Normal"/>
    <w:uiPriority w:val="99"/>
    <w:unhideWhenUsed/>
    <w:rsid w:val="00326F90"/>
    <w:pPr>
      <w:numPr>
        <w:numId w:val="5"/>
      </w:numPr>
      <w:spacing w:after="100" w:line="271" w:lineRule="auto"/>
      <w:contextualSpacing/>
    </w:pPr>
    <w:rPr>
      <w:rFonts w:ascii="맑은 고딕" w:hAnsi="맑은 고딕" w:eastAsia="맑은 고딕"/>
      <w:color w:val="000000"/>
      <w:sz w:val="21"/>
    </w:rPr>
  </w:style>
  <w:style w:type="paragraph" w:styleId="ListNumber2">
    <w:name w:val="List Number 2"/>
    <w:basedOn w:val="Normal"/>
    <w:uiPriority w:val="99"/>
    <w:unhideWhenUsed/>
    <w:rsid w:val="0029639D"/>
    <w:pPr>
      <w:numPr>
        <w:numId w:val="6"/>
      </w:numPr>
      <w:spacing w:after="100" w:line="271" w:lineRule="auto"/>
      <w:contextualSpacing/>
    </w:pPr>
    <w:rPr>
      <w:rFonts w:ascii="맑은 고딕" w:hAnsi="맑은 고딕" w:eastAsia="맑은 고딕"/>
      <w:color w:val="000000"/>
      <w:sz w:val="21"/>
    </w:rPr>
  </w:style>
  <w:style w:type="paragraph" w:styleId="ListNumber3">
    <w:name w:val="List Number 3"/>
    <w:basedOn w:val="Normal"/>
    <w:uiPriority w:val="99"/>
    <w:unhideWhenUsed/>
    <w:rsid w:val="0029639D"/>
    <w:pPr>
      <w:numPr>
        <w:numId w:val="7"/>
      </w:numPr>
      <w:spacing w:after="100" w:line="271" w:lineRule="auto"/>
      <w:contextualSpacing/>
    </w:pPr>
    <w:rPr>
      <w:rFonts w:ascii="맑은 고딕" w:hAnsi="맑은 고딕" w:eastAsia="맑은 고딕"/>
      <w:color w:val="000000"/>
      <w:sz w:val="21"/>
    </w:rPr>
  </w:style>
  <w:style w:type="paragraph" w:styleId="ListContinue">
    <w:name w:val="List Continue"/>
    <w:basedOn w:val="Normal"/>
    <w:uiPriority w:val="99"/>
    <w:unhideWhenUsed/>
    <w:rsid w:val="0029639D"/>
    <w:pPr>
      <w:spacing w:after="100" w:line="271" w:lineRule="auto"/>
      <w:ind w:left="360"/>
      <w:contextualSpacing/>
    </w:pPr>
    <w:rPr>
      <w:rFonts w:ascii="맑은 고딕" w:hAnsi="맑은 고딕" w:eastAsia="맑은 고딕"/>
      <w:color w:val="000000"/>
      <w:sz w:val="21"/>
    </w:rPr>
  </w:style>
  <w:style w:type="paragraph" w:styleId="ListContinue2">
    <w:name w:val="List Continue 2"/>
    <w:basedOn w:val="Normal"/>
    <w:uiPriority w:val="99"/>
    <w:unhideWhenUsed/>
    <w:rsid w:val="0029639D"/>
    <w:pPr>
      <w:spacing w:after="100" w:line="271" w:lineRule="auto"/>
      <w:ind w:left="720"/>
      <w:contextualSpacing/>
    </w:pPr>
    <w:rPr>
      <w:rFonts w:ascii="맑은 고딕" w:hAnsi="맑은 고딕" w:eastAsia="맑은 고딕"/>
      <w:color w:val="000000"/>
      <w:sz w:val="21"/>
    </w:rPr>
  </w:style>
  <w:style w:type="paragraph" w:styleId="ListContinue3">
    <w:name w:val="List Continue 3"/>
    <w:basedOn w:val="Normal"/>
    <w:uiPriority w:val="99"/>
    <w:unhideWhenUsed/>
    <w:rsid w:val="0029639D"/>
    <w:pPr>
      <w:spacing w:after="100" w:line="271" w:lineRule="auto"/>
      <w:ind w:left="1080"/>
      <w:contextualSpacing/>
    </w:pPr>
    <w:rPr>
      <w:rFonts w:ascii="맑은 고딕" w:hAnsi="맑은 고딕" w:eastAsia="맑은 고딕"/>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71" w:lineRule="auto"/>
    </w:pPr>
    <w:rPr>
      <w:rFonts w:ascii="맑은 고딕" w:hAnsi="맑은 고딕" w:eastAsia="맑은 고딕"/>
      <w:color w:val="000000"/>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line="271" w:lineRule="auto"/>
    </w:pPr>
    <w:rPr>
      <w:rFonts w:ascii="맑은 고딕" w:hAnsi="맑은 고딕" w:eastAsia="맑은 고딕"/>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00"/>
    </w:pPr>
    <w:rPr>
      <w:rFonts w:ascii="맑은 고딕" w:hAnsi="맑은 고딕" w:eastAsia="맑은 고딕"/>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line="271" w:lineRule="auto"/>
      <w:ind w:left="936" w:right="936"/>
    </w:pPr>
    <w:rPr>
      <w:rFonts w:ascii="맑은 고딕" w:hAnsi="맑은 고딕" w:eastAsia="맑은 고딕"/>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line="271" w:lineRule="auto"/>
      <w:outlineLvl w:val="9"/>
    </w:pPr>
    <w:rPr>
      <w:rFonts w:ascii="맑은 고딕" w:hAnsi="맑은 고딕" w:eastAsia="맑은 고딕"/>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5 서면 질의 회신서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