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서식 6 권한 인벤토리 매트릭스</w:t>
      </w:r>
    </w:p>
    <w:p>
      <w:pPr>
        <w:snapToGrid w:val="0"/>
      </w:pPr>
      <w:r>
        <w:rPr>
          <w:b w:val="0"/>
        </w:rPr>
        <w:t>SOH 구강 건강관리 서비스 | 작성 기준일 2026년 9월 18일</w:t>
      </w:r>
    </w:p>
    <w:p>
      <w:pPr>
        <w:snapToGrid w:val="0"/>
      </w:pPr>
      <w:r>
        <w:rPr>
          <w:b w:val="0"/>
        </w:rPr>
        <w:t>블록체인 기능에 영향을 주는 권한만 정리했습니다. 보유 주체는 직무로 표시하며 실제 인원·승인 체계는 담당자 확인 필요입니다. API 접근권한과 체인에서의 특권을 구분합니다.</w:t>
      </w:r>
    </w:p>
    <w:p>
      <w:pPr>
        <w:pStyle w:val="Heading1"/>
        <w:snapToGrid w:val="0"/>
      </w:pPr>
      <w:r>
        <w:t>1 온체인 특권 권한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028"/>
        <w:gridCol w:w="2087"/>
        <w:gridCol w:w="4175"/>
        <w:gridCol w:w="2684"/>
        <w:gridCol w:w="1193"/>
        <w:gridCol w:w="2177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번호</w:t>
            </w:r>
          </w:p>
        </w:tc>
        <w:tc>
          <w:tcPr>
            <w:tcW w:type="dxa" w:w="20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권한 또는 역할명</w:t>
            </w:r>
          </w:p>
        </w:tc>
        <w:tc>
          <w:tcPr>
            <w:tcW w:type="dxa" w:w="2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적용 대상</w:t>
            </w:r>
          </w:p>
        </w:tc>
        <w:tc>
          <w:tcPr>
            <w:tcW w:type="dxa" w:w="4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수행 가능 행위</w:t>
            </w:r>
          </w:p>
        </w:tc>
        <w:tc>
          <w:tcPr>
            <w:tcW w:type="dxa" w:w="26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보유 주체</w:t>
            </w:r>
          </w:p>
        </w:tc>
        <w:tc>
          <w:tcPr>
            <w:tcW w:type="dxa" w:w="11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인원</w:t>
            </w:r>
          </w:p>
        </w:tc>
        <w:tc>
          <w:tcPr>
            <w:tcW w:type="dxa" w:w="21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승인 절차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운영 owner 키</w:t>
            </w:r>
          </w:p>
        </w:tc>
        <w:tc>
          <w:tcPr>
            <w:tcW w:type="dxa" w:w="2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리워드 토큰</w:t>
            </w:r>
          </w:p>
        </w:tc>
        <w:tc>
          <w:tcPr>
            <w:tcW w:type="dxa" w:w="4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/token/retrieve의 sender/receiver로 회수. 전체 mint/burn/upgrade 권한은 운영기관 확인 필요.</w:t>
            </w:r>
          </w:p>
        </w:tc>
        <w:tc>
          <w:tcPr>
            <w:tcW w:type="dxa" w:w="26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SOH 토큰 운영 직무 / 외부 토큰 서버 직무 확인 필요</w:t>
            </w:r>
          </w:p>
        </w:tc>
        <w:tc>
          <w:tcPr>
            <w:tcW w:type="dxa" w:w="11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  <w:tc>
          <w:tcPr>
            <w:tcW w:type="dxa" w:w="21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앱 역할·업무조건. 별도 인적 다중승인 확인되지 않음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사용자 리워드 지갑키</w:t>
            </w:r>
          </w:p>
        </w:tc>
        <w:tc>
          <w:tcPr>
            <w:tcW w:type="dxa" w:w="2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사용자별 계약 승인</w:t>
            </w:r>
          </w:p>
        </w:tc>
        <w:tc>
          <w:tcPr>
            <w:tcW w:type="dxa" w:w="4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owner 대상 approve. 고정 한도 Long.MAX_VALUE. 단일키 호출.</w:t>
            </w:r>
          </w:p>
        </w:tc>
        <w:tc>
          <w:tcPr>
            <w:tcW w:type="dxa" w:w="26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SOH 백엔드 서비스 및 키 접근 운영 직무</w:t>
            </w:r>
          </w:p>
        </w:tc>
        <w:tc>
          <w:tcPr>
            <w:tcW w:type="dxa" w:w="11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  <w:tc>
          <w:tcPr>
            <w:tcW w:type="dxa" w:w="21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정상 리워드/회수 과정 자동 호출. 별도 사용자 서명창 확인되지 않음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체인 관리자·검증자·업그레이더</w:t>
            </w:r>
          </w:p>
        </w:tc>
        <w:tc>
          <w:tcPr>
            <w:tcW w:type="dxa" w:w="2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외부 대구체인</w:t>
            </w:r>
          </w:p>
        </w:tc>
        <w:tc>
          <w:tcPr>
            <w:tcW w:type="dxa" w:w="4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참여자 관리, 체인 운영 및 계약 특권 범위 미확정</w:t>
            </w:r>
          </w:p>
        </w:tc>
        <w:tc>
          <w:tcPr>
            <w:tcW w:type="dxa" w:w="26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대구체인 운영기관</w:t>
            </w:r>
          </w:p>
        </w:tc>
        <w:tc>
          <w:tcPr>
            <w:tcW w:type="dxa" w:w="11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  <w:tc>
          <w:tcPr>
            <w:tcW w:type="dxa" w:w="21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운영기관 확인 필요</w:t>
            </w:r>
          </w:p>
        </w:tc>
      </w:tr>
    </w:tbl>
    <w:p>
      <w:pPr>
        <w:spacing w:after="40"/>
        <w:snapToGrid w:val="0"/>
      </w:pPr>
    </w:p>
    <w:p>
      <w:pPr>
        <w:pStyle w:val="Heading1"/>
        <w:snapToGrid w:val="0"/>
      </w:pPr>
      <w:r>
        <w:t>2 관리자 콘솔 및 서명 서버 권한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386"/>
        <w:gridCol w:w="2386"/>
        <w:gridCol w:w="4175"/>
        <w:gridCol w:w="2266"/>
        <w:gridCol w:w="1193"/>
        <w:gridCol w:w="1938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번호</w:t>
            </w:r>
          </w:p>
        </w:tc>
        <w:tc>
          <w:tcPr>
            <w:tcW w:type="dxa" w:w="2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권한 또는 역할명</w:t>
            </w:r>
          </w:p>
        </w:tc>
        <w:tc>
          <w:tcPr>
            <w:tcW w:type="dxa" w:w="2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적용 대상</w:t>
            </w:r>
          </w:p>
        </w:tc>
        <w:tc>
          <w:tcPr>
            <w:tcW w:type="dxa" w:w="4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수행 가능 행위</w:t>
            </w:r>
          </w:p>
        </w:tc>
        <w:tc>
          <w:tcPr>
            <w:tcW w:type="dxa" w:w="22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보유 주체</w:t>
            </w:r>
          </w:p>
        </w:tc>
        <w:tc>
          <w:tcPr>
            <w:tcW w:type="dxa" w:w="11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인원</w:t>
            </w:r>
          </w:p>
        </w:tc>
        <w:tc>
          <w:tcPr>
            <w:tcW w:type="dxa" w:w="19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승인 절차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ROLE_SUPER_ADMIN</w:t>
            </w:r>
          </w:p>
        </w:tc>
        <w:tc>
          <w:tcPr>
            <w:tcW w:type="dxa" w:w="2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/daegu-chain/**</w:t>
            </w:r>
          </w:p>
        </w:tc>
        <w:tc>
          <w:tcPr>
            <w:tcW w:type="dxa" w:w="4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Token20 전송·승인·mint/burn, 계정/Point/NFT 전송 등 범용 프록시</w:t>
            </w:r>
          </w:p>
        </w:tc>
        <w:tc>
          <w:tcPr>
            <w:tcW w:type="dxa" w:w="22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슈퍼 관리자 직무</w:t>
            </w:r>
          </w:p>
        </w:tc>
        <w:tc>
          <w:tcPr>
            <w:tcW w:type="dxa" w:w="11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  <w:tc>
          <w:tcPr>
            <w:tcW w:type="dxa" w:w="19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JWT 역할. 추가 승인/MFA 운영 여부 확인 필요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ROLE_ADMIN 및 ROLE_SUPER_ADMIN</w:t>
            </w:r>
          </w:p>
        </w:tc>
        <w:tc>
          <w:tcPr>
            <w:tcW w:type="dxa" w:w="2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/admin/daegu-chain/token/**</w:t>
            </w:r>
          </w:p>
        </w:tc>
        <w:tc>
          <w:tcPr>
            <w:tcW w:type="dxa" w:w="4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options/list/이력 및 create. create는 토큰명·양수 supply 검사</w:t>
            </w:r>
          </w:p>
        </w:tc>
        <w:tc>
          <w:tcPr>
            <w:tcW w:type="dxa" w:w="22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일반 및 슈퍼 관리자 직무</w:t>
            </w:r>
          </w:p>
        </w:tc>
        <w:tc>
          <w:tcPr>
            <w:tcW w:type="dxa" w:w="11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  <w:tc>
          <w:tcPr>
            <w:tcW w:type="dxa" w:w="19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API 역할. UI 메뉴와 API 권한은 다름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슈퍼 관리자 추가 검사</w:t>
            </w:r>
          </w:p>
        </w:tc>
        <w:tc>
          <w:tcPr>
            <w:tcW w:type="dxa" w:w="2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/admin/user/test-data/reset</w:t>
            </w:r>
          </w:p>
        </w:tc>
        <w:tc>
          <w:tcPr>
            <w:tcW w:type="dxa" w:w="4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토큰 회수 후 진도·원장·지갑 초기화</w:t>
            </w:r>
          </w:p>
        </w:tc>
        <w:tc>
          <w:tcPr>
            <w:tcW w:type="dxa" w:w="22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슈퍼 관리자 직무</w:t>
            </w:r>
          </w:p>
        </w:tc>
        <w:tc>
          <w:tcPr>
            <w:tcW w:type="dxa" w:w="11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  <w:tc>
          <w:tcPr>
            <w:tcW w:type="dxa" w:w="19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대상 로그인 ID 재입력. 회수 실패 시 차단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관리자 사용자 관리</w:t>
            </w:r>
          </w:p>
        </w:tc>
        <w:tc>
          <w:tcPr>
            <w:tcW w:type="dxa" w:w="2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DELETE /admin/user</w:t>
            </w:r>
          </w:p>
        </w:tc>
        <w:tc>
          <w:tcPr>
            <w:tcW w:type="dxa" w:w="4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사용자 삭제 전에 토큰 회수. 회수 실패 시 삭제 차단</w:t>
            </w:r>
          </w:p>
        </w:tc>
        <w:tc>
          <w:tcPr>
            <w:tcW w:type="dxa" w:w="22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사용자 관리 직무</w:t>
            </w:r>
          </w:p>
        </w:tc>
        <w:tc>
          <w:tcPr>
            <w:tcW w:type="dxa" w:w="11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  <w:tc>
          <w:tcPr>
            <w:tcW w:type="dxa" w:w="19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관리자 역할 및 서비스의 대상 범위 검사. 실제 업무 승인 별도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EC2 앱 실행 및 환경 접근</w:t>
            </w:r>
          </w:p>
        </w:tc>
        <w:tc>
          <w:tcPr>
            <w:tcW w:type="dxa" w:w="2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SOH 서명 요청 프로세스</w:t>
            </w:r>
          </w:p>
        </w:tc>
        <w:tc>
          <w:tcPr>
            <w:tcW w:type="dxa" w:w="4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사용자 키 복호화, owner 키/앱키를 외부 API 요청에 사용</w:t>
            </w:r>
          </w:p>
        </w:tc>
        <w:tc>
          <w:tcPr>
            <w:tcW w:type="dxa" w:w="22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앱 서비스 직무 / 서버 운영 직무</w:t>
            </w:r>
          </w:p>
        </w:tc>
        <w:tc>
          <w:tcPr>
            <w:tcW w:type="dxa" w:w="11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  <w:tc>
          <w:tcPr>
            <w:tcW w:type="dxa" w:w="19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IAM/OS 실효 권한·직접 접속 계정 확인 필요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GitHub 배포 및 Secret 관리</w:t>
            </w:r>
          </w:p>
        </w:tc>
        <w:tc>
          <w:tcPr>
            <w:tcW w:type="dxa" w:w="2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prod workflow·배포 env</w:t>
            </w:r>
          </w:p>
        </w:tc>
        <w:tc>
          <w:tcPr>
            <w:tcW w:type="dxa" w:w="4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코드/키/연결 설정 변경으로 체인 요청 행위에 영향</w:t>
            </w:r>
          </w:p>
        </w:tc>
        <w:tc>
          <w:tcPr>
            <w:tcW w:type="dxa" w:w="22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릴리스 및 Secret 관리 직무</w:t>
            </w:r>
          </w:p>
        </w:tc>
        <w:tc>
          <w:tcPr>
            <w:tcW w:type="dxa" w:w="11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  <w:tc>
          <w:tcPr>
            <w:tcW w:type="dxa" w:w="19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브랜치 보호·환경 승인·권한 회수 확인 필요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외부 서명 API 운영</w:t>
            </w:r>
          </w:p>
        </w:tc>
        <w:tc>
          <w:tcPr>
            <w:tcW w:type="dxa" w:w="2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토큰/DID/체인 API 서버</w:t>
            </w:r>
          </w:p>
        </w:tc>
        <w:tc>
          <w:tcPr>
            <w:tcW w:type="dxa" w:w="4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서명 실행·키 생성 및 서버 설정 범위 미확정</w:t>
            </w:r>
          </w:p>
        </w:tc>
        <w:tc>
          <w:tcPr>
            <w:tcW w:type="dxa" w:w="22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외부 공급자 운영 직무</w:t>
            </w:r>
          </w:p>
        </w:tc>
        <w:tc>
          <w:tcPr>
            <w:tcW w:type="dxa" w:w="11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  <w:tc>
          <w:tcPr>
            <w:tcW w:type="dxa" w:w="19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외부 계정 수·권한·승인 절차 확인 필요</w:t>
            </w:r>
          </w:p>
        </w:tc>
      </w:tr>
    </w:tbl>
    <w:p>
      <w:pPr>
        <w:spacing w:after="40"/>
        <w:snapToGrid w:val="0"/>
      </w:pPr>
    </w:p>
    <w:p>
      <w:pPr>
        <w:pStyle w:val="Heading1"/>
        <w:snapToGrid w:val="0"/>
      </w:pPr>
      <w:r>
        <w:t>3 다중서명 및 타임락 설정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8"/>
        <w:gridCol w:w="11332"/>
      </w:tblGrid>
      <w:tr>
        <w:trPr>
          <w:cantSplit/>
          <w:tblHeader/>
        </w:trPr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113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기재란</w:t>
            </w:r>
          </w:p>
        </w:tc>
      </w:tr>
      <w:tr>
        <w:trPr>
          <w:cantSplit/>
        </w:trPr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다중서명 임계값</w:t>
            </w:r>
          </w:p>
        </w:tc>
        <w:tc>
          <w:tcPr>
            <w:tcW w:type="dxa" w:w="113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SOH 주요 코드 경로는 단일키. 외부 체인의 다중서명 여부는 운영기관 확인 필요.</w:t>
            </w:r>
          </w:p>
        </w:tc>
      </w:tr>
      <w:tr>
        <w:trPr>
          <w:cantSplit/>
        </w:trPr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임계값 설정 근거</w:t>
            </w:r>
          </w:p>
        </w:tc>
        <w:tc>
          <w:tcPr>
            <w:tcW w:type="dxa" w:w="113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SOH 다중서명 설정 근거 미확인. 해당 여부 확정 후 기재.</w:t>
            </w:r>
          </w:p>
        </w:tc>
      </w:tr>
      <w:tr>
        <w:trPr>
          <w:cantSplit/>
        </w:trPr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서명자 키 보관 유형별 분포</w:t>
            </w:r>
          </w:p>
        </w:tc>
        <w:tc>
          <w:tcPr>
            <w:tcW w:type="dxa" w:w="113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사용자 키 DB 암호문 + 백엔드 복호화키, owner 키 서버 환경 공급. 실제 인적 보관 분포·HSM/MPC 적용 확인 필요.</w:t>
            </w:r>
          </w:p>
        </w:tc>
      </w:tr>
      <w:tr>
        <w:trPr>
          <w:cantSplit/>
        </w:trPr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타임락 설정 시간</w:t>
            </w:r>
          </w:p>
        </w:tc>
        <w:tc>
          <w:tcPr>
            <w:tcW w:type="dxa" w:w="113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SOH 코드에서 확인되지 않음. 외부 계약은 운영기관 확인 필요.</w:t>
            </w:r>
          </w:p>
        </w:tc>
      </w:tr>
      <w:tr>
        <w:trPr>
          <w:cantSplit/>
        </w:trPr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타임락 구간 검증 절차</w:t>
            </w:r>
          </w:p>
        </w:tc>
        <w:tc>
          <w:tcPr>
            <w:tcW w:type="dxa" w:w="113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외부 적용 여부 및 절차 확인 필요.</w:t>
            </w:r>
          </w:p>
        </w:tc>
      </w:tr>
      <w:tr>
        <w:trPr>
          <w:cantSplit/>
        </w:trPr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서명자 변경 승인 절차</w:t>
            </w:r>
          </w:p>
        </w:tc>
        <w:tc>
          <w:tcPr>
            <w:tcW w:type="dxa" w:w="113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직무변경·키 교체·이전 키 폐기의 회사/운영기관 승인 증적 확인 필요.</w:t>
            </w:r>
          </w:p>
        </w:tc>
      </w:tr>
    </w:tbl>
    <w:p>
      <w:pPr>
        <w:spacing w:after="40"/>
        <w:snapToGrid w:val="0"/>
      </w:pPr>
    </w:p>
    <w:sectPr w:rsidR="00FC693F" w:rsidRPr="0006063C" w:rsidSect="00034616">
      <w:footerReference w:type="default" r:id="rId9"/>
      <w:pgSz w:w="16838" w:h="11906" w:orient="landscape"/>
      <w:pgMar w:top="964" w:right="964" w:bottom="964" w:left="9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SOH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71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1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1" w:lineRule="auto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4"/>
    </w:pPr>
    <w:rPr>
      <w:rFonts w:asciiTheme="majorHAnsi" w:eastAsiaTheme="majorEastAsia" w:hAnsiTheme="majorHAnsi" w:cstheme="majorBidi" w:ascii="맑은 고딕" w:hAnsi="맑은 고딕" w:eastAsia="맑은 고딕"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5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6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7"/>
    </w:pPr>
    <w:rPr>
      <w:rFonts w:asciiTheme="majorHAnsi" w:eastAsiaTheme="majorEastAsia" w:hAnsiTheme="majorHAnsi" w:cstheme="majorBidi" w:ascii="맑은 고딕" w:hAnsi="맑은 고딕" w:eastAsia="맑은 고딕"/>
      <w:color w:val="000000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8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1" w:lineRule="auto" w:before="20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71" w:lineRule="auto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00" w:line="271" w:lineRule="auto"/>
      <w:ind w:left="720"/>
      <w:contextualSpacing/>
    </w:pPr>
    <w:rPr>
      <w:rFonts w:ascii="맑은 고딕" w:hAnsi="맑은 고딕" w:eastAsia="맑은 고딕"/>
      <w:color w:val="000000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71" w:lineRule="auto"/>
    </w:pPr>
    <w:rPr>
      <w:rFonts w:ascii="맑은 고딕" w:hAnsi="맑은 고딕" w:eastAsia="맑은 고딕"/>
      <w:color w:val="000000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00" w:line="271" w:lineRule="auto"/>
      <w:ind w:left="360" w:hanging="360"/>
      <w:contextualSpacing/>
    </w:pPr>
    <w:rPr>
      <w:rFonts w:ascii="맑은 고딕" w:hAnsi="맑은 고딕" w:eastAsia="맑은 고딕"/>
      <w:color w:val="000000"/>
      <w:sz w:val="21"/>
    </w:rPr>
  </w:style>
  <w:style w:type="paragraph" w:styleId="List2">
    <w:name w:val="List 2"/>
    <w:basedOn w:val="Normal"/>
    <w:uiPriority w:val="99"/>
    <w:unhideWhenUsed/>
    <w:rsid w:val="00326F90"/>
    <w:pPr>
      <w:spacing w:after="100" w:line="271" w:lineRule="auto"/>
      <w:ind w:left="720" w:hanging="360"/>
      <w:contextualSpacing/>
    </w:pPr>
    <w:rPr>
      <w:rFonts w:ascii="맑은 고딕" w:hAnsi="맑은 고딕" w:eastAsia="맑은 고딕"/>
      <w:color w:val="000000"/>
      <w:sz w:val="21"/>
    </w:rPr>
  </w:style>
  <w:style w:type="paragraph" w:styleId="List3">
    <w:name w:val="List 3"/>
    <w:basedOn w:val="Normal"/>
    <w:uiPriority w:val="99"/>
    <w:unhideWhenUsed/>
    <w:rsid w:val="00326F90"/>
    <w:pPr>
      <w:spacing w:after="100" w:line="271" w:lineRule="auto"/>
      <w:ind w:left="1080" w:hanging="360"/>
      <w:contextualSpacing/>
    </w:pPr>
    <w:rPr>
      <w:rFonts w:ascii="맑은 고딕" w:hAnsi="맑은 고딕" w:eastAsia="맑은 고딕"/>
      <w:color w:val="000000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71" w:lineRule="auto"/>
      <w:ind w:left="360"/>
      <w:contextualSpacing/>
    </w:pPr>
    <w:rPr>
      <w:rFonts w:ascii="맑은 고딕" w:hAnsi="맑은 고딕" w:eastAsia="맑은 고딕"/>
      <w:color w:val="000000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71" w:lineRule="auto"/>
      <w:ind w:left="720"/>
      <w:contextualSpacing/>
    </w:pPr>
    <w:rPr>
      <w:rFonts w:ascii="맑은 고딕" w:hAnsi="맑은 고딕" w:eastAsia="맑은 고딕"/>
      <w:color w:val="000000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71" w:lineRule="auto"/>
      <w:ind w:left="1080"/>
      <w:contextualSpacing/>
    </w:pPr>
    <w:rPr>
      <w:rFonts w:ascii="맑은 고딕" w:hAnsi="맑은 고딕" w:eastAsia="맑은 고딕"/>
      <w:color w:val="000000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00" w:line="271" w:lineRule="auto"/>
    </w:pPr>
    <w:rPr>
      <w:rFonts w:ascii="맑은 고딕" w:hAnsi="맑은 고딕" w:eastAsia="맑은 고딕"/>
      <w:color w:val="000000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00" w:line="271" w:lineRule="auto"/>
    </w:pPr>
    <w:rPr>
      <w:rFonts w:ascii="맑은 고딕" w:hAnsi="맑은 고딕" w:eastAsia="맑은 고딕"/>
      <w:i/>
      <w:iCs/>
      <w:color w:val="000000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1" w:lineRule="auto" w:after="100"/>
    </w:pPr>
    <w:rPr>
      <w:rFonts w:ascii="맑은 고딕" w:hAnsi="맑은 고딕" w:eastAsia="맑은 고딕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71" w:lineRule="auto"/>
      <w:ind w:left="936" w:right="936"/>
    </w:pPr>
    <w:rPr>
      <w:rFonts w:ascii="맑은 고딕" w:hAnsi="맑은 고딕" w:eastAsia="맑은 고딕"/>
      <w:b/>
      <w:bCs/>
      <w:i/>
      <w:iCs/>
      <w:color w:val="000000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00" w:line="271" w:lineRule="auto"/>
      <w:outlineLvl w:val="9"/>
    </w:pPr>
    <w:rPr>
      <w:rFonts w:ascii="맑은 고딕" w:hAnsi="맑은 고딕" w:eastAsia="맑은 고딕"/>
      <w:color w:val="000000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서식 6 권한 인벤토리 매트릭스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