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서식 7 지갑 및 주소 인벤토리</w:t>
      </w:r>
    </w:p>
    <w:p>
      <w:pPr>
        <w:snapToGrid w:val="0"/>
      </w:pPr>
      <w:r>
        <w:rPr>
          <w:b w:val="0"/>
        </w:rPr>
        <w:t>SOH 구강 건강관리 서비스 | 작성 기준일 2026년 9월 18일</w:t>
      </w:r>
    </w:p>
    <w:p>
      <w:pPr>
        <w:snapToGrid w:val="0"/>
      </w:pPr>
      <w:r>
        <w:rPr>
          <w:b w:val="0"/>
        </w:rPr>
        <w:t>서비스가 관리하는 주소를 용도별로 구분합니다. 잔액과 보관 비율은 기재하지 않았으며 실제 공개주소는 담당자가 확인하여 기입해야 합니다. 개인키·시드·복호화키를 주소 칸에 입력하지 않습니다.</w:t>
      </w:r>
    </w:p>
    <w:p>
      <w:pPr>
        <w:pStyle w:val="Heading1"/>
        <w:snapToGrid w:val="0"/>
      </w:pPr>
      <w:r>
        <w:t>1 지갑 및 주소 목록</w:t>
      </w:r>
    </w:p>
    <w:tbl>
      <w:tblPr>
        <w:tblW w:type="auto" w:w="0"/>
        <w:jc w:val="center"/>
        <w:tblLayout w:type="fixed"/>
        <w:tblLook w:firstColumn="1" w:firstRow="1" w:lastColumn="0" w:lastRow="0" w:noHBand="0" w:noVBand="1" w:val="04A0"/>
      </w:tblPr>
      <w:tblGrid>
        <w:gridCol w:w="567"/>
        <w:gridCol w:w="1789"/>
        <w:gridCol w:w="1252"/>
        <w:gridCol w:w="2743"/>
        <w:gridCol w:w="2684"/>
        <w:gridCol w:w="1849"/>
        <w:gridCol w:w="1968"/>
        <w:gridCol w:w="2057"/>
      </w:tblGrid>
      <w:tr>
        <w:trPr>
          <w:cantSplit/>
          <w:tblHeader/>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jc w:val="center"/>
            </w:pPr>
            <w:r>
              <w:rPr>
                <w:b/>
                <w:sz w:val="19"/>
              </w:rPr>
              <w:t>번호</w:t>
            </w:r>
          </w:p>
        </w:tc>
        <w:tc>
          <w:tcPr>
            <w:tcW w:type="dxa" w:w="17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식별명</w:t>
            </w:r>
          </w:p>
        </w:tc>
        <w:tc>
          <w:tcPr>
            <w:tcW w:type="dxa" w:w="12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체인</w:t>
            </w:r>
          </w:p>
        </w:tc>
        <w:tc>
          <w:tcPr>
            <w:tcW w:type="dxa" w:w="274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주소</w:t>
            </w:r>
          </w:p>
        </w:tc>
        <w:tc>
          <w:tcPr>
            <w:tcW w:type="dxa" w:w="26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용도</w:t>
            </w:r>
          </w:p>
        </w:tc>
        <w:tc>
          <w:tcPr>
            <w:tcW w:type="dxa" w:w="184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보관 유형</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서명 방식</w:t>
            </w:r>
          </w:p>
        </w:tc>
        <w:tc>
          <w:tcPr>
            <w:tcW w:type="dxa" w:w="20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관리 주체</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jc w:val="center"/>
            </w:pPr>
            <w:r>
              <w:rPr>
                <w:b w:val="0"/>
                <w:sz w:val="19"/>
              </w:rPr>
              <w:t>1</w:t>
            </w:r>
          </w:p>
        </w:tc>
        <w:tc>
          <w:tcPr>
            <w:tcW w:type="dxa" w:w="17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SOH 운영 owner</w:t>
            </w:r>
          </w:p>
        </w:tc>
        <w:tc>
          <w:tcPr>
            <w:tcW w:type="dxa" w:w="12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대구체인</w:t>
            </w:r>
          </w:p>
        </w:tc>
        <w:tc>
          <w:tcPr>
            <w:tcW w:type="dxa" w:w="274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담당자 확인 필요</w:t>
              <w:br/>
              <w:t>운영 owner 공개주소</w:t>
            </w:r>
          </w:p>
        </w:tc>
        <w:tc>
          <w:tcPr>
            <w:tcW w:type="dxa" w:w="26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리워드 회수 sender/receiver 및 토큰 운영</w:t>
            </w:r>
          </w:p>
        </w:tc>
        <w:tc>
          <w:tcPr>
            <w:tcW w:type="dxa" w:w="184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핫</w:t>
              <w:br/>
              <w:t>서버 env 사용</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단일키 입력 경로</w:t>
              <w:br/>
              <w:t>외부 통제 미확정</w:t>
            </w:r>
          </w:p>
        </w:tc>
        <w:tc>
          <w:tcPr>
            <w:tcW w:type="dxa" w:w="20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SOH 토큰 운영 직무 및 외부 토큰 서버 운영 직무 확인</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jc w:val="center"/>
            </w:pPr>
            <w:r>
              <w:rPr>
                <w:b w:val="0"/>
                <w:sz w:val="19"/>
              </w:rPr>
              <w:t>2</w:t>
            </w:r>
          </w:p>
        </w:tc>
        <w:tc>
          <w:tcPr>
            <w:tcW w:type="dxa" w:w="17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Point owner</w:t>
              <w:br/>
              <w:t>조건부 항목</w:t>
            </w:r>
          </w:p>
        </w:tc>
        <w:tc>
          <w:tcPr>
            <w:tcW w:type="dxa" w:w="12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대구체인</w:t>
            </w:r>
          </w:p>
        </w:tc>
        <w:tc>
          <w:tcPr>
            <w:tcW w:type="dxa" w:w="274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활성 여부 및 별도 공개주소 확인 필요</w:t>
            </w:r>
          </w:p>
        </w:tc>
        <w:tc>
          <w:tcPr>
            <w:tcW w:type="dxa" w:w="26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point mint 대체 경로가 실제 활성인 경우만 대상</w:t>
            </w:r>
          </w:p>
        </w:tc>
        <w:tc>
          <w:tcPr>
            <w:tcW w:type="dxa" w:w="184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서버 env 경로</w:t>
              <w:br/>
              <w:t>활성 미확정</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단일키 입력 경로</w:t>
            </w:r>
          </w:p>
        </w:tc>
        <w:tc>
          <w:tcPr>
            <w:tcW w:type="dxa" w:w="20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SOH 운영 담당 확인</w:t>
            </w:r>
          </w:p>
        </w:tc>
      </w:tr>
    </w:tbl>
    <w:p>
      <w:pPr>
        <w:spacing w:after="40"/>
        <w:snapToGrid w:val="0"/>
      </w:pPr>
    </w:p>
    <w:p>
      <w:pPr>
        <w:snapToGrid w:val="0"/>
      </w:pPr>
      <w:r>
        <w:rPr>
          <w:b w:val="0"/>
        </w:rPr>
        <w:t>SOH 사용자 리워드 지갑은 사용자에게 귀속되지만 서버가 키를 보관하므로 구성상 점검 대상입니다. 원본 서식의 “사용자 개인 지갑 주소는 대상 아님” 기준에 따라 개별 주소는 나열하지 않았습니다. 서비스 관리주소로 포함해야 하는 범위·표본은 점검사와 합의 후 별도로 제출합니다. 다대구 앱의 개인주소는 본 목록에 포함하지 않습니다.</w:t>
      </w:r>
    </w:p>
    <w:p>
      <w:pPr>
        <w:pStyle w:val="Heading1"/>
        <w:snapToGrid w:val="0"/>
      </w:pPr>
      <w:r>
        <w:t>2 지갑 솔루션 및 벤더</w:t>
      </w:r>
    </w:p>
    <w:tbl>
      <w:tblPr>
        <w:tblW w:type="auto" w:w="0"/>
        <w:jc w:val="center"/>
        <w:tblLayout w:type="fixed"/>
        <w:tblLook w:firstColumn="1" w:firstRow="1" w:lastColumn="0" w:lastRow="0" w:noHBand="0" w:noVBand="1" w:val="04A0"/>
      </w:tblPr>
      <w:tblGrid>
        <w:gridCol w:w="567"/>
        <w:gridCol w:w="2565"/>
        <w:gridCol w:w="1968"/>
        <w:gridCol w:w="2087"/>
        <w:gridCol w:w="4950"/>
        <w:gridCol w:w="2773"/>
      </w:tblGrid>
      <w:tr>
        <w:trPr>
          <w:cantSplit/>
          <w:tblHeader/>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jc w:val="center"/>
            </w:pPr>
            <w:r>
              <w:rPr>
                <w:b/>
                <w:sz w:val="19"/>
              </w:rPr>
              <w:t>번호</w:t>
            </w:r>
          </w:p>
        </w:tc>
        <w:tc>
          <w:tcPr>
            <w:tcW w:type="dxa" w:w="256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솔루션명</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공급사</w:t>
            </w:r>
          </w:p>
        </w:tc>
        <w:tc>
          <w:tcPr>
            <w:tcW w:type="dxa" w:w="208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적용 지갑</w:t>
            </w:r>
          </w:p>
        </w:tc>
        <w:tc>
          <w:tcPr>
            <w:tcW w:type="dxa" w:w="49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키 보관 방식</w:t>
            </w:r>
          </w:p>
        </w:tc>
        <w:tc>
          <w:tcPr>
            <w:tcW w:type="dxa" w:w="27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계약 범위</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jc w:val="center"/>
            </w:pPr>
            <w:r>
              <w:rPr>
                <w:b w:val="0"/>
                <w:sz w:val="19"/>
              </w:rPr>
              <w:t>1</w:t>
            </w:r>
          </w:p>
        </w:tc>
        <w:tc>
          <w:tcPr>
            <w:tcW w:type="dxa" w:w="256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SOH 리워드 지갑 관리</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SOH 개발·운영 주체 확인 필요</w:t>
            </w:r>
          </w:p>
        </w:tc>
        <w:tc>
          <w:tcPr>
            <w:tcW w:type="dxa" w:w="208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사용자 리워드 지갑</w:t>
            </w:r>
          </w:p>
        </w:tc>
        <w:tc>
          <w:tcPr>
            <w:tcW w:type="dxa" w:w="49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사용자 private key는 AES-256-GCM 암호문으로 DB 저장. 복호화키는 백엔드 env 공급. HSM/MPC 방식 아님.</w:t>
            </w:r>
          </w:p>
        </w:tc>
        <w:tc>
          <w:tcPr>
            <w:tcW w:type="dxa" w:w="27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내부 서비스 구현. 회사의 관리 책임 및 외부 API 계약 확인 필요.</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jc w:val="center"/>
            </w:pPr>
            <w:r>
              <w:rPr>
                <w:b w:val="0"/>
                <w:sz w:val="19"/>
              </w:rPr>
              <w:t>2</w:t>
            </w:r>
          </w:p>
        </w:tc>
        <w:tc>
          <w:tcPr>
            <w:tcW w:type="dxa" w:w="256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대구체인 계정·토큰 API</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대구체인 API 운영기관</w:t>
            </w:r>
          </w:p>
        </w:tc>
        <w:tc>
          <w:tcPr>
            <w:tcW w:type="dxa" w:w="208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계정 생성 및 approve 대상 지갑</w:t>
            </w:r>
          </w:p>
        </w:tc>
        <w:tc>
          <w:tcPr>
            <w:tcW w:type="dxa" w:w="49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외부 API가 키 쌍을 반환하며 내부 생성·보관 방식은 확인 필요.</w:t>
            </w:r>
          </w:p>
        </w:tc>
        <w:tc>
          <w:tcPr>
            <w:tcW w:type="dxa" w:w="27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API 이용/노드/키 관리 책임 경계 확인 필요.</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jc w:val="center"/>
            </w:pPr>
            <w:r>
              <w:rPr>
                <w:b w:val="0"/>
                <w:sz w:val="19"/>
              </w:rPr>
              <w:t>3</w:t>
            </w:r>
          </w:p>
        </w:tc>
        <w:tc>
          <w:tcPr>
            <w:tcW w:type="dxa" w:w="256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외부 토큰 서버</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담당자 확인 필요</w:t>
            </w:r>
          </w:p>
        </w:tc>
        <w:tc>
          <w:tcPr>
            <w:tcW w:type="dxa" w:w="208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운영 owner 및 회수 대상</w:t>
            </w:r>
          </w:p>
        </w:tc>
        <w:tc>
          <w:tcPr>
            <w:tcW w:type="dxa" w:w="49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회수 API에 owner 키 전달. 서버 내부 키 저장·HSM/KMS/MPC 여부 미확정.</w:t>
            </w:r>
          </w:p>
        </w:tc>
        <w:tc>
          <w:tcPr>
            <w:tcW w:type="dxa" w:w="27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생성·전송·회수·서명 처리 계약 범위 확인 필요.</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jc w:val="center"/>
            </w:pPr>
            <w:r>
              <w:rPr>
                <w:b w:val="0"/>
                <w:sz w:val="19"/>
              </w:rPr>
              <w:t>4</w:t>
            </w:r>
          </w:p>
        </w:tc>
        <w:tc>
          <w:tcPr>
            <w:tcW w:type="dxa" w:w="256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AWS/GitHub 배포 저장소</w:t>
            </w:r>
          </w:p>
        </w:tc>
        <w:tc>
          <w:tcPr>
            <w:tcW w:type="dxa" w:w="1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AWS/GitHub 및 SOH 운영</w:t>
            </w:r>
          </w:p>
        </w:tc>
        <w:tc>
          <w:tcPr>
            <w:tcW w:type="dxa" w:w="208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owner 키·사용자 키 암호화키 공급 경로</w:t>
            </w:r>
          </w:p>
        </w:tc>
        <w:tc>
          <w:tcPr>
            <w:tcW w:type="dxa" w:w="49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GitHub Secrets → 배포 env/S3 → EC2 환경 경로. AWS Secrets Manager JDBC는 DB 자격증명용으로 지갑 HSM 서명과 구분.</w:t>
            </w:r>
          </w:p>
        </w:tc>
        <w:tc>
          <w:tcPr>
            <w:tcW w:type="dxa" w:w="27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운영 접근권·S3/OS 암호화·백업 및 권한 검토 필요.</w:t>
            </w:r>
          </w:p>
        </w:tc>
      </w:tr>
    </w:tbl>
    <w:p>
      <w:pPr>
        <w:spacing w:after="40"/>
        <w:snapToGrid w:val="0"/>
      </w:pPr>
    </w:p>
    <w:p>
      <w:pPr>
        <w:pStyle w:val="Heading1"/>
        <w:snapToGrid w:val="0"/>
      </w:pPr>
      <w:r>
        <w:t>3 지갑 구성과 서명 경로</w:t>
      </w:r>
    </w:p>
    <w:p>
      <w:pPr>
        <w:snapToGrid w:val="0"/>
      </w:pPr>
      <w:r>
        <w:rPr>
          <w:b w:val="0"/>
        </w:rPr>
        <w:t>계정 생성 API → SOH 메모리에서 사용자 지갑키 수신 → AES-256-GCM 암호화 → user_reward_wallet의 암호문 저장 → 보상 지급 후 또는 회수 전 복호화 → 외부 approve 요청. 회수는 owner 키를 토큰 서버에 전달하여 처리합니다. SOH와 외부 서버 사이 TLS, 외부 서명 서버 격리, 보관 매체·백업·복구시험은 담당자/운영기관 확인 필요입니다.</w:t>
      </w:r>
    </w:p>
    <w:p>
      <w:pPr>
        <w:snapToGrid w:val="0"/>
      </w:pPr>
      <w:r>
        <w:rPr>
          <w:b w:val="0"/>
        </w:rPr>
        <w:t>중요도 검토: 운영 owner 지갑 및 사용자 지갑 복호화키는 다수 사용자 자산에 영향을 줄 수 있는 중요 관리대상입니다. 회사 기준의 정식 등급은 담당자 확인 후 지정합니다.</w:t>
      </w:r>
    </w:p>
    <w:sectPr w:rsidR="00FC693F" w:rsidRPr="0006063C" w:rsidSect="00034616">
      <w:footerReference w:type="default" r:id="rId9"/>
      <w:pgSz w:w="16838" w:h="11906" w:orient="landscape"/>
      <w:pgMar w:top="964" w:right="964" w:bottom="964" w:left="9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100" w:line="271" w:lineRule="auto"/>
    </w:pPr>
    <w:rPr>
      <w:rFonts w:ascii="맑은 고딕" w:hAnsi="맑은 고딕" w:eastAsia="맑은 고딕"/>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71" w:lineRule="auto"/>
    </w:pPr>
    <w:rPr>
      <w:rFonts w:ascii="맑은 고딕" w:hAnsi="맑은 고딕" w:eastAsia="맑은 고딕"/>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1" w:lineRule="auto"/>
      <w:outlineLvl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1" w:lineRule="auto"/>
      <w:outlineLvl w:val="1"/>
    </w:pPr>
    <w:rPr>
      <w:rFonts w:asciiTheme="majorHAnsi" w:eastAsiaTheme="majorEastAsia" w:hAnsiTheme="majorHAnsi" w:cstheme="majorBidi" w:ascii="맑은 고딕" w:hAnsi="맑은 고딕"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line="271"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100" w:line="271" w:lineRule="auto"/>
      <w:outlineLvl w:val="3"/>
    </w:pPr>
    <w:rPr>
      <w:rFonts w:asciiTheme="majorHAnsi" w:eastAsiaTheme="majorEastAsia" w:hAnsiTheme="majorHAnsi" w:cstheme="majorBidi" w:ascii="맑은 고딕" w:hAnsi="맑은 고딕" w:eastAsia="맑은 고딕"/>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100" w:line="271" w:lineRule="auto"/>
      <w:outlineLvl w:val="4"/>
    </w:pPr>
    <w:rPr>
      <w:rFonts w:asciiTheme="majorHAnsi" w:eastAsiaTheme="majorEastAsia" w:hAnsiTheme="majorHAnsi" w:cstheme="majorBidi" w:ascii="맑은 고딕" w:hAnsi="맑은 고딕" w:eastAsia="맑은 고딕"/>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100" w:line="271" w:lineRule="auto"/>
      <w:outlineLvl w:val="5"/>
    </w:pPr>
    <w:rPr>
      <w:rFonts w:asciiTheme="majorHAnsi" w:eastAsiaTheme="majorEastAsia" w:hAnsiTheme="majorHAnsi" w:cstheme="majorBidi" w:ascii="맑은 고딕" w:hAnsi="맑은 고딕" w:eastAsia="맑은 고딕"/>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100" w:line="271" w:lineRule="auto"/>
      <w:outlineLvl w:val="6"/>
    </w:pPr>
    <w:rPr>
      <w:rFonts w:asciiTheme="majorHAnsi" w:eastAsiaTheme="majorEastAsia" w:hAnsiTheme="majorHAnsi" w:cstheme="majorBidi" w:ascii="맑은 고딕" w:hAnsi="맑은 고딕" w:eastAsia="맑은 고딕"/>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100" w:line="271" w:lineRule="auto"/>
      <w:outlineLvl w:val="7"/>
    </w:pPr>
    <w:rPr>
      <w:rFonts w:asciiTheme="majorHAnsi" w:eastAsiaTheme="majorEastAsia" w:hAnsiTheme="majorHAnsi" w:cstheme="majorBidi" w:ascii="맑은 고딕" w:hAnsi="맑은 고딕" w:eastAsia="맑은 고딕"/>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71" w:lineRule="auto"/>
      <w:outlineLvl w:val="8"/>
    </w:pPr>
    <w:rPr>
      <w:rFonts w:asciiTheme="majorHAnsi" w:eastAsiaTheme="majorEastAsia" w:hAnsiTheme="majorHAnsi" w:cstheme="majorBidi" w:ascii="맑은 고딕" w:hAnsi="맑은 고딕" w:eastAsia="맑은 고딕"/>
      <w:i/>
      <w:iCs/>
      <w:color w:val="000000"/>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71" w:lineRule="auto"/>
    </w:pPr>
    <w:rPr>
      <w:rFonts w:ascii="맑은 고딕" w:hAnsi="맑은 고딕" w:eastAsia="맑은 고딕"/>
      <w:color w:val="000000"/>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1" w:lineRule="auto" w:before="200"/>
      <w:contextualSpacing/>
    </w:pPr>
    <w:rPr>
      <w:rFonts w:asciiTheme="majorHAnsi" w:eastAsiaTheme="majorEastAsia" w:hAnsiTheme="majorHAnsi" w:cstheme="majorBidi" w:ascii="맑은 고딕" w:hAnsi="맑은 고딕" w:eastAsia="맑은 고딕"/>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1" w:lineRule="auto"/>
    </w:pPr>
    <w:rPr>
      <w:rFonts w:asciiTheme="majorHAnsi" w:eastAsiaTheme="majorEastAsia" w:hAnsiTheme="majorHAnsi" w:cstheme="majorBidi" w:ascii="맑은 고딕" w:hAnsi="맑은 고딕" w:eastAsia="맑은 고딕"/>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71" w:lineRule="auto"/>
      <w:ind w:left="720"/>
      <w:contextualSpacing/>
    </w:pPr>
    <w:rPr>
      <w:rFonts w:ascii="맑은 고딕" w:hAnsi="맑은 고딕" w:eastAsia="맑은 고딕"/>
      <w:color w:val="000000"/>
      <w:sz w:val="21"/>
    </w:rPr>
  </w:style>
  <w:style w:type="paragraph" w:styleId="BodyText">
    <w:name w:val="Body Text"/>
    <w:basedOn w:val="Normal"/>
    <w:link w:val="BodyTextChar"/>
    <w:uiPriority w:val="99"/>
    <w:unhideWhenUsed/>
    <w:rsid w:val="00AA1D8D"/>
    <w:pPr>
      <w:spacing w:after="100" w:line="271" w:lineRule="auto"/>
    </w:pPr>
    <w:rPr>
      <w:rFonts w:ascii="맑은 고딕" w:hAnsi="맑은 고딕" w:eastAsia="맑은 고딕"/>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271" w:lineRule="auto"/>
    </w:pPr>
    <w:rPr>
      <w:rFonts w:ascii="맑은 고딕" w:hAnsi="맑은 고딕" w:eastAsia="맑은 고딕"/>
      <w:color w:val="000000"/>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line="271" w:lineRule="auto"/>
    </w:pPr>
    <w:rPr>
      <w:rFonts w:ascii="맑은 고딕" w:hAnsi="맑은 고딕" w:eastAsia="맑은 고딕"/>
      <w:color w:val="000000"/>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line="271" w:lineRule="auto"/>
      <w:ind w:left="360" w:hanging="360"/>
      <w:contextualSpacing/>
    </w:pPr>
    <w:rPr>
      <w:rFonts w:ascii="맑은 고딕" w:hAnsi="맑은 고딕" w:eastAsia="맑은 고딕"/>
      <w:color w:val="000000"/>
      <w:sz w:val="21"/>
    </w:rPr>
  </w:style>
  <w:style w:type="paragraph" w:styleId="List2">
    <w:name w:val="List 2"/>
    <w:basedOn w:val="Normal"/>
    <w:uiPriority w:val="99"/>
    <w:unhideWhenUsed/>
    <w:rsid w:val="00326F90"/>
    <w:pPr>
      <w:spacing w:after="100" w:line="271" w:lineRule="auto"/>
      <w:ind w:left="720" w:hanging="360"/>
      <w:contextualSpacing/>
    </w:pPr>
    <w:rPr>
      <w:rFonts w:ascii="맑은 고딕" w:hAnsi="맑은 고딕" w:eastAsia="맑은 고딕"/>
      <w:color w:val="000000"/>
      <w:sz w:val="21"/>
    </w:rPr>
  </w:style>
  <w:style w:type="paragraph" w:styleId="List3">
    <w:name w:val="List 3"/>
    <w:basedOn w:val="Normal"/>
    <w:uiPriority w:val="99"/>
    <w:unhideWhenUsed/>
    <w:rsid w:val="00326F90"/>
    <w:pPr>
      <w:spacing w:after="100" w:line="271" w:lineRule="auto"/>
      <w:ind w:left="1080" w:hanging="360"/>
      <w:contextualSpacing/>
    </w:pPr>
    <w:rPr>
      <w:rFonts w:ascii="맑은 고딕" w:hAnsi="맑은 고딕" w:eastAsia="맑은 고딕"/>
      <w:color w:val="000000"/>
      <w:sz w:val="21"/>
    </w:rPr>
  </w:style>
  <w:style w:type="paragraph" w:styleId="ListBullet">
    <w:name w:val="List Bullet"/>
    <w:basedOn w:val="Normal"/>
    <w:uiPriority w:val="99"/>
    <w:unhideWhenUsed/>
    <w:rsid w:val="00326F90"/>
    <w:pPr>
      <w:numPr>
        <w:numId w:val="1"/>
      </w:numPr>
      <w:spacing w:after="100" w:line="271" w:lineRule="auto"/>
      <w:contextualSpacing/>
    </w:pPr>
    <w:rPr>
      <w:rFonts w:ascii="맑은 고딕" w:hAnsi="맑은 고딕" w:eastAsia="맑은 고딕"/>
      <w:color w:val="000000"/>
      <w:sz w:val="21"/>
    </w:rPr>
  </w:style>
  <w:style w:type="paragraph" w:styleId="ListBullet2">
    <w:name w:val="List Bullet 2"/>
    <w:basedOn w:val="Normal"/>
    <w:uiPriority w:val="99"/>
    <w:unhideWhenUsed/>
    <w:rsid w:val="00326F90"/>
    <w:pPr>
      <w:numPr>
        <w:numId w:val="2"/>
      </w:numPr>
      <w:spacing w:after="100" w:line="271" w:lineRule="auto"/>
      <w:contextualSpacing/>
    </w:pPr>
    <w:rPr>
      <w:rFonts w:ascii="맑은 고딕" w:hAnsi="맑은 고딕" w:eastAsia="맑은 고딕"/>
      <w:color w:val="000000"/>
      <w:sz w:val="21"/>
    </w:rPr>
  </w:style>
  <w:style w:type="paragraph" w:styleId="ListBullet3">
    <w:name w:val="List Bullet 3"/>
    <w:basedOn w:val="Normal"/>
    <w:uiPriority w:val="99"/>
    <w:unhideWhenUsed/>
    <w:rsid w:val="00326F90"/>
    <w:pPr>
      <w:numPr>
        <w:numId w:val="3"/>
      </w:numPr>
      <w:spacing w:after="100" w:line="271" w:lineRule="auto"/>
      <w:contextualSpacing/>
    </w:pPr>
    <w:rPr>
      <w:rFonts w:ascii="맑은 고딕" w:hAnsi="맑은 고딕" w:eastAsia="맑은 고딕"/>
      <w:color w:val="000000"/>
      <w:sz w:val="21"/>
    </w:rPr>
  </w:style>
  <w:style w:type="paragraph" w:styleId="ListNumber">
    <w:name w:val="List Number"/>
    <w:basedOn w:val="Normal"/>
    <w:uiPriority w:val="99"/>
    <w:unhideWhenUsed/>
    <w:rsid w:val="00326F90"/>
    <w:pPr>
      <w:numPr>
        <w:numId w:val="5"/>
      </w:numPr>
      <w:spacing w:after="100" w:line="271" w:lineRule="auto"/>
      <w:contextualSpacing/>
    </w:pPr>
    <w:rPr>
      <w:rFonts w:ascii="맑은 고딕" w:hAnsi="맑은 고딕" w:eastAsia="맑은 고딕"/>
      <w:color w:val="000000"/>
      <w:sz w:val="21"/>
    </w:rPr>
  </w:style>
  <w:style w:type="paragraph" w:styleId="ListNumber2">
    <w:name w:val="List Number 2"/>
    <w:basedOn w:val="Normal"/>
    <w:uiPriority w:val="99"/>
    <w:unhideWhenUsed/>
    <w:rsid w:val="0029639D"/>
    <w:pPr>
      <w:numPr>
        <w:numId w:val="6"/>
      </w:numPr>
      <w:spacing w:after="100" w:line="271" w:lineRule="auto"/>
      <w:contextualSpacing/>
    </w:pPr>
    <w:rPr>
      <w:rFonts w:ascii="맑은 고딕" w:hAnsi="맑은 고딕" w:eastAsia="맑은 고딕"/>
      <w:color w:val="000000"/>
      <w:sz w:val="21"/>
    </w:rPr>
  </w:style>
  <w:style w:type="paragraph" w:styleId="ListNumber3">
    <w:name w:val="List Number 3"/>
    <w:basedOn w:val="Normal"/>
    <w:uiPriority w:val="99"/>
    <w:unhideWhenUsed/>
    <w:rsid w:val="0029639D"/>
    <w:pPr>
      <w:numPr>
        <w:numId w:val="7"/>
      </w:numPr>
      <w:spacing w:after="100" w:line="271" w:lineRule="auto"/>
      <w:contextualSpacing/>
    </w:pPr>
    <w:rPr>
      <w:rFonts w:ascii="맑은 고딕" w:hAnsi="맑은 고딕" w:eastAsia="맑은 고딕"/>
      <w:color w:val="000000"/>
      <w:sz w:val="21"/>
    </w:rPr>
  </w:style>
  <w:style w:type="paragraph" w:styleId="ListContinue">
    <w:name w:val="List Continue"/>
    <w:basedOn w:val="Normal"/>
    <w:uiPriority w:val="99"/>
    <w:unhideWhenUsed/>
    <w:rsid w:val="0029639D"/>
    <w:pPr>
      <w:spacing w:after="100" w:line="271" w:lineRule="auto"/>
      <w:ind w:left="360"/>
      <w:contextualSpacing/>
    </w:pPr>
    <w:rPr>
      <w:rFonts w:ascii="맑은 고딕" w:hAnsi="맑은 고딕" w:eastAsia="맑은 고딕"/>
      <w:color w:val="000000"/>
      <w:sz w:val="21"/>
    </w:rPr>
  </w:style>
  <w:style w:type="paragraph" w:styleId="ListContinue2">
    <w:name w:val="List Continue 2"/>
    <w:basedOn w:val="Normal"/>
    <w:uiPriority w:val="99"/>
    <w:unhideWhenUsed/>
    <w:rsid w:val="0029639D"/>
    <w:pPr>
      <w:spacing w:after="100" w:line="271" w:lineRule="auto"/>
      <w:ind w:left="720"/>
      <w:contextualSpacing/>
    </w:pPr>
    <w:rPr>
      <w:rFonts w:ascii="맑은 고딕" w:hAnsi="맑은 고딕" w:eastAsia="맑은 고딕"/>
      <w:color w:val="000000"/>
      <w:sz w:val="21"/>
    </w:rPr>
  </w:style>
  <w:style w:type="paragraph" w:styleId="ListContinue3">
    <w:name w:val="List Continue 3"/>
    <w:basedOn w:val="Normal"/>
    <w:uiPriority w:val="99"/>
    <w:unhideWhenUsed/>
    <w:rsid w:val="0029639D"/>
    <w:pPr>
      <w:spacing w:after="100" w:line="271" w:lineRule="auto"/>
      <w:ind w:left="1080"/>
      <w:contextualSpacing/>
    </w:pPr>
    <w:rPr>
      <w:rFonts w:ascii="맑은 고딕" w:hAnsi="맑은 고딕" w:eastAsia="맑은 고딕"/>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71" w:lineRule="auto"/>
    </w:pPr>
    <w:rPr>
      <w:rFonts w:ascii="맑은 고딕" w:hAnsi="맑은 고딕" w:eastAsia="맑은 고딕"/>
      <w:color w:val="000000"/>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line="271" w:lineRule="auto"/>
    </w:pPr>
    <w:rPr>
      <w:rFonts w:ascii="맑은 고딕" w:hAnsi="맑은 고딕" w:eastAsia="맑은 고딕"/>
      <w:i/>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00"/>
    </w:pPr>
    <w:rPr>
      <w:rFonts w:ascii="맑은 고딕" w:hAnsi="맑은 고딕" w:eastAsia="맑은 고딕"/>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line="271" w:lineRule="auto"/>
      <w:ind w:left="936" w:right="936"/>
    </w:pPr>
    <w:rPr>
      <w:rFonts w:ascii="맑은 고딕" w:hAnsi="맑은 고딕" w:eastAsia="맑은 고딕"/>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line="271" w:lineRule="auto"/>
      <w:outlineLvl w:val="9"/>
    </w:pPr>
    <w:rPr>
      <w:rFonts w:ascii="맑은 고딕" w:hAnsi="맑은 고딕" w:eastAsia="맑은 고딕"/>
      <w:color w:val="000000"/>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7 지갑 및 주소 인벤토리</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