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pPr>
      <w:r>
        <w:t>SOH 사전 요청자료 항목별 작성본</w:t>
      </w:r>
    </w:p>
    <w:p>
      <w:pPr>
        <w:snapToGrid w:val="0"/>
      </w:pPr>
      <w:r>
        <w:rPr>
          <w:b w:val="0"/>
        </w:rPr>
        <w:t>SOH 구강 건강관리 서비스 | 작성 기준일 2026년 9월 18일</w:t>
      </w:r>
    </w:p>
    <w:p>
      <w:pPr>
        <w:snapToGrid w:val="0"/>
      </w:pPr>
      <w:r>
        <w:rPr>
          <w:b w:val="0"/>
        </w:rPr>
        <w:t>SOH의 블록체인 연동과 보안 현황을 사전 점검하기 위한 기업 회신 자료입니다. 원본 요청 목록 1~51번과 서식 1~7을 연결하며, SOH 애플리케이션과 외부 대구체인 운영 범위를 구분합니다.</w:t>
      </w:r>
    </w:p>
    <w:p>
      <w:pPr>
        <w:snapToGrid w:val="0"/>
      </w:pPr>
      <w:r>
        <w:rPr>
          <w:b w:val="0"/>
        </w:rPr>
        <w:t>기업명 및 총괄·대체 담당자: 담당자 확인 필요. 제출 상태: 작성본 준비, 외부 제출 전. 실운영 계정·주소·수량 및 회사 승인 절차는 확인 후 확정합니다.</w:t>
      </w:r>
    </w:p>
    <w:p>
      <w:pPr>
        <w:snapToGrid w:val="0"/>
      </w:pPr>
      <w:r>
        <w:rPr>
          <w:b w:val="0"/>
        </w:rPr>
        <w:t>판정 기준: 코드에 구현된 사실, 저장소 운영 문서의 기준, 외부 운영기관 확인 사항을 구분했습니다. “확인 필요”는 “미보유” 또는 “해당 없음”을 의미하지 않습니다.</w:t>
      </w:r>
    </w:p>
    <w:p>
      <w:pPr>
        <w:pStyle w:val="Heading1"/>
        <w:snapToGrid w:val="0"/>
      </w:pPr>
      <w:r>
        <w:t>기본 정보</w:t>
      </w:r>
    </w:p>
    <w:p>
      <w:pPr>
        <w:pStyle w:val="Heading2"/>
        <w:snapToGrid w:val="0"/>
      </w:pPr>
      <w:r>
        <w:t>1 조직도</w:t>
      </w:r>
    </w:p>
    <w:p>
      <w:pPr>
        <w:snapToGrid w:val="0"/>
      </w:pPr>
      <w:r>
        <w:rPr>
          <w:b w:val="0"/>
        </w:rPr>
        <w:t>담당자 확인 필요. 부서 구성, 개인정보 취급 부서, CPO 및 정보보호 담당자의 직위가 포함된 조직도를 별도 첨부해야 합니다.</w:t>
      </w:r>
    </w:p>
    <w:p>
      <w:pPr>
        <w:pStyle w:val="Heading2"/>
        <w:snapToGrid w:val="0"/>
      </w:pPr>
      <w:r>
        <w:t>2 임직원 수</w:t>
      </w:r>
    </w:p>
    <w:p>
      <w:pPr>
        <w:snapToGrid w:val="0"/>
      </w:pPr>
      <w:r>
        <w:rPr>
          <w:b w:val="0"/>
        </w:rPr>
        <w:t>담당자 확인 필요. 정규직 및 비정규직 인원을 구분하여 기입합니다.</w:t>
      </w:r>
    </w:p>
    <w:p>
      <w:pPr>
        <w:pStyle w:val="Heading2"/>
        <w:snapToGrid w:val="0"/>
      </w:pPr>
      <w:r>
        <w:t>3 개발자 및 기술 인력 수</w:t>
      </w:r>
    </w:p>
    <w:p>
      <w:pPr>
        <w:snapToGrid w:val="0"/>
      </w:pPr>
      <w:r>
        <w:rPr>
          <w:b w:val="0"/>
        </w:rPr>
        <w:t>담당자 확인 필요. 블록체인 연동, 백엔드, 프론트엔드, 인프라 담당 인원을 구분합니다.</w:t>
      </w:r>
    </w:p>
    <w:p>
      <w:pPr>
        <w:pStyle w:val="Heading2"/>
        <w:snapToGrid w:val="0"/>
      </w:pPr>
      <w:r>
        <w:t>4 보안 전담 인력 수</w:t>
      </w:r>
    </w:p>
    <w:p>
      <w:pPr>
        <w:snapToGrid w:val="0"/>
      </w:pPr>
      <w:r>
        <w:rPr>
          <w:b w:val="0"/>
        </w:rPr>
        <w:t>담당자 확인 필요. 전담 인원과 겸직 여부를 확인합니다.</w:t>
      </w:r>
    </w:p>
    <w:p>
      <w:pPr>
        <w:pStyle w:val="Heading2"/>
        <w:snapToGrid w:val="0"/>
      </w:pPr>
      <w:r>
        <w:t>5 정보보호 및 개인정보보호 담당자</w:t>
      </w:r>
    </w:p>
    <w:p>
      <w:pPr>
        <w:snapToGrid w:val="0"/>
      </w:pPr>
      <w:r>
        <w:rPr>
          <w:b w:val="0"/>
        </w:rPr>
        <w:t>담당자 확인 필요. 지정 여부와 직위를 확인하며 코드만으로 지정 사실을 판단하지 않습니다.</w:t>
      </w:r>
    </w:p>
    <w:p>
      <w:pPr>
        <w:pStyle w:val="Heading2"/>
        <w:snapToGrid w:val="0"/>
      </w:pPr>
      <w:r>
        <w:t>6 24시간 운영 및 관제</w:t>
      </w:r>
    </w:p>
    <w:p>
      <w:pPr>
        <w:snapToGrid w:val="0"/>
      </w:pPr>
      <w:r>
        <w:rPr>
          <w:b w:val="0"/>
        </w:rPr>
        <w:t>담당자 확인 필요. 웹서비스 상시 제공과 24시간 인적 관제는 별개입니다. 교대조 및 알림 대응 증적 확인이 필요합니다.</w:t>
      </w:r>
    </w:p>
    <w:p>
      <w:pPr>
        <w:pStyle w:val="Heading1"/>
        <w:snapToGrid w:val="0"/>
      </w:pPr>
      <w:r>
        <w:t>서비스와 기술 구성</w:t>
      </w:r>
    </w:p>
    <w:p>
      <w:pPr>
        <w:pStyle w:val="Heading2"/>
        <w:snapToGrid w:val="0"/>
      </w:pPr>
      <w:r>
        <w:t>7 블록체인 서비스 개요</w:t>
      </w:r>
    </w:p>
    <w:p>
      <w:pPr>
        <w:snapToGrid w:val="0"/>
      </w:pPr>
      <w:r>
        <w:rPr>
          <w:b w:val="0"/>
        </w:rPr>
        <w:t>SOH(Senior Oral Healthcare)는 구강 건강관리 웹서비스입니다. 회원가입 및 다대구 DID 로그인, 최초 건강설문 7종, 구강 문진·분석, 맞춤 콘텐츠, 구강체조 진도와 토큰 리워드 지급·회수를 제공합니다. 운영 URL은 https://soh.thomabio.com 입니다. 출시일과 사용자 수는 담당자 확인 필요입니다. [E01, E03, E04]</w:t>
      </w:r>
    </w:p>
    <w:p>
      <w:pPr>
        <w:pStyle w:val="Heading2"/>
        <w:snapToGrid w:val="0"/>
      </w:pPr>
      <w:r>
        <w:t>8 블록체인 유형과 플랫폼</w:t>
      </w:r>
    </w:p>
    <w:p>
      <w:pPr>
        <w:snapToGrid w:val="0"/>
      </w:pPr>
      <w:r>
        <w:rPr>
          <w:b w:val="0"/>
        </w:rPr>
        <w:t>외부 대구체인 API를 이용하며 소스 기본 chain 값은 dchain입니다. 공개 기술자료상 Mitum 기반 허가형으로 파악되나, 운영 네트워크의 최종 분류(프라이빗/컨소시엄), chain ID, 검증자 구성은 운영기관 확인 필요입니다. SOH의 노드 직접 운영으로 기재하지 않습니다. [E05, P01, P02]</w:t>
      </w:r>
    </w:p>
    <w:p>
      <w:pPr>
        <w:pStyle w:val="Heading2"/>
        <w:snapToGrid w:val="0"/>
      </w:pPr>
      <w:r>
        <w:t>9 서비스 운영 단계</w:t>
      </w:r>
    </w:p>
    <w:p>
      <w:pPr>
        <w:snapToGrid w:val="0"/>
      </w:pPr>
      <w:r>
        <w:rPr>
          <w:b w:val="0"/>
        </w:rPr>
        <w:t>운영 중. 2026-09-17 운영 배포 완료 확인 이력이 있습니다. 본 작성 기준의 API와 프론트 commit은 아래 근거 목록에 기재했습니다. 실제 연동 체인의 운영망/시험망 식별은 운영기관 확인 필요입니다.</w:t>
      </w:r>
    </w:p>
    <w:p>
      <w:pPr>
        <w:pStyle w:val="Heading2"/>
        <w:snapToGrid w:val="0"/>
      </w:pPr>
      <w:r>
        <w:t>10 스마트 컨트랙트 운영 여부 및 개수</w:t>
      </w:r>
    </w:p>
    <w:p>
      <w:pPr>
        <w:snapToGrid w:val="0"/>
      </w:pPr>
      <w:r>
        <w:rPr>
          <w:b w:val="0"/>
        </w:rPr>
        <w:t>토큰 생성·조회·전송·회수 및 범용 Token20/NFT/Point API 연동 코드가 있습니다. 리워드 토큰명 매핑은 필수 5종과 상시 7종, 총 12종입니다. 이는 배포된 컨트랙트 수가 아닙니다. 실제 운영 컨트랙트 주소·수량·업그레이드 가능 여부 및 자체 개발 소유 여부는 담당자/운영기관 확인 필요입니다. [E04, E06]</w:t>
      </w:r>
    </w:p>
    <w:p>
      <w:pPr>
        <w:pStyle w:val="Heading2"/>
        <w:snapToGrid w:val="0"/>
      </w:pPr>
      <w:r>
        <w:t>11 지갑 및 키관리 기능</w:t>
      </w:r>
    </w:p>
    <w:p>
      <w:pPr>
        <w:snapToGrid w:val="0"/>
      </w:pPr>
      <w:r>
        <w:rPr>
          <w:b w:val="0"/>
        </w:rPr>
        <w:t>예. 서버가 사용자 리워드 지갑을 생성하고 서명용 개인키를 AES-256-GCM으로 암호화하여 DB에 보관합니다. 승인 호출 시 복호화하며 운영 owner 키도 백엔드 환경변수로 사용합니다. 서버 보관형 핫 지갑 구조이며 HSM·MPC 적용은 확인되지 않았습니다. [E07, E08]</w:t>
      </w:r>
    </w:p>
    <w:p>
      <w:pPr>
        <w:pStyle w:val="Heading2"/>
        <w:snapToGrid w:val="0"/>
      </w:pPr>
      <w:r>
        <w:t>12 주요 시스템 구성</w:t>
      </w:r>
    </w:p>
    <w:p>
      <w:pPr>
        <w:snapToGrid w:val="0"/>
      </w:pPr>
      <w:r>
        <w:rPr>
          <w:b w:val="0"/>
        </w:rPr>
        <w:t>브라우저 React/Vite → CloudFront/S3 정적 웹 → HTTPS API/ALB → EC2 ASG의 Spring Boot/Java 17 → RDS MySQL 구조입니다. 백엔드가 대구체인 API, 외부 DID 서버 및 토큰 서버와 연동합니다. 서버·노드의 현재 대수는 확인 필요입니다. [E02, E09]</w:t>
      </w:r>
    </w:p>
    <w:p>
      <w:pPr>
        <w:pStyle w:val="Heading2"/>
        <w:snapToGrid w:val="0"/>
      </w:pPr>
      <w:r>
        <w:t>13 클라우드 사용 여부 및 사업자</w:t>
      </w:r>
    </w:p>
    <w:p>
      <w:pPr>
        <w:snapToGrid w:val="0"/>
      </w:pPr>
      <w:r>
        <w:rPr>
          <w:b w:val="0"/>
        </w:rPr>
        <w:t>예. AWS ap-northeast-2(서울). S3, CloudFront, ALB, EC2/ASG, RDS, Secrets Manager, IAM 및 Route 53 등을 구성 코드/운영 문서에서 확인했습니다. 외부 토큰·DID 서버의 사업자 및 계약 주체는 확인 필요입니다. [E09]</w:t>
      </w:r>
    </w:p>
    <w:p>
      <w:pPr>
        <w:pStyle w:val="Heading2"/>
        <w:snapToGrid w:val="0"/>
      </w:pPr>
      <w:r>
        <w:t>14 노드 직접 운영 여부</w:t>
      </w:r>
    </w:p>
    <w:p>
      <w:pPr>
        <w:snapToGrid w:val="0"/>
      </w:pPr>
      <w:r>
        <w:rPr>
          <w:b w:val="0"/>
        </w:rPr>
        <w:t>검토한 SOH 저장소에는 체인 노드 구동·배포 구성이 없으며 외부 HTTP API를 호출합니다. 직접 운영 여부의 기업 차원 최종 답변과 위탁 계약 여부는 담당자 확인 필요입니다. 외부 API 이용을 노드 운영 위탁으로 단정하지 않습니다. [E05, E06]</w:t>
      </w:r>
    </w:p>
    <w:p>
      <w:pPr>
        <w:pStyle w:val="Heading1"/>
        <w:snapToGrid w:val="0"/>
      </w:pPr>
      <w:r>
        <w:t>개인정보 처리 현황</w:t>
      </w:r>
    </w:p>
    <w:p>
      <w:pPr>
        <w:pStyle w:val="Heading2"/>
        <w:snapToGrid w:val="0"/>
      </w:pPr>
      <w:r>
        <w:t>15 개인정보 처리 여부</w:t>
      </w:r>
    </w:p>
    <w:p>
      <w:pPr>
        <w:snapToGrid w:val="0"/>
      </w:pPr>
      <w:r>
        <w:rPr>
          <w:b w:val="0"/>
        </w:rPr>
        <w:t>예. 회원 인적정보, 건강설문/구강분석 및 서비스 이용 이력을 처리합니다. [E03, E10]</w:t>
      </w:r>
    </w:p>
    <w:p>
      <w:pPr>
        <w:pStyle w:val="Heading2"/>
        <w:snapToGrid w:val="0"/>
      </w:pPr>
      <w:r>
        <w:t>16 처리하는 개인정보 유형</w:t>
      </w:r>
    </w:p>
    <w:p>
      <w:pPr>
        <w:snapToGrid w:val="0"/>
      </w:pPr>
      <w:r>
        <w:rPr>
          <w:b w:val="0"/>
        </w:rPr>
        <w:t>이름, 휴대전화번호, 생년월일, 성별, 로그인 ID, 비밀번호 해시, 비밀번호 찾기 질문/답변, 선택 기관, 약관 동의, DID, 다대구 CI 해시, 지갑주소, 로그인·진도·리워드 이력, 건강설문 및 구강 이미지·분석 결과 등을 처리합니다. 건강정보와 개인을 연결할 수 있는 지갑/DID를 포함하므로 제출 표본은 마스킹해야 합니다. [E03, E10]</w:t>
      </w:r>
    </w:p>
    <w:p>
      <w:pPr>
        <w:pStyle w:val="Heading2"/>
        <w:snapToGrid w:val="0"/>
      </w:pPr>
      <w:r>
        <w:t>17 개인정보 처리방침</w:t>
      </w:r>
    </w:p>
    <w:p>
      <w:pPr>
        <w:snapToGrid w:val="0"/>
      </w:pPr>
      <w:r>
        <w:rPr>
          <w:b w:val="0"/>
        </w:rPr>
        <w:t>회원가입에서 /service-agreement API로 동의 문서를 조회합니다. 이는 최신 개인정보 처리방침의 게시·승인을 입증하지 않습니다. 승인된 최신 방침 파일, 공개 URL, 시행일은 담당자 확인 필요입니다. [E11]</w:t>
      </w:r>
    </w:p>
    <w:p>
      <w:pPr>
        <w:pStyle w:val="Heading2"/>
        <w:snapToGrid w:val="0"/>
      </w:pPr>
      <w:r>
        <w:t>18 만 14세 미만 아동 대상 여부</w:t>
      </w:r>
    </w:p>
    <w:p>
      <w:pPr>
        <w:snapToGrid w:val="0"/>
      </w:pPr>
      <w:r>
        <w:rPr>
          <w:b w:val="0"/>
        </w:rPr>
        <w:t>고령자 구강 건강관리를 지향하는 서비스이나 만 14세 미만 이용 금지 정책 및 법정대리인 절차의 적용 여부는 담당자 확인 필요입니다. 서비스 명칭만으로 아동 비대상이라고 확정하지 않습니다.</w:t>
      </w:r>
    </w:p>
    <w:p>
      <w:pPr>
        <w:pStyle w:val="Heading1"/>
        <w:snapToGrid w:val="0"/>
      </w:pPr>
      <w:r>
        <w:t>정보보호 관리체계</w:t>
      </w:r>
    </w:p>
    <w:p>
      <w:pPr>
        <w:pStyle w:val="Heading2"/>
        <w:snapToGrid w:val="0"/>
      </w:pPr>
      <w:r>
        <w:t>19 정보보호 정책 및 지침</w:t>
      </w:r>
    </w:p>
    <w:p>
      <w:pPr>
        <w:snapToGrid w:val="0"/>
      </w:pPr>
      <w:r>
        <w:rPr>
          <w:b w:val="0"/>
        </w:rPr>
        <w:t>README와 AGENTS에 운영·비밀값 취급 지침이 있습니다. 회사가 승인한 정보보호·개인정보보호 정책 및 키관리 절차서의 존재·문서번호·승인일은 담당자 확인 필요입니다.</w:t>
      </w:r>
    </w:p>
    <w:p>
      <w:pPr>
        <w:pStyle w:val="Heading2"/>
        <w:snapToGrid w:val="0"/>
      </w:pPr>
      <w:r>
        <w:t>20 최근 1년 취약점 점검</w:t>
      </w:r>
    </w:p>
    <w:p>
      <w:pPr>
        <w:snapToGrid w:val="0"/>
      </w:pPr>
      <w:r>
        <w:rPr>
          <w:b w:val="0"/>
        </w:rPr>
        <w:t>관련 보안/기능 단위테스트 코드는 있으나 최근 1년 전문 취약점 점검 보고서의 기관·수행일·범위는 확인 필요입니다. 단위테스트를 보안 인증 또는 외부 취약점 진단으로 기재하지 않습니다. [E12]</w:t>
      </w:r>
    </w:p>
    <w:p>
      <w:pPr>
        <w:pStyle w:val="Heading2"/>
        <w:snapToGrid w:val="0"/>
      </w:pPr>
      <w:r>
        <w:t>21 보안 인증</w:t>
      </w:r>
    </w:p>
    <w:p>
      <w:pPr>
        <w:snapToGrid w:val="0"/>
      </w:pPr>
      <w:r>
        <w:rPr>
          <w:b w:val="0"/>
        </w:rPr>
        <w:t>담당자 확인 필요. ISMS/ISO27001 등의 인증명·인증범위·유효기간을 확인합니다. AWS 인증을 회사 인증으로 기재하지 않습니다.</w:t>
      </w:r>
    </w:p>
    <w:p>
      <w:pPr>
        <w:pStyle w:val="Heading2"/>
        <w:snapToGrid w:val="0"/>
      </w:pPr>
      <w:r>
        <w:t>22 최근 3년 보안사고</w:t>
      </w:r>
    </w:p>
    <w:p>
      <w:pPr>
        <w:snapToGrid w:val="0"/>
      </w:pPr>
      <w:r>
        <w:rPr>
          <w:b w:val="0"/>
        </w:rPr>
        <w:t>담당자 확인 필요. 과거 장애·키 노출 의심 이력의 존재와 실제 보안사고 판정은 별도 사고대장 확인이 필요하며 “없음”으로 추정하지 않습니다.</w:t>
      </w:r>
    </w:p>
    <w:p>
      <w:pPr>
        <w:pStyle w:val="Heading1"/>
        <w:snapToGrid w:val="0"/>
      </w:pPr>
      <w:r>
        <w:t>블록체인 점검</w:t>
      </w:r>
    </w:p>
    <w:p>
      <w:pPr>
        <w:pStyle w:val="Heading2"/>
        <w:snapToGrid w:val="0"/>
      </w:pPr>
      <w:r>
        <w:t>23 블록체인 보안현황 조사서</w:t>
      </w:r>
    </w:p>
    <w:p>
      <w:pPr>
        <w:snapToGrid w:val="0"/>
      </w:pPr>
      <w:r>
        <w:rPr>
          <w:b w:val="0"/>
        </w:rPr>
        <w:t>서식1_SOH_블록체인_보안현황_조사서.docx 작성본 참조. 담당자, 공개일, 위탁계약 등은 확인란으로 남겼습니다.</w:t>
      </w:r>
    </w:p>
    <w:p>
      <w:pPr>
        <w:pStyle w:val="Heading2"/>
        <w:snapToGrid w:val="0"/>
      </w:pPr>
      <w:r>
        <w:t>24 점검 대상 목록</w:t>
      </w:r>
    </w:p>
    <w:p>
      <w:pPr>
        <w:snapToGrid w:val="0"/>
      </w:pPr>
      <w:r>
        <w:rPr>
          <w:b w:val="0"/>
        </w:rPr>
        <w:t>서식2_SOH_점검대상_목록.docx 참조. 운영 컨트랙트 주소와 노드 수량은 외부 운영기관 확인 필요입니다.</w:t>
      </w:r>
    </w:p>
    <w:p>
      <w:pPr>
        <w:pStyle w:val="Heading2"/>
        <w:snapToGrid w:val="0"/>
      </w:pPr>
      <w:r>
        <w:t>25 블록체인 아키텍처 및 설계</w:t>
      </w:r>
    </w:p>
    <w:p>
      <w:pPr>
        <w:snapToGrid w:val="0"/>
      </w:pPr>
      <w:r>
        <w:rPr>
          <w:b w:val="0"/>
        </w:rPr>
        <w:t>본 문서 부록 A에 소스 및 Terraform 기반 구조, 데이터 경계, 지급·회수 흐름을 정리했습니다. 체인 내부 구조·외부 서명 서버 구성은 운영기관 자료가 필요합니다.</w:t>
      </w:r>
    </w:p>
    <w:p>
      <w:pPr>
        <w:pStyle w:val="Heading2"/>
        <w:snapToGrid w:val="0"/>
      </w:pPr>
      <w:r>
        <w:t>26 불변식 및 파라미터 명세</w:t>
      </w:r>
    </w:p>
    <w:p>
      <w:pPr>
        <w:snapToGrid w:val="0"/>
      </w:pPr>
      <w:r>
        <w:rPr>
          <w:b w:val="0"/>
        </w:rPr>
        <w:t>자체 컨트랙트 소스에 대한 명세는 확인되지 않았습니다. SOH 애플리케이션의 중복 지급 방지, 선행 영상 조건, 완료 후 추가 지급 차단 및 입력 검증은 서식5 문항 3~7과 부록 A에 기재했습니다. 체인 수준 불변식과는 구분합니다. [E04]</w:t>
      </w:r>
    </w:p>
    <w:p>
      <w:pPr>
        <w:pStyle w:val="Heading2"/>
        <w:snapToGrid w:val="0"/>
      </w:pPr>
      <w:r>
        <w:t>27 스마트 컨트랙트 소스코드</w:t>
      </w:r>
    </w:p>
    <w:p>
      <w:pPr>
        <w:snapToGrid w:val="0"/>
      </w:pPr>
      <w:r>
        <w:rPr>
          <w:b w:val="0"/>
        </w:rPr>
        <w:t>검토한 저장소에는 Solidity 등 자체 컨트랙트 프로젝트/빌드 자료가 확인되지 않았습니다. API 연동 코드는 보유합니다. 자체 컨트랙트 보유 여부 확인 후 해당 없음 또는 운영기관 제공 자료로 확정해야 합니다.</w:t>
      </w:r>
    </w:p>
    <w:p>
      <w:pPr>
        <w:pStyle w:val="Heading2"/>
        <w:snapToGrid w:val="0"/>
      </w:pPr>
      <w:r>
        <w:t>28 배포 스크립트 및 설정</w:t>
      </w:r>
    </w:p>
    <w:p>
      <w:pPr>
        <w:snapToGrid w:val="0"/>
      </w:pPr>
      <w:r>
        <w:rPr>
          <w:b w:val="0"/>
        </w:rPr>
        <w:t>SOH API/프론트 배포 workflow, Gradle/Vite 빌드 구성, Terraform 모듈이 있습니다. 이는 컨트랙트 배포 스크립트와 다릅니다. 비밀값과 실제 env/tfvars/state를 제외한 파일의 제출 범위를 승인 후 확정합니다. [E09]</w:t>
      </w:r>
    </w:p>
    <w:p>
      <w:pPr>
        <w:pStyle w:val="Heading2"/>
        <w:snapToGrid w:val="0"/>
      </w:pPr>
      <w:r>
        <w:t>29 권한 구조 문서</w:t>
      </w:r>
    </w:p>
    <w:p>
      <w:pPr>
        <w:snapToGrid w:val="0"/>
      </w:pPr>
      <w:r>
        <w:rPr>
          <w:b w:val="0"/>
        </w:rPr>
        <w:t>서식6_SOH_권한_인벤토리_매트릭스.docx 참조. 애플리케이션 역할과 온체인 owner 권한을 분리했습니다. 직무별 실제 인원과 권한 회수 절차는 확인 필요입니다.</w:t>
      </w:r>
    </w:p>
    <w:p>
      <w:pPr>
        <w:pStyle w:val="Heading2"/>
        <w:snapToGrid w:val="0"/>
      </w:pPr>
      <w:r>
        <w:t>30 업그레이드 절차서</w:t>
      </w:r>
    </w:p>
    <w:p>
      <w:pPr>
        <w:snapToGrid w:val="0"/>
      </w:pPr>
      <w:r>
        <w:rPr>
          <w:b w:val="0"/>
        </w:rPr>
        <w:t>SOH 앱은 prod push 기반 배포와 이전 버전 복구 경로가 있습니다. 컨트랙트 프록시·스토리지 충돌 검증·체인 업그레이드 절차는 외부 운영기관 확인 필요입니다. 앱 롤백은 체인 거래를 되돌리지 않습니다. [E09]</w:t>
      </w:r>
    </w:p>
    <w:p>
      <w:pPr>
        <w:pStyle w:val="Heading2"/>
        <w:snapToGrid w:val="0"/>
      </w:pPr>
      <w:r>
        <w:t>31 외부 의존성 현황</w:t>
      </w:r>
    </w:p>
    <w:p>
      <w:pPr>
        <w:snapToGrid w:val="0"/>
      </w:pPr>
      <w:r>
        <w:rPr>
          <w:b w:val="0"/>
        </w:rPr>
        <w:t>서식5 문항 22~26 및 부록 외부 의존성 표 참조. 대구체인 API, DID 서버, 토큰 서버, 다대구 인증, AWS 및 AI 분석 연동을 구분합니다.</w:t>
      </w:r>
    </w:p>
    <w:p>
      <w:pPr>
        <w:pStyle w:val="Heading2"/>
        <w:snapToGrid w:val="0"/>
      </w:pPr>
      <w:r>
        <w:t>32 노드 설정 자료</w:t>
      </w:r>
    </w:p>
    <w:p>
      <w:pPr>
        <w:snapToGrid w:val="0"/>
      </w:pPr>
      <w:r>
        <w:rPr>
          <w:b w:val="0"/>
        </w:rPr>
        <w:t>SOH 저장소에서 직접 운영 노드 설정을 확인하지 못했습니다. 노드 클라이언트·RPC·P2P·검증자 키 자료는 운영기관 확인 대상으로 분류합니다.</w:t>
      </w:r>
    </w:p>
    <w:p>
      <w:pPr>
        <w:pStyle w:val="Heading2"/>
        <w:snapToGrid w:val="0"/>
      </w:pPr>
      <w:r>
        <w:t>33 폐쇄형 및 자체 체인 운영 자료</w:t>
      </w:r>
    </w:p>
    <w:p>
      <w:pPr>
        <w:snapToGrid w:val="0"/>
      </w:pPr>
      <w:r>
        <w:rPr>
          <w:b w:val="0"/>
        </w:rPr>
        <w:t>허가형 체인 연동 범위에서 대구체인 운영기관의 genesis/chainspec, 검증자·합의·업그레이드 자료가 필요합니다. MSP·채널·오더러·보증정책은 Fabric 계열 용어이므로 Mitum에 존재한다고 기입하지 않고 적용 여부를 운영기관과 협의합니다.</w:t>
      </w:r>
    </w:p>
    <w:p>
      <w:pPr>
        <w:pStyle w:val="Heading2"/>
        <w:snapToGrid w:val="0"/>
      </w:pPr>
      <w:r>
        <w:t>34 지갑 구성 자료</w:t>
      </w:r>
    </w:p>
    <w:p>
      <w:pPr>
        <w:snapToGrid w:val="0"/>
      </w:pPr>
      <w:r>
        <w:rPr>
          <w:b w:val="0"/>
        </w:rPr>
        <w:t>서식7_SOH_지갑_주소_인벤토리.docx와 부록 A의 서명 경로 참조. 서비스 owner 공개주소는 담당자 확인 필요입니다. 일반 사용자 개인주소 일괄 목록은 첨부하지 않았습니다.</w:t>
      </w:r>
    </w:p>
    <w:p>
      <w:pPr>
        <w:pStyle w:val="Heading2"/>
        <w:snapToGrid w:val="0"/>
      </w:pPr>
      <w:r>
        <w:t>35 키 관리 정책 및 절차</w:t>
      </w:r>
    </w:p>
    <w:p>
      <w:pPr>
        <w:snapToGrid w:val="0"/>
      </w:pPr>
      <w:r>
        <w:rPr>
          <w:b w:val="0"/>
        </w:rPr>
        <w:t>소스상 생성 API, AES-256-GCM 저장, 복호화 사용 및 환경변수 공급 방식은 확인했습니다. 키 생성 엔트로피는 외부 API 운영기관 확인 대상이며 백업 수량, 복구시험, 교체주기, 폐기증적은 담당자 확인 필요입니다. [E07~E09]</w:t>
      </w:r>
    </w:p>
    <w:p>
      <w:pPr>
        <w:pStyle w:val="Heading2"/>
        <w:snapToGrid w:val="0"/>
      </w:pPr>
      <w:r>
        <w:t>36 키 사용 및 서명 통제</w:t>
      </w:r>
    </w:p>
    <w:p>
      <w:pPr>
        <w:snapToGrid w:val="0"/>
      </w:pPr>
      <w:r>
        <w:rPr>
          <w:b w:val="0"/>
        </w:rPr>
        <w:t>JWT 역할 및 업무조건으로 API 접근을 통제합니다. 사용자 지갑 승인에는 Long.MAX_VALUE(9223372036854775807) 고정 한도를 전달합니다. 건별 금액만 승인하는 구조가 아닙니다. 이중승인, 독립 대조, 주소 화이트리스트, 전용 서명장비 증적은 확인 필요입니다. [E07, E13]</w:t>
      </w:r>
    </w:p>
    <w:p>
      <w:pPr>
        <w:pStyle w:val="Heading2"/>
        <w:snapToGrid w:val="0"/>
      </w:pPr>
      <w:r>
        <w:t>37 키 침해 대응</w:t>
      </w:r>
    </w:p>
    <w:p>
      <w:pPr>
        <w:snapToGrid w:val="0"/>
      </w:pPr>
      <w:r>
        <w:rPr>
          <w:b w:val="0"/>
        </w:rPr>
        <w:t>키 침해 판단 기준, 대응 담당, 비상 연락망, 긴급 이전 절차 및 훈련 기록은 담당자 확인 필요입니다. 문서상 비밀키 유출 시 교체 원칙만으로 실제 절차 보유를 인정하지 않습니다.</w:t>
      </w:r>
    </w:p>
    <w:p>
      <w:pPr>
        <w:pStyle w:val="Heading2"/>
        <w:snapToGrid w:val="0"/>
      </w:pPr>
      <w:r>
        <w:t>38 온체인 연계 백엔드</w:t>
      </w:r>
    </w:p>
    <w:p>
      <w:pPr>
        <w:snapToGrid w:val="0"/>
      </w:pPr>
      <w:r>
        <w:rPr>
          <w:b w:val="0"/>
        </w:rPr>
        <w:t>부록 A와 서식5 문항 43~49 참조. 일반 리워드 경로뿐 아니라 관리자 사용자 삭제/초기화에 따른 회수와 /daegu-chain 범용 전송·승인 API도 점검범위에 포함해야 합니다. [E04, E06, E14]</w:t>
      </w:r>
    </w:p>
    <w:p>
      <w:pPr>
        <w:pStyle w:val="Heading2"/>
        <w:snapToGrid w:val="0"/>
      </w:pPr>
      <w:r>
        <w:t>39 관리자 콘솔</w:t>
      </w:r>
    </w:p>
    <w:p>
      <w:pPr>
        <w:snapToGrid w:val="0"/>
      </w:pPr>
      <w:r>
        <w:rPr>
          <w:b w:val="0"/>
        </w:rPr>
        <w:t>https://soh.thomabio.com/login 의 관리자 로그인 흐름과 /admin/**, /daegu-chain/** API를 사용합니다. ROLE_ADMIN/ROLE_SUPER_ADMIN 기반 접근통제입니다. 별도 MFA 적용·실제 보유 계정 수·승인 워크플로는 확인 필요입니다. [E13, E14]</w:t>
      </w:r>
    </w:p>
    <w:p>
      <w:pPr>
        <w:pStyle w:val="Heading2"/>
        <w:snapToGrid w:val="0"/>
      </w:pPr>
      <w:r>
        <w:t>40 프론트엔드 및 앱 설정과 서명 화면</w:t>
      </w:r>
    </w:p>
    <w:p>
      <w:pPr>
        <w:snapToGrid w:val="0"/>
      </w:pPr>
      <w:r>
        <w:rPr>
          <w:b w:val="0"/>
        </w:rPr>
        <w:t>SOH는 웹서비스이며 프론트가 백엔드 리워드 API를 호출합니다. 사용자 단말에 지갑 개인키를 저장하거나 MetaMask 등으로 거래를 서명하는 주 경로는 확인되지 않았습니다. 프론트 인증 토큰은 기준 소스에서 localStorage를 사용합니다. 외부 다대구 앱의 키보관은 운영기관 확인 대상입니다. [E11]</w:t>
      </w:r>
    </w:p>
    <w:p>
      <w:pPr>
        <w:pStyle w:val="Heading2"/>
        <w:snapToGrid w:val="0"/>
      </w:pPr>
      <w:r>
        <w:t>41 온체인 모니터링</w:t>
      </w:r>
    </w:p>
    <w:p>
      <w:pPr>
        <w:snapToGrid w:val="0"/>
      </w:pPr>
      <w:r>
        <w:rPr>
          <w:b w:val="0"/>
        </w:rPr>
        <w:t>user_reward_transaction 및 사용자 문맥의 daegu_chain_api_log 기록이 있습니다. 전용 온체인 감시, 특권함수 알림, 임계값, 24시간 대응시간은 확인되지 않았습니다. API 감사 로그를 온체인 전체 모니터링으로 기재하지 않습니다. [E15]</w:t>
      </w:r>
    </w:p>
    <w:p>
      <w:pPr>
        <w:pStyle w:val="Heading2"/>
        <w:snapToGrid w:val="0"/>
      </w:pPr>
      <w:r>
        <w:t>42 긴급 정지 및 사고 이력</w:t>
      </w:r>
    </w:p>
    <w:p>
      <w:pPr>
        <w:snapToGrid w:val="0"/>
      </w:pPr>
      <w:r>
        <w:rPr>
          <w:b w:val="0"/>
        </w:rPr>
        <w:t>USER_REWARD_TOKEN_TRANSFER_ENABLED는 정상 리워드 지급 경로의 설정이며 모든 전송·회수·관리자 프록시를 차단하는 전역 긴급정지 기능으로 입증되지 않았습니다. 전체 중지 절차와 권한, 소요시간 및 사고대장은 담당자 확인 필요입니다. [E04, E06]</w:t>
      </w:r>
    </w:p>
    <w:p>
      <w:pPr>
        <w:pStyle w:val="Heading2"/>
        <w:snapToGrid w:val="0"/>
      </w:pPr>
      <w:r>
        <w:t>43 기존 감사 및 점검</w:t>
      </w:r>
    </w:p>
    <w:p>
      <w:pPr>
        <w:snapToGrid w:val="0"/>
      </w:pPr>
      <w:r>
        <w:rPr>
          <w:b w:val="0"/>
        </w:rPr>
        <w:t>담당자 확인 필요. 기존 감사 보고서와 미조치 항목 목록은 별도 확보해야 합니다. 본 작성 작업은 취약점 진단 수행 결과가 아닙니다.</w:t>
      </w:r>
    </w:p>
    <w:p>
      <w:pPr>
        <w:pStyle w:val="Heading2"/>
        <w:snapToGrid w:val="0"/>
      </w:pPr>
      <w:r>
        <w:t>44 온체인 잔액과 내부 원장 대사</w:t>
      </w:r>
    </w:p>
    <w:p>
      <w:pPr>
        <w:snapToGrid w:val="0"/>
      </w:pPr>
      <w:r>
        <w:rPr>
          <w:b w:val="0"/>
        </w:rPr>
        <w:t>코드상 리워드 지급·회수 원장과 잔액 계산이 있습니다. 현금 결제·정산 또는 정기적인 온체인 잔액 대사 운영은 확인되지 않았습니다. 점검 범위의 결제/정산 해당 여부와 리워드 원장 대사 필요성을 협의해야 합니다. [E04]</w:t>
      </w:r>
    </w:p>
    <w:p>
      <w:pPr>
        <w:pStyle w:val="Heading2"/>
        <w:snapToGrid w:val="0"/>
      </w:pPr>
      <w:r>
        <w:t>45 증적 표본</w:t>
      </w:r>
    </w:p>
    <w:p>
      <w:pPr>
        <w:snapToGrid w:val="0"/>
      </w:pPr>
      <w:r>
        <w:rPr>
          <w:b w:val="0"/>
        </w:rPr>
        <w:t>이번 작성에서 운영 DB, 사용자 원문, 거래 표본을 추출하지 않았습니다. 점검사가 지정하는 거래에 한해 요청·전송 응답·tx/fact hash·원장·감사 로그를 연결하여 마스킹 후 준비해야 합니다. 실제 표본 제출 여부는 미확정입니다.</w:t>
      </w:r>
    </w:p>
    <w:p>
      <w:pPr>
        <w:pStyle w:val="Heading2"/>
        <w:snapToGrid w:val="0"/>
      </w:pPr>
      <w:r>
        <w:t>46 점검 환경 및 접근권</w:t>
      </w:r>
    </w:p>
    <w:p>
      <w:pPr>
        <w:snapToGrid w:val="0"/>
      </w:pPr>
      <w:r>
        <w:rPr>
          <w:b w:val="0"/>
        </w:rPr>
        <w:t>GitHub의 SOH API/프론트 저장소와 기준 commit을 특정할 수 있습니다. 읽기 전용 접근권 발급과 시험용 계정/환경 제공은 별도 협의가 필요합니다. 기존 AWS dev는 폐기 상태이며 이용 가능한 테스트넷으로 안내하지 않습니다.</w:t>
      </w:r>
    </w:p>
    <w:p>
      <w:pPr>
        <w:pStyle w:val="Heading2"/>
        <w:snapToGrid w:val="0"/>
      </w:pPr>
      <w:r>
        <w:t>47 자료반출 구분표</w:t>
      </w:r>
    </w:p>
    <w:p>
      <w:pPr>
        <w:snapToGrid w:val="0"/>
      </w:pPr>
      <w:r>
        <w:rPr>
          <w:b w:val="0"/>
        </w:rPr>
        <w:t>서식3_SOH_자료반출_구분표.docx 참조. 반출 구분은 검토안이며 실제 반출 승인 또는 외부 발송을 의미하지 않습니다.</w:t>
      </w:r>
    </w:p>
    <w:p>
      <w:pPr>
        <w:pStyle w:val="Heading1"/>
        <w:snapToGrid w:val="0"/>
      </w:pPr>
      <w:r>
        <w:t>정보시스템 점검</w:t>
      </w:r>
    </w:p>
    <w:p>
      <w:pPr>
        <w:pStyle w:val="Heading2"/>
        <w:snapToGrid w:val="0"/>
      </w:pPr>
      <w:r>
        <w:t>48 주요 시스템 상세정보</w:t>
      </w:r>
    </w:p>
    <w:p>
      <w:pPr>
        <w:snapToGrid w:val="0"/>
      </w:pPr>
      <w:r>
        <w:rPr>
          <w:b w:val="0"/>
        </w:rPr>
        <w:t>설계상 Linux(Amazon Linux 2023) EC2/ASG, Java 17/Spring Boot 3.5.16 및 내장 Tomcat, RDS MySQL(승인 구성 8.4.10), S3/CloudFront/ALB를 사용합니다. 현재 인스턴스·DB·보안장비 수량과 실행 버전은 담당자 확인 필요입니다. 전용 WAF/VPN/IDS/IPS 또는 물리 네트워크 장비 보유 여부는 미확정입니다. [E02, E09]</w:t>
      </w:r>
    </w:p>
    <w:p>
      <w:pPr>
        <w:pStyle w:val="Heading2"/>
        <w:snapToGrid w:val="0"/>
      </w:pPr>
      <w:r>
        <w:t>49 정보시스템 점검 스크립트 실행 결과</w:t>
      </w:r>
    </w:p>
    <w:p>
      <w:pPr>
        <w:snapToGrid w:val="0"/>
      </w:pPr>
      <w:r>
        <w:rPr>
          <w:b w:val="0"/>
        </w:rPr>
        <w:t>미실행. 점검기관이 제공할 스크립트와 범위·부하·민감정보 수집 여부를 검토한 뒤 별도 수행해야 합니다. 결과 파일은 이번 패키지에 없습니다.</w:t>
      </w:r>
    </w:p>
    <w:p>
      <w:pPr>
        <w:pStyle w:val="Heading2"/>
        <w:snapToGrid w:val="0"/>
      </w:pPr>
      <w:r>
        <w:t>50 네트워크 장비 설정</w:t>
      </w:r>
    </w:p>
    <w:p>
      <w:pPr>
        <w:snapToGrid w:val="0"/>
      </w:pPr>
      <w:r>
        <w:rPr>
          <w:b w:val="0"/>
        </w:rPr>
        <w:t>AWS 네트워크·보안그룹 설계는 Terraform에 있습니다. 실제 운영 Config 수집 및 드리프트 확인은 수행하지 않았습니다. 비밀값을 제거한 구성 자료의 제출 여부는 담당자 확인 필요입니다.</w:t>
      </w:r>
    </w:p>
    <w:p>
      <w:pPr>
        <w:pStyle w:val="Heading2"/>
        <w:snapToGrid w:val="0"/>
      </w:pPr>
      <w:r>
        <w:t>51 보안장비 사전 질의</w:t>
      </w:r>
    </w:p>
    <w:p>
      <w:pPr>
        <w:snapToGrid w:val="0"/>
      </w:pPr>
      <w:r>
        <w:rPr>
          <w:b w:val="0"/>
        </w:rPr>
        <w:t>후속 서식과 장비 목록이 필요합니다. 보안장비 종류·운영자·질의 회신은 담당자 확인 필요입니다.</w:t>
      </w:r>
    </w:p>
    <w:p>
      <w:pPr>
        <w:pStyle w:val="Heading1"/>
        <w:snapToGrid w:val="0"/>
      </w:pPr>
      <w:r>
        <w:t>부록 A 아키텍처와 처리 흐름</w:t>
      </w:r>
    </w:p>
    <w:p>
      <w:pPr>
        <w:snapToGrid w:val="0"/>
      </w:pPr>
      <w:r>
        <w:rPr>
          <w:b w:val="0"/>
        </w:rPr>
        <w:t>이용자 브라우저 → CloudFront 및 S3의 SOH 웹 → HTTPS API와 ALB → EC2의 SOH 백엔드 → RDS. 백엔드는 별도로 대구체인 API, 토큰 서버, DID 서버에 요청합니다. GitHub Actions → S3 배포 파일 → ASG 인스턴스 교체 경로로 앱을 배포합니다. AWS 실제 리소스 수량 및 외부 서버의 네트워크 격리는 확인 대상입니다.</w:t>
      </w:r>
    </w:p>
    <w:tbl>
      <w:tblPr>
        <w:tblW w:type="auto" w:w="0"/>
        <w:jc w:val="center"/>
        <w:tblLayout w:type="fixed"/>
        <w:tblLook w:firstColumn="1" w:firstRow="1" w:lastColumn="0" w:lastRow="0" w:noHBand="0" w:noVBand="1" w:val="04A0"/>
      </w:tblPr>
      <w:tblGrid>
        <w:gridCol w:w="1174"/>
        <w:gridCol w:w="8804"/>
      </w:tblGrid>
      <w:tr>
        <w:trPr>
          <w:cantSplit/>
          <w:tblHeader/>
        </w:trPr>
        <w:tc>
          <w:tcPr>
            <w:tcW w:type="dxa" w:w="117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4ECF2"/>
          </w:tcPr>
          <w:p>
            <w:pPr>
              <w:keepNext/>
              <w:spacing w:after="40" w:before="40" w:line="259" w:lineRule="auto"/>
            </w:pPr>
            <w:r>
              <w:rPr>
                <w:b/>
                <w:sz w:val="19"/>
              </w:rPr>
              <w:t>구분</w:t>
            </w:r>
          </w:p>
        </w:tc>
        <w:tc>
          <w:tcPr>
            <w:tcW w:type="dxa" w:w="88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4ECF2"/>
          </w:tcPr>
          <w:p>
            <w:pPr>
              <w:keepNext/>
              <w:spacing w:after="40" w:before="40" w:line="259" w:lineRule="auto"/>
            </w:pPr>
            <w:r>
              <w:rPr>
                <w:b/>
                <w:sz w:val="19"/>
              </w:rPr>
              <w:t>처리 데이터와 경계</w:t>
            </w:r>
          </w:p>
        </w:tc>
      </w:tr>
      <w:tr>
        <w:trPr>
          <w:cantSplit/>
        </w:trPr>
        <w:tc>
          <w:tcPr>
            <w:tcW w:type="dxa" w:w="117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온체인 연동</w:t>
            </w:r>
          </w:p>
        </w:tc>
        <w:tc>
          <w:tcPr>
            <w:tcW w:type="dxa" w:w="88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지갑 계정, 토큰 계약·전송·회수·승인과 DID 관련 API. 실제 체인 기록 필드와 외부 DID 서버의 원문 보관 범위는 운영기관 확인 필요.</w:t>
            </w:r>
          </w:p>
        </w:tc>
      </w:tr>
      <w:tr>
        <w:trPr>
          <w:cantSplit/>
        </w:trPr>
        <w:tc>
          <w:tcPr>
            <w:tcW w:type="dxa" w:w="117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오프체인</w:t>
            </w:r>
          </w:p>
        </w:tc>
        <w:tc>
          <w:tcPr>
            <w:tcW w:type="dxa" w:w="88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회원 인적정보·CI 해시·건강설문·구강 분석·동의·진도·로그·리워드 원장·암호화 지갑키를 SOH DB 및 연계 저장소에서 처리. 건강설문을 체인에 직접 기록하는 경로는 확인되지 않음.</w:t>
            </w:r>
          </w:p>
        </w:tc>
      </w:tr>
      <w:tr>
        <w:trPr>
          <w:cantSplit/>
        </w:trPr>
        <w:tc>
          <w:tcPr>
            <w:tcW w:type="dxa" w:w="117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신뢰 경계</w:t>
            </w:r>
          </w:p>
        </w:tc>
        <w:tc>
          <w:tcPr>
            <w:tcW w:type="dxa" w:w="88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9" w:lineRule="auto"/>
            </w:pPr>
            <w:r>
              <w:rPr>
                <w:b w:val="0"/>
                <w:sz w:val="19"/>
              </w:rPr>
              <w:t>다대구 인증결과, 외부 토큰 API 응답, 대구체인 상태와 GitHub/AWS 운영권한을 신뢰하는 구조. 외부의 잘못된 응답이 내부 원장·인증에 영향을 줄 수 있음.</w:t>
            </w:r>
          </w:p>
        </w:tc>
      </w:tr>
    </w:tbl>
    <w:p>
      <w:pPr>
        <w:spacing w:after="40"/>
        <w:snapToGrid w:val="0"/>
      </w:pPr>
    </w:p>
    <w:p>
      <w:pPr>
        <w:snapToGrid w:val="0"/>
      </w:pPr>
      <w:r>
        <w:rPr>
          <w:b w:val="0"/>
        </w:rPr>
        <w:t>리워드 지급: 로그인 사용자 식별 → 콘텐츠·버튼 요청 및 선행 조건 확인 → 기존 보상/멱등키 확인 → 내부 거래 생성 → 저장된 사용자 지갑주소로 /token/transfer 호출 → 응답 기준 성공/실패 기록 → 성공 시 회수권한 승인 시도 → 내부 잔액 반영. 승인만 실패한 경우 전송 성공 기록을 유지하고 승인 재확인을 후속 회수에서 수행합니다. [E04, E07]</w:t>
      </w:r>
    </w:p>
    <w:p>
      <w:pPr>
        <w:snapToGrid w:val="0"/>
      </w:pPr>
      <w:r>
        <w:rPr>
          <w:b w:val="0"/>
        </w:rPr>
        <w:t>리워드 회수: 사용자 회수 요청 또는 관리자 삭제/초기화 → 미회수 지급이력·지갑·owner·계약 확인 → 필요 시 approve → /token/retrieve 호출 → 회수 상태 및 잔액 반영. 삭제/초기화의 회수 실패는 데이터 삭제를 차단합니다. 일부 회수 성공 뒤 실패할 수 있으므로 이미 실행된 체인 거래를 DB rollback과 동일하게 취급하지 않습니다. [E04, E14]</w:t>
      </w:r>
    </w:p>
    <w:p>
      <w:pPr>
        <w:snapToGrid w:val="0"/>
      </w:pPr>
      <w:r>
        <w:rPr>
          <w:b w:val="0"/>
        </w:rPr>
        <w:t>키와 서명: 대구체인 계정 생성 응답의 개인키 → SOH 프로세스 메모리 → AES-256-GCM 암호문 DB 저장. 승인 시 SOH가 복호화한 holder_pkey를 외부 체인 API에 전달하며 회수 시 owner 개인키를 토큰 서버에 전달합니다. 외부 서버 내부의 실제 서명·키 저장·격리 설계는 별도 점검 대상입니다. Java String 평문 메모리의 즉시 완전 삭제를 보장하는 구현은 확인되지 않았습니다. [E07, E08]</w:t>
      </w:r>
    </w:p>
    <w:p>
      <w:pPr>
        <w:pStyle w:val="Heading1"/>
        <w:snapToGrid w:val="0"/>
      </w:pPr>
      <w:r>
        <w:t>부록 B 제출 전 확인할 보안 사실</w:t>
      </w:r>
    </w:p>
    <w:p>
      <w:pPr>
        <w:snapToGrid w:val="0"/>
      </w:pPr>
      <w:r>
        <w:rPr>
          <w:b w:val="0"/>
        </w:rPr>
        <w:t>승인 한도는 Long.MAX_VALUE 고정값입니다. 실제 allowance 단위·owner 권한·사용자 고지 및 승인 범위 확인이 필요합니다.</w:t>
      </w:r>
    </w:p>
    <w:p>
      <w:pPr>
        <w:snapToGrid w:val="0"/>
      </w:pPr>
      <w:r>
        <w:rPr>
          <w:b w:val="0"/>
        </w:rPr>
        <w:t>외부 DID/토큰 서버의 소스 기본 URL은 HTTP입니다. 실운영 override의 TLS 및 사설통신 보호 여부를 확인하기 전 전 구간 암호화로 표시할 수 없습니다.</w:t>
      </w:r>
    </w:p>
    <w:p>
      <w:pPr>
        <w:snapToGrid w:val="0"/>
      </w:pPr>
      <w:r>
        <w:rPr>
          <w:b w:val="0"/>
        </w:rPr>
        <w:t>기준 프론트 코드가 access/refresh token을 localStorage에서 취급합니다. README의 HttpOnly cookie 설명과 일치하지 않아 실제 배포 기준으로 재확인이 필요합니다.</w:t>
      </w:r>
    </w:p>
    <w:p>
      <w:pPr>
        <w:snapToGrid w:val="0"/>
      </w:pPr>
      <w:r>
        <w:rPr>
          <w:b w:val="0"/>
        </w:rPr>
        <w:t>일반 관리자도 보안 필터상 /admin/daegu-chain/token/create 접근 대상입니다. 관리자 UI의 메뉴 숨김을 API 권한 제한으로 간주하지 않습니다.</w:t>
      </w:r>
    </w:p>
    <w:p>
      <w:pPr>
        <w:snapToGrid w:val="0"/>
      </w:pPr>
      <w:r>
        <w:rPr>
          <w:b w:val="0"/>
        </w:rPr>
        <w:t>멱등키/거래이력은 중복 방지 수단이지만 외부 전송 성공 후 통신단절·DB 실패의 정확히 한 번 처리, 체인 finality 및 reorg 대사까지 보장하는 근거는 없습니다.</w:t>
      </w:r>
    </w:p>
    <w:p>
      <w:pPr>
        <w:snapToGrid w:val="0"/>
      </w:pPr>
      <w:r>
        <w:rPr>
          <w:b w:val="0"/>
        </w:rPr>
        <w:t>감사 로그는 userId가 있는 실행 문맥에서 저장됩니다. 모든 관리자 프록시 호출 또는 외부 체인 특권 작업이 기록되는지 별도 확인해야 합니다.</w:t>
      </w:r>
    </w:p>
    <w:p>
      <w:pPr>
        <w:snapToGrid w:val="0"/>
      </w:pPr>
      <w:r>
        <w:rPr>
          <w:b w:val="0"/>
        </w:rPr>
        <w:t>다대구 callback의 RSA 복호화와 일회용 온보딩 토큰은 확인되지만, 외부 발급자 서명·nonce·재전송 방지의 종단간 보장은 별도 확인 대상입니다.</w:t>
      </w:r>
    </w:p>
    <w:p>
      <w:pPr>
        <w:pStyle w:val="Heading1"/>
        <w:snapToGrid w:val="0"/>
      </w:pPr>
      <w:r>
        <w:t>부록 C 확인 근거</w:t>
      </w:r>
    </w:p>
    <w:p>
      <w:pPr>
        <w:snapToGrid w:val="0"/>
      </w:pPr>
      <w:r>
        <w:rPr>
          <w:b w:val="0"/>
        </w:rPr>
        <w:t>백엔드 기준 commit: 0ee63d1d4d6ac9701a62f29bc9e76bd858681861</w:t>
      </w:r>
    </w:p>
    <w:p>
      <w:pPr>
        <w:snapToGrid w:val="0"/>
      </w:pPr>
      <w:r>
        <w:rPr>
          <w:b w:val="0"/>
        </w:rPr>
        <w:t>프론트엔드 기준 commit: 7b7b136487306f10a037d668e311b33297637165</w:t>
      </w:r>
    </w:p>
    <w:p>
      <w:pPr>
        <w:snapToGrid w:val="0"/>
      </w:pPr>
      <w:r>
        <w:rPr>
          <w:b w:val="0"/>
        </w:rPr>
        <w:t>로컬의 미커밋 사용자 수정은 반영하지 않았습니다. AWS Secret, 운영 DB, 실제 지갑주소, 인원·권한 명단 및 외부 노드 설정을 조회하지 않았습니다. 본 문서 작성으로 앱 코드나 운영 설정을 변경하지 않았습니다.</w:t>
      </w:r>
    </w:p>
    <w:p>
      <w:pPr>
        <w:snapToGrid w:val="0"/>
      </w:pPr>
      <w:r>
        <w:rPr>
          <w:b w:val="0"/>
        </w:rPr>
        <w:t>E01  README.md; AGENTS.md (운영 URL·배포 기준 및 문서 규칙)</w:t>
      </w:r>
    </w:p>
    <w:p>
      <w:pPr>
        <w:snapToGrid w:val="0"/>
      </w:pPr>
      <w:r>
        <w:rPr>
          <w:b w:val="0"/>
        </w:rPr>
        <w:t>E02  api_server/build.gradle; infra/terraform/modules/ (애플리케이션 및 인프라 구성)</w:t>
      </w:r>
    </w:p>
    <w:p>
      <w:pPr>
        <w:snapToGrid w:val="0"/>
      </w:pPr>
      <w:r>
        <w:rPr>
          <w:b w:val="0"/>
        </w:rPr>
        <w:t>E03  api_server/src/main/java/com/kaii/dentix/domain/intakeSurvey/; api_server/src/main/resources/template/intake-survey.json</w:t>
      </w:r>
    </w:p>
    <w:p>
      <w:pPr>
        <w:snapToGrid w:val="0"/>
      </w:pPr>
      <w:r>
        <w:rPr>
          <w:b w:val="0"/>
        </w:rPr>
        <w:t>E04  api_server/src/main/java/com/kaii/dentix/domain/reward/application/UserRewardService.java; UserRewardReclaimService.java; domain/UserRewardTransaction.java; domain/OralExerciseRewardToken.java</w:t>
      </w:r>
    </w:p>
    <w:p>
      <w:pPr>
        <w:snapToGrid w:val="0"/>
      </w:pPr>
      <w:r>
        <w:rPr>
          <w:b w:val="0"/>
        </w:rPr>
        <w:t>E05  api_server/src/main/java/com/kaii/dentix/domain/daeguChain/config/DaeguChainProperties.java</w:t>
      </w:r>
    </w:p>
    <w:p>
      <w:pPr>
        <w:snapToGrid w:val="0"/>
      </w:pPr>
      <w:r>
        <w:rPr>
          <w:b w:val="0"/>
        </w:rPr>
        <w:t>E06  api_server/src/main/java/com/kaii/dentix/domain/daeguChain/controller/; client/ExternalTokenClient.java; client/DaeguChainClient.java</w:t>
      </w:r>
    </w:p>
    <w:p>
      <w:pPr>
        <w:snapToGrid w:val="0"/>
      </w:pPr>
      <w:r>
        <w:rPr>
          <w:b w:val="0"/>
        </w:rPr>
        <w:t>E07  api_server/src/main/java/com/kaii/dentix/domain/daeguChain/application/DaeguRewardWalletProvisioningService.java; DaeguWalletPrivateKeyCipher.java</w:t>
      </w:r>
    </w:p>
    <w:p>
      <w:pPr>
        <w:snapToGrid w:val="0"/>
      </w:pPr>
      <w:r>
        <w:rPr>
          <w:b w:val="0"/>
        </w:rPr>
        <w:t>E08  api_server/src/main/java/com/kaii/dentix/domain/reward/domain/UserRewardWallet.java; .github/workflows/deploy-api-prod.yml</w:t>
      </w:r>
    </w:p>
    <w:p>
      <w:pPr>
        <w:snapToGrid w:val="0"/>
      </w:pPr>
      <w:r>
        <w:rPr>
          <w:b w:val="0"/>
        </w:rPr>
        <w:t>E09  infra/terraform/modules/rds/main.tf; modules/security/main.tf; modules/launch_template/user_data.sh.tpl; .github/workflows/deploy-api-prod.yml</w:t>
      </w:r>
    </w:p>
    <w:p>
      <w:pPr>
        <w:snapToGrid w:val="0"/>
      </w:pPr>
      <w:r>
        <w:rPr>
          <w:b w:val="0"/>
        </w:rPr>
        <w:t>E10  api_server/src/main/java/com/kaii/dentix/domain/user/domain/User.java; DadaeguUserIdentity.java; application/DadaeguLoginService.java; DadaeguSignupSessionService.java</w:t>
      </w:r>
    </w:p>
    <w:p>
      <w:pPr>
        <w:snapToGrid w:val="0"/>
      </w:pPr>
      <w:r>
        <w:rPr>
          <w:b w:val="0"/>
        </w:rPr>
        <w:t>E11  프론트 src/routes/index.tsx; src/api/api.ts; src/api/rewards.ts; src/pages/User/RegisterForm.tsx; DadaeguSignUp.tsx</w:t>
      </w:r>
    </w:p>
    <w:p>
      <w:pPr>
        <w:snapToGrid w:val="0"/>
      </w:pPr>
      <w:r>
        <w:rPr>
          <w:b w:val="0"/>
        </w:rPr>
        <w:t>E12  api_server/src/test/java/com/kaii/dentix/domain/reward/; domain/daeguChain/; domain/intakeSurvey/; global/config/WebSecurityConfigTest.java</w:t>
      </w:r>
    </w:p>
    <w:p>
      <w:pPr>
        <w:snapToGrid w:val="0"/>
      </w:pPr>
      <w:r>
        <w:rPr>
          <w:b w:val="0"/>
        </w:rPr>
        <w:t>E13  api_server/src/main/java/com/kaii/dentix/global/config/WebSecurityConfig.java; domain/admin/controller/AdminDaeguChainTokenController.java</w:t>
      </w:r>
    </w:p>
    <w:p>
      <w:pPr>
        <w:snapToGrid w:val="0"/>
      </w:pPr>
      <w:r>
        <w:rPr>
          <w:b w:val="0"/>
        </w:rPr>
        <w:t>E14  api_server/src/main/java/com/kaii/dentix/domain/admin/application/AdminUserService.java; AdminDaeguChainTokenService.java</w:t>
      </w:r>
    </w:p>
    <w:p>
      <w:pPr>
        <w:snapToGrid w:val="0"/>
      </w:pPr>
      <w:r>
        <w:rPr>
          <w:b w:val="0"/>
        </w:rPr>
        <w:t>E15  api_server/src/main/java/com/kaii/dentix/domain/daeguChain/application/DaeguChainApiAuditService.java; domain/DaeguChainApiLog.java</w:t>
      </w:r>
    </w:p>
    <w:p>
      <w:pPr>
        <w:snapToGrid w:val="0"/>
      </w:pPr>
      <w:r>
        <w:rPr>
          <w:b w:val="0"/>
        </w:rPr>
        <w:t>P01  대구시 대구체인 공식 안내 https://daegu.go.kr/daeguchain 및 다대구 소개 /dadaegu/dadaegu</w:t>
      </w:r>
    </w:p>
    <w:p>
      <w:pPr>
        <w:snapToGrid w:val="0"/>
      </w:pPr>
      <w:r>
        <w:rPr>
          <w:b w:val="0"/>
        </w:rPr>
        <w:t>P02  KISA 2023 블록체인 솔루션 기업 편람의 미텀 소개. 기반 기술의 허가형 설명이며 현재 운영망 파라미터의 직접 증거는 아님. https://blockchain.kisa.or.kr/file/2023_블록체인_솔루션_기업_편람.pdf</w:t>
      </w:r>
    </w:p>
    <w:sectPr w:rsidR="00FC693F" w:rsidRPr="0006063C" w:rsidSect="00034616">
      <w:footerReference w:type="default" r:id="rId9"/>
      <w:pgSz w:w="11906" w:h="16838"/>
      <w:pgMar w:top="964" w:right="964" w:bottom="964" w:left="9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SOH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100" w:line="271" w:lineRule="auto"/>
    </w:pPr>
    <w:rPr>
      <w:rFonts w:ascii="맑은 고딕" w:hAnsi="맑은 고딕" w:eastAsia="맑은 고딕"/>
      <w:color w:val="000000"/>
      <w:sz w:val="21"/>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00" w:line="271" w:lineRule="auto"/>
    </w:pPr>
    <w:rPr>
      <w:rFonts w:ascii="맑은 고딕" w:hAnsi="맑은 고딕" w:eastAsia="맑은 고딕"/>
      <w:color w:val="000000"/>
      <w:sz w:val="21"/>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71" w:lineRule="auto"/>
      <w:outlineLvl w:val="0"/>
    </w:pPr>
    <w:rPr>
      <w:rFonts w:asciiTheme="majorHAnsi" w:eastAsiaTheme="majorEastAsia" w:hAnsiTheme="majorHAnsi" w:cstheme="majorBidi" w:ascii="맑은 고딕" w:hAnsi="맑은 고딕" w:eastAsia="맑은 고딕"/>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line="271" w:lineRule="auto"/>
      <w:outlineLvl w:val="1"/>
    </w:pPr>
    <w:rPr>
      <w:rFonts w:asciiTheme="majorHAnsi" w:eastAsiaTheme="majorEastAsia" w:hAnsiTheme="majorHAnsi" w:cstheme="majorBidi" w:ascii="맑은 고딕" w:hAnsi="맑은 고딕" w:eastAsia="맑은 고딕"/>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line="271" w:lineRule="auto"/>
      <w:outlineLvl w:val="2"/>
    </w:pPr>
    <w:rPr>
      <w:rFonts w:asciiTheme="majorHAnsi" w:eastAsiaTheme="majorEastAsia" w:hAnsiTheme="majorHAnsi" w:cstheme="majorBidi" w:ascii="맑은 고딕" w:hAnsi="맑은 고딕" w:eastAsia="맑은 고딕"/>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100" w:line="271" w:lineRule="auto"/>
      <w:outlineLvl w:val="3"/>
    </w:pPr>
    <w:rPr>
      <w:rFonts w:asciiTheme="majorHAnsi" w:eastAsiaTheme="majorEastAsia" w:hAnsiTheme="majorHAnsi" w:cstheme="majorBidi" w:ascii="맑은 고딕" w:hAnsi="맑은 고딕" w:eastAsia="맑은 고딕"/>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100" w:line="271" w:lineRule="auto"/>
      <w:outlineLvl w:val="4"/>
    </w:pPr>
    <w:rPr>
      <w:rFonts w:asciiTheme="majorHAnsi" w:eastAsiaTheme="majorEastAsia" w:hAnsiTheme="majorHAnsi" w:cstheme="majorBidi" w:ascii="맑은 고딕" w:hAnsi="맑은 고딕" w:eastAsia="맑은 고딕"/>
      <w:color w:val="000000"/>
      <w:sz w:val="21"/>
    </w:rPr>
  </w:style>
  <w:style w:type="paragraph" w:styleId="Heading6">
    <w:name w:val="heading 6"/>
    <w:basedOn w:val="Normal"/>
    <w:next w:val="Normal"/>
    <w:link w:val="Heading6Char"/>
    <w:uiPriority w:val="9"/>
    <w:semiHidden/>
    <w:unhideWhenUsed/>
    <w:qFormat/>
    <w:rsid w:val="00FC693F"/>
    <w:pPr>
      <w:keepNext/>
      <w:keepLines/>
      <w:spacing w:before="200" w:after="100" w:line="271" w:lineRule="auto"/>
      <w:outlineLvl w:val="5"/>
    </w:pPr>
    <w:rPr>
      <w:rFonts w:asciiTheme="majorHAnsi" w:eastAsiaTheme="majorEastAsia" w:hAnsiTheme="majorHAnsi" w:cstheme="majorBidi" w:ascii="맑은 고딕" w:hAnsi="맑은 고딕" w:eastAsia="맑은 고딕"/>
      <w:i/>
      <w:iCs/>
      <w:color w:val="000000"/>
      <w:sz w:val="21"/>
    </w:rPr>
  </w:style>
  <w:style w:type="paragraph" w:styleId="Heading7">
    <w:name w:val="heading 7"/>
    <w:basedOn w:val="Normal"/>
    <w:next w:val="Normal"/>
    <w:link w:val="Heading7Char"/>
    <w:uiPriority w:val="9"/>
    <w:semiHidden/>
    <w:unhideWhenUsed/>
    <w:qFormat/>
    <w:rsid w:val="00FC693F"/>
    <w:pPr>
      <w:keepNext/>
      <w:keepLines/>
      <w:spacing w:before="200" w:after="100" w:line="271" w:lineRule="auto"/>
      <w:outlineLvl w:val="6"/>
    </w:pPr>
    <w:rPr>
      <w:rFonts w:asciiTheme="majorHAnsi" w:eastAsiaTheme="majorEastAsia" w:hAnsiTheme="majorHAnsi" w:cstheme="majorBidi" w:ascii="맑은 고딕" w:hAnsi="맑은 고딕" w:eastAsia="맑은 고딕"/>
      <w:i/>
      <w:iCs/>
      <w:color w:val="000000"/>
      <w:sz w:val="21"/>
    </w:rPr>
  </w:style>
  <w:style w:type="paragraph" w:styleId="Heading8">
    <w:name w:val="heading 8"/>
    <w:basedOn w:val="Normal"/>
    <w:next w:val="Normal"/>
    <w:link w:val="Heading8Char"/>
    <w:uiPriority w:val="9"/>
    <w:semiHidden/>
    <w:unhideWhenUsed/>
    <w:qFormat/>
    <w:rsid w:val="00FC693F"/>
    <w:pPr>
      <w:keepNext/>
      <w:keepLines/>
      <w:spacing w:before="200" w:after="100" w:line="271" w:lineRule="auto"/>
      <w:outlineLvl w:val="7"/>
    </w:pPr>
    <w:rPr>
      <w:rFonts w:asciiTheme="majorHAnsi" w:eastAsiaTheme="majorEastAsia" w:hAnsiTheme="majorHAnsi" w:cstheme="majorBidi" w:ascii="맑은 고딕" w:hAnsi="맑은 고딕" w:eastAsia="맑은 고딕"/>
      <w:color w:val="000000"/>
      <w:sz w:val="21"/>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71" w:lineRule="auto"/>
      <w:outlineLvl w:val="8"/>
    </w:pPr>
    <w:rPr>
      <w:rFonts w:asciiTheme="majorHAnsi" w:eastAsiaTheme="majorEastAsia" w:hAnsiTheme="majorHAnsi" w:cstheme="majorBidi" w:ascii="맑은 고딕" w:hAnsi="맑은 고딕" w:eastAsia="맑은 고딕"/>
      <w:i/>
      <w:iCs/>
      <w:color w:val="000000"/>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71" w:lineRule="auto"/>
    </w:pPr>
    <w:rPr>
      <w:rFonts w:ascii="맑은 고딕" w:hAnsi="맑은 고딕" w:eastAsia="맑은 고딕"/>
      <w:color w:val="000000"/>
      <w:sz w:val="21"/>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71" w:lineRule="auto" w:before="200"/>
      <w:contextualSpacing/>
    </w:pPr>
    <w:rPr>
      <w:rFonts w:asciiTheme="majorHAnsi" w:eastAsiaTheme="majorEastAsia" w:hAnsiTheme="majorHAnsi" w:cstheme="majorBidi" w:ascii="맑은 고딕" w:hAnsi="맑은 고딕" w:eastAsia="맑은 고딕"/>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71" w:lineRule="auto"/>
    </w:pPr>
    <w:rPr>
      <w:rFonts w:asciiTheme="majorHAnsi" w:eastAsiaTheme="majorEastAsia" w:hAnsiTheme="majorHAnsi" w:cstheme="majorBidi" w:ascii="맑은 고딕" w:hAnsi="맑은 고딕" w:eastAsia="맑은 고딕"/>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00" w:line="271" w:lineRule="auto"/>
      <w:ind w:left="720"/>
      <w:contextualSpacing/>
    </w:pPr>
    <w:rPr>
      <w:rFonts w:ascii="맑은 고딕" w:hAnsi="맑은 고딕" w:eastAsia="맑은 고딕"/>
      <w:color w:val="000000"/>
      <w:sz w:val="21"/>
    </w:rPr>
  </w:style>
  <w:style w:type="paragraph" w:styleId="BodyText">
    <w:name w:val="Body Text"/>
    <w:basedOn w:val="Normal"/>
    <w:link w:val="BodyTextChar"/>
    <w:uiPriority w:val="99"/>
    <w:unhideWhenUsed/>
    <w:rsid w:val="00AA1D8D"/>
    <w:pPr>
      <w:spacing w:after="100" w:line="271" w:lineRule="auto"/>
    </w:pPr>
    <w:rPr>
      <w:rFonts w:ascii="맑은 고딕" w:hAnsi="맑은 고딕" w:eastAsia="맑은 고딕"/>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00" w:line="271" w:lineRule="auto"/>
    </w:pPr>
    <w:rPr>
      <w:rFonts w:ascii="맑은 고딕" w:hAnsi="맑은 고딕" w:eastAsia="맑은 고딕"/>
      <w:color w:val="000000"/>
      <w:sz w:val="21"/>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00" w:line="271" w:lineRule="auto"/>
    </w:pPr>
    <w:rPr>
      <w:rFonts w:ascii="맑은 고딕" w:hAnsi="맑은 고딕" w:eastAsia="맑은 고딕"/>
      <w:color w:val="000000"/>
      <w:sz w:val="21"/>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00" w:line="271" w:lineRule="auto"/>
      <w:ind w:left="360" w:hanging="360"/>
      <w:contextualSpacing/>
    </w:pPr>
    <w:rPr>
      <w:rFonts w:ascii="맑은 고딕" w:hAnsi="맑은 고딕" w:eastAsia="맑은 고딕"/>
      <w:color w:val="000000"/>
      <w:sz w:val="21"/>
    </w:rPr>
  </w:style>
  <w:style w:type="paragraph" w:styleId="List2">
    <w:name w:val="List 2"/>
    <w:basedOn w:val="Normal"/>
    <w:uiPriority w:val="99"/>
    <w:unhideWhenUsed/>
    <w:rsid w:val="00326F90"/>
    <w:pPr>
      <w:spacing w:after="100" w:line="271" w:lineRule="auto"/>
      <w:ind w:left="720" w:hanging="360"/>
      <w:contextualSpacing/>
    </w:pPr>
    <w:rPr>
      <w:rFonts w:ascii="맑은 고딕" w:hAnsi="맑은 고딕" w:eastAsia="맑은 고딕"/>
      <w:color w:val="000000"/>
      <w:sz w:val="21"/>
    </w:rPr>
  </w:style>
  <w:style w:type="paragraph" w:styleId="List3">
    <w:name w:val="List 3"/>
    <w:basedOn w:val="Normal"/>
    <w:uiPriority w:val="99"/>
    <w:unhideWhenUsed/>
    <w:rsid w:val="00326F90"/>
    <w:pPr>
      <w:spacing w:after="100" w:line="271" w:lineRule="auto"/>
      <w:ind w:left="1080" w:hanging="360"/>
      <w:contextualSpacing/>
    </w:pPr>
    <w:rPr>
      <w:rFonts w:ascii="맑은 고딕" w:hAnsi="맑은 고딕" w:eastAsia="맑은 고딕"/>
      <w:color w:val="000000"/>
      <w:sz w:val="21"/>
    </w:rPr>
  </w:style>
  <w:style w:type="paragraph" w:styleId="ListBullet">
    <w:name w:val="List Bullet"/>
    <w:basedOn w:val="Normal"/>
    <w:uiPriority w:val="99"/>
    <w:unhideWhenUsed/>
    <w:rsid w:val="00326F90"/>
    <w:pPr>
      <w:numPr>
        <w:numId w:val="1"/>
      </w:numPr>
      <w:spacing w:after="100" w:line="271" w:lineRule="auto"/>
      <w:contextualSpacing/>
    </w:pPr>
    <w:rPr>
      <w:rFonts w:ascii="맑은 고딕" w:hAnsi="맑은 고딕" w:eastAsia="맑은 고딕"/>
      <w:color w:val="000000"/>
      <w:sz w:val="21"/>
    </w:rPr>
  </w:style>
  <w:style w:type="paragraph" w:styleId="ListBullet2">
    <w:name w:val="List Bullet 2"/>
    <w:basedOn w:val="Normal"/>
    <w:uiPriority w:val="99"/>
    <w:unhideWhenUsed/>
    <w:rsid w:val="00326F90"/>
    <w:pPr>
      <w:numPr>
        <w:numId w:val="2"/>
      </w:numPr>
      <w:spacing w:after="100" w:line="271" w:lineRule="auto"/>
      <w:contextualSpacing/>
    </w:pPr>
    <w:rPr>
      <w:rFonts w:ascii="맑은 고딕" w:hAnsi="맑은 고딕" w:eastAsia="맑은 고딕"/>
      <w:color w:val="000000"/>
      <w:sz w:val="21"/>
    </w:rPr>
  </w:style>
  <w:style w:type="paragraph" w:styleId="ListBullet3">
    <w:name w:val="List Bullet 3"/>
    <w:basedOn w:val="Normal"/>
    <w:uiPriority w:val="99"/>
    <w:unhideWhenUsed/>
    <w:rsid w:val="00326F90"/>
    <w:pPr>
      <w:numPr>
        <w:numId w:val="3"/>
      </w:numPr>
      <w:spacing w:after="100" w:line="271" w:lineRule="auto"/>
      <w:contextualSpacing/>
    </w:pPr>
    <w:rPr>
      <w:rFonts w:ascii="맑은 고딕" w:hAnsi="맑은 고딕" w:eastAsia="맑은 고딕"/>
      <w:color w:val="000000"/>
      <w:sz w:val="21"/>
    </w:rPr>
  </w:style>
  <w:style w:type="paragraph" w:styleId="ListNumber">
    <w:name w:val="List Number"/>
    <w:basedOn w:val="Normal"/>
    <w:uiPriority w:val="99"/>
    <w:unhideWhenUsed/>
    <w:rsid w:val="00326F90"/>
    <w:pPr>
      <w:numPr>
        <w:numId w:val="5"/>
      </w:numPr>
      <w:spacing w:after="100" w:line="271" w:lineRule="auto"/>
      <w:contextualSpacing/>
    </w:pPr>
    <w:rPr>
      <w:rFonts w:ascii="맑은 고딕" w:hAnsi="맑은 고딕" w:eastAsia="맑은 고딕"/>
      <w:color w:val="000000"/>
      <w:sz w:val="21"/>
    </w:rPr>
  </w:style>
  <w:style w:type="paragraph" w:styleId="ListNumber2">
    <w:name w:val="List Number 2"/>
    <w:basedOn w:val="Normal"/>
    <w:uiPriority w:val="99"/>
    <w:unhideWhenUsed/>
    <w:rsid w:val="0029639D"/>
    <w:pPr>
      <w:numPr>
        <w:numId w:val="6"/>
      </w:numPr>
      <w:spacing w:after="100" w:line="271" w:lineRule="auto"/>
      <w:contextualSpacing/>
    </w:pPr>
    <w:rPr>
      <w:rFonts w:ascii="맑은 고딕" w:hAnsi="맑은 고딕" w:eastAsia="맑은 고딕"/>
      <w:color w:val="000000"/>
      <w:sz w:val="21"/>
    </w:rPr>
  </w:style>
  <w:style w:type="paragraph" w:styleId="ListNumber3">
    <w:name w:val="List Number 3"/>
    <w:basedOn w:val="Normal"/>
    <w:uiPriority w:val="99"/>
    <w:unhideWhenUsed/>
    <w:rsid w:val="0029639D"/>
    <w:pPr>
      <w:numPr>
        <w:numId w:val="7"/>
      </w:numPr>
      <w:spacing w:after="100" w:line="271" w:lineRule="auto"/>
      <w:contextualSpacing/>
    </w:pPr>
    <w:rPr>
      <w:rFonts w:ascii="맑은 고딕" w:hAnsi="맑은 고딕" w:eastAsia="맑은 고딕"/>
      <w:color w:val="000000"/>
      <w:sz w:val="21"/>
    </w:rPr>
  </w:style>
  <w:style w:type="paragraph" w:styleId="ListContinue">
    <w:name w:val="List Continue"/>
    <w:basedOn w:val="Normal"/>
    <w:uiPriority w:val="99"/>
    <w:unhideWhenUsed/>
    <w:rsid w:val="0029639D"/>
    <w:pPr>
      <w:spacing w:after="100" w:line="271" w:lineRule="auto"/>
      <w:ind w:left="360"/>
      <w:contextualSpacing/>
    </w:pPr>
    <w:rPr>
      <w:rFonts w:ascii="맑은 고딕" w:hAnsi="맑은 고딕" w:eastAsia="맑은 고딕"/>
      <w:color w:val="000000"/>
      <w:sz w:val="21"/>
    </w:rPr>
  </w:style>
  <w:style w:type="paragraph" w:styleId="ListContinue2">
    <w:name w:val="List Continue 2"/>
    <w:basedOn w:val="Normal"/>
    <w:uiPriority w:val="99"/>
    <w:unhideWhenUsed/>
    <w:rsid w:val="0029639D"/>
    <w:pPr>
      <w:spacing w:after="100" w:line="271" w:lineRule="auto"/>
      <w:ind w:left="720"/>
      <w:contextualSpacing/>
    </w:pPr>
    <w:rPr>
      <w:rFonts w:ascii="맑은 고딕" w:hAnsi="맑은 고딕" w:eastAsia="맑은 고딕"/>
      <w:color w:val="000000"/>
      <w:sz w:val="21"/>
    </w:rPr>
  </w:style>
  <w:style w:type="paragraph" w:styleId="ListContinue3">
    <w:name w:val="List Continue 3"/>
    <w:basedOn w:val="Normal"/>
    <w:uiPriority w:val="99"/>
    <w:unhideWhenUsed/>
    <w:rsid w:val="0029639D"/>
    <w:pPr>
      <w:spacing w:after="100" w:line="271" w:lineRule="auto"/>
      <w:ind w:left="1080"/>
      <w:contextualSpacing/>
    </w:pPr>
    <w:rPr>
      <w:rFonts w:ascii="맑은 고딕" w:hAnsi="맑은 고딕" w:eastAsia="맑은 고딕"/>
      <w:color w:val="000000"/>
      <w:sz w:val="21"/>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00" w:line="271" w:lineRule="auto"/>
    </w:pPr>
    <w:rPr>
      <w:rFonts w:ascii="맑은 고딕" w:hAnsi="맑은 고딕" w:eastAsia="맑은 고딕"/>
      <w:color w:val="000000"/>
      <w:sz w:val="21"/>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00" w:line="271" w:lineRule="auto"/>
    </w:pPr>
    <w:rPr>
      <w:rFonts w:ascii="맑은 고딕" w:hAnsi="맑은 고딕" w:eastAsia="맑은 고딕"/>
      <w:i/>
      <w:iCs/>
      <w:color w:val="000000"/>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1" w:lineRule="auto" w:after="100"/>
    </w:pPr>
    <w:rPr>
      <w:rFonts w:ascii="맑은 고딕" w:hAnsi="맑은 고딕" w:eastAsia="맑은 고딕"/>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00" w:line="271" w:lineRule="auto"/>
      <w:ind w:left="936" w:right="936"/>
    </w:pPr>
    <w:rPr>
      <w:rFonts w:ascii="맑은 고딕" w:hAnsi="맑은 고딕" w:eastAsia="맑은 고딕"/>
      <w:b/>
      <w:bCs/>
      <w:i/>
      <w:iCs/>
      <w:color w:val="000000"/>
      <w:sz w:val="2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00" w:line="271" w:lineRule="auto"/>
      <w:outlineLvl w:val="9"/>
    </w:pPr>
    <w:rPr>
      <w:rFonts w:ascii="맑은 고딕" w:hAnsi="맑은 고딕" w:eastAsia="맑은 고딕"/>
      <w:color w:val="000000"/>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SOH 사전 요청자료 항목별 작성본</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