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00" w:lineRule="exact"/>
        <w:snapToGrid w:val="0"/>
      </w:pPr>
      <w:r>
        <w:t>SOH 가입 기관과 약관 연결 수정</w:t>
      </w:r>
    </w:p>
    <w:p>
      <w:pPr>
        <w:spacing w:line="300" w:lineRule="exact"/>
        <w:snapToGrid w:val="0"/>
      </w:pPr>
      <w:r>
        <w:t>2026년 9월 30일  |  기준 API cc52614d  Frontend 839a0d6  |  prod</w:t>
      </w:r>
    </w:p>
    <w:p>
      <w:pPr>
        <w:spacing w:line="300" w:lineRule="exact"/>
        <w:snapToGrid w:val="0"/>
      </w:pPr>
      <w:r>
        <w:t>사용자 요청에 따라 일반 가입과 다대구 가입의 기관 목록 맨 위에 소하성당을 추가했습니다. 서버에서도 같은 기관을 허용합니다. 서비스 이용약관 API에는 S3 문서 주소가 있었지만 화면은 체크박스 문구만 표시하고 있어, 약관 제목을 누르면 문서를 새 창으로 여는 연결을 추가했습니다.</w:t>
      </w:r>
    </w:p>
    <w:p>
      <w:pPr>
        <w:pStyle w:val="Heading1"/>
        <w:spacing w:line="300" w:lineRule="exact"/>
        <w:snapToGrid w:val="0"/>
      </w:pPr>
      <w:r>
        <w:t>변경 범위</w:t>
      </w:r>
    </w:p>
    <w:p>
      <w:pPr>
        <w:spacing w:line="300" w:lineRule="exact"/>
        <w:snapToGrid w:val="0"/>
      </w:pPr>
      <w:r>
        <w:t>API의 UserDto.java에서 일반·호환 DID·다대구 가입 요청의 realOrganization 허용값에 소하성당을 추가했습니다. 기존 대구1·대구2·대구3·기타_천안 허용값과 필수 검증을 유지하며, 선택값은 기존 user.real_organization에 저장합니다. UserSignupOrganizationValidationTest와 UserLoginControllerTest의 관련 검증·문서 설명을 갱신했습니다.</w:t>
      </w:r>
    </w:p>
    <w:p>
      <w:pPr>
        <w:spacing w:line="300" w:lineRule="exact"/>
        <w:snapToGrid w:val="0"/>
      </w:pPr>
      <w:r>
        <w:t>Frontend의 RegisterForm.tsx와 DadaeguSignUp.tsx는 소하성당·대구1·대구2·대구3 순으로 표시합니다. 기본 선택은 비워 두어 사용자가 기관을 선택하게 합니다. ServiceAgreementConsent.tsx를 공통으로 사용해 API의 path가 HTTPS 주소이면 약관 제목을 새 탭 링크로 표시합니다. 문서 열람과 체크 동의를 분리하고 필수 동의·구강분석 신청 로직을 유지했습니다. 주소가 없거나 유효하지 않으면 링크를 만들지 않습니다.</w:t>
      </w:r>
    </w:p>
    <w:p>
      <w:pPr>
        <w:pStyle w:val="Heading1"/>
        <w:spacing w:line="300" w:lineRule="exact"/>
        <w:snapToGrid w:val="0"/>
      </w:pPr>
      <w:r>
        <w:t>S3 약관 확인</w:t>
      </w:r>
    </w:p>
    <w:p>
      <w:pPr>
        <w:spacing w:line="300" w:lineRule="exact"/>
        <w:snapToGrid w:val="0"/>
      </w:pPr>
      <w:r>
        <w:t>운영 GET /api/service-agreement의 서비스 이용약관 항목은 tms-static-hosting 버킷의 public/soh/terms/2026-09-23/SOH_service_agreement.html을 반환합니다. 공개 HTTPS 주소가 HTTP 200, text/html로 응답하며 제목이 SOH 서비스 이용약관임을 확인했습니다. 약관 원문과 S3 객체, 약관 DB 값은 변경하지 않았습니다.</w:t>
      </w:r>
    </w:p>
    <w:p>
      <w:pPr>
        <w:pStyle w:val="Heading1"/>
        <w:spacing w:line="300" w:lineRule="exact"/>
        <w:snapToGrid w:val="0"/>
      </w:pPr>
      <w:r>
        <w:t>검증</w:t>
      </w:r>
    </w:p>
    <w:p>
      <w:pPr>
        <w:spacing w:line="300" w:lineRule="exact"/>
        <w:snapToGrid w:val="0"/>
      </w:pPr>
      <w:r>
        <w:t>Java 17에서 기관 검증·로그인 컨트롤러·사용자 로그인 서비스·다대구 로그인 서비스 테스트 총 83건이 통과했고 bootJar를 생성했습니다. Frontend의 npm run build와 변경 파일 ESLint가 통과했습니다. signup-choice-smoke.cjs는 모의 API로 두 가입 화면의 기관 순서·소하성당 전송값·약관 새 탭·열람 시 동의 미변경·구강분석 선택 독립성을 검증했습니다.</w:t>
      </w:r>
    </w:p>
    <w:p>
      <w:pPr>
        <w:spacing w:line="300" w:lineRule="exact"/>
        <w:snapToGrid w:val="0"/>
      </w:pPr>
      <w:r>
        <w:t>모바일 390×844 및 태블릿 820×1180 화면을 확인했습니다. 실제 운영 회원을 생성하지 않았고 실제 기기 검증은 수행하지 않았습니다. 양쪽 README와 변경기록을 갱신하며 git diff --check로 형식 오류를 확인합니다.</w:t>
      </w:r>
    </w:p>
    <w:p>
      <w:pPr>
        <w:pStyle w:val="Heading1"/>
        <w:spacing w:line="300" w:lineRule="exact"/>
        <w:snapToGrid w:val="0"/>
      </w:pPr>
      <w:r>
        <w:t>배포와 복구</w:t>
      </w:r>
    </w:p>
    <w:p>
      <w:pPr>
        <w:spacing w:line="300" w:lineRule="exact"/>
        <w:snapToGrid w:val="0"/>
      </w:pPr>
      <w:r>
        <w:t>API prod를 먼저 배포하고 ASG 교체 완료·health를 확인한 뒤 Frontend prod를 배포합니다. 스키마·Secret·토큰 지급 및 회수 변경은 없습니다. 복구 시 프론트엔드 선택지를 먼저 되돌리고 필요하면 API 커밋을 revert합니다. 이미 소하성당으로 가입한 사용자의 저장값은 삭제하거나 변경하지 않습니다. 배포 결과는 각 커밋의 GitHub Actions 실행과 ASG 교체 상태에서 확인합니다.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SOH 변경기록  ·  API 및 Frontend 공통  ·  비밀값 제외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