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서식 1 블록체인 보안 현황 조사서</w:t>
      </w:r>
    </w:p>
    <w:p>
      <w:pPr>
        <w:snapToGrid w:val="0"/>
      </w:pPr>
      <w:r>
        <w:rPr>
          <w:b w:val="0"/>
        </w:rPr>
        <w:t>SOH 구강 건강관리 서비스 | 작성 기준일 2026년 9월 18일</w:t>
      </w:r>
    </w:p>
    <w:p>
      <w:pPr>
        <w:snapToGrid w:val="0"/>
      </w:pPr>
      <w:r>
        <w:rPr>
          <w:b w:val="0"/>
        </w:rPr>
        <w:t>SOH 서비스의 점검 범위와 조건부 제출 대상을 정리합니다. 확인되지 않은 기업 정보와 외부 운영 사실은 확인 후 확정합니다.</w:t>
      </w:r>
    </w:p>
    <w:p>
      <w:pPr>
        <w:pStyle w:val="Heading1"/>
        <w:snapToGrid w:val="0"/>
      </w:pPr>
      <w:r>
        <w:t>1 기업 및 서비스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5"/>
        <w:gridCol w:w="7043"/>
      </w:tblGrid>
      <w:tr>
        <w:trPr>
          <w:cantSplit/>
          <w:tblHeader/>
        </w:trPr>
        <w:tc>
          <w:tcPr>
            <w:tcW w:type="dxa" w:w="2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7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기재란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기업명</w:t>
            </w:r>
          </w:p>
        </w:tc>
        <w:tc>
          <w:tcPr>
            <w:tcW w:type="dxa" w:w="7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블록체인 서비스명</w:t>
            </w:r>
          </w:p>
        </w:tc>
        <w:tc>
          <w:tcPr>
            <w:tcW w:type="dxa" w:w="7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Senior Oral Healthcare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서비스 상태</w:t>
            </w:r>
          </w:p>
        </w:tc>
        <w:tc>
          <w:tcPr>
            <w:tcW w:type="dxa" w:w="7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운영 중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서비스 유형</w:t>
            </w:r>
          </w:p>
        </w:tc>
        <w:tc>
          <w:tcPr>
            <w:tcW w:type="dxa" w:w="7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구강 건강관리, DID 인증, 구강체조 토큰 리워드 지급·회수, 서버 보관형 지갑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사용 체인 및 네트워크</w:t>
            </w:r>
          </w:p>
        </w:tc>
        <w:tc>
          <w:tcPr>
            <w:tcW w:type="dxa" w:w="7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대구체인 API 연동. 소스 기본 chain=dchain. Mitum 기반 허가형으로 파악되며 실제 네트워크·검증자 구성은 운영기관 확인 필요.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서비스 공개 시점</w:t>
            </w:r>
          </w:p>
        </w:tc>
        <w:tc>
          <w:tcPr>
            <w:tcW w:type="dxa" w:w="7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소스코드 공개 여부</w:t>
            </w:r>
          </w:p>
        </w:tc>
        <w:tc>
          <w:tcPr>
            <w:tcW w:type="dxa" w:w="7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GitHub 저장소 사용. 공개/비공개 설정과 외부 제공 승인은 담당자 확인 필요.</w:t>
            </w:r>
          </w:p>
        </w:tc>
      </w:tr>
    </w:tbl>
    <w:p>
      <w:pPr>
        <w:spacing w:after="40"/>
        <w:snapToGrid w:val="0"/>
      </w:pPr>
    </w:p>
    <w:p>
      <w:pPr>
        <w:pStyle w:val="Heading1"/>
        <w:snapToGrid w:val="0"/>
      </w:pPr>
      <w:r>
        <w:t>2 점검 창구 담당자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814"/>
        <w:gridCol w:w="1814"/>
        <w:gridCol w:w="1814"/>
        <w:gridCol w:w="3628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소속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직무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성명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연락처 및 이메일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총괄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대체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</w:tr>
    </w:tbl>
    <w:p>
      <w:pPr>
        <w:spacing w:after="40"/>
        <w:snapToGrid w:val="0"/>
      </w:pPr>
    </w:p>
    <w:p>
      <w:pPr>
        <w:pStyle w:val="Heading1"/>
        <w:snapToGrid w:val="0"/>
      </w:pPr>
      <w:r>
        <w:t>3 점검 대상 시점 및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5"/>
        <w:gridCol w:w="7043"/>
      </w:tblGrid>
      <w:tr>
        <w:trPr>
          <w:cantSplit/>
          <w:tblHeader/>
        </w:trPr>
        <w:tc>
          <w:tcPr>
            <w:tcW w:type="dxa" w:w="2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7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기재란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소스코드 저장소 주소</w:t>
            </w:r>
          </w:p>
        </w:tc>
        <w:tc>
          <w:tcPr>
            <w:tcW w:type="dxa" w:w="7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https://github.com/ThomastoneCoLTD/Senior-Oral-Healthcare-api</w:t>
              <w:br/>
              <w:t>https://github.com/ThomastoneCoLTD/Senior-Oral-Healthcare-front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점검 대상 commit 또는 태그</w:t>
            </w:r>
          </w:p>
        </w:tc>
        <w:tc>
          <w:tcPr>
            <w:tcW w:type="dxa" w:w="7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API 0ee63d1d4d6ac9701a62f29bc9e76bd858681861</w:t>
              <w:br/>
              <w:t>Front 7b7b136487306f10a037d668e311b33297637165</w:t>
              <w:br/>
              <w:t>문서 작성 기준이며 최종 점검 동결 범위는 협의.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시점 지정일</w:t>
            </w:r>
          </w:p>
        </w:tc>
        <w:tc>
          <w:tcPr>
            <w:tcW w:type="dxa" w:w="7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2026-09-18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점검 대상에서 제외를 요청하는 범위</w:t>
            </w:r>
          </w:p>
        </w:tc>
        <w:tc>
          <w:tcPr>
            <w:tcW w:type="dxa" w:w="7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미확정. SOH 코드·설정과 외부 대구체인/토큰/DID 서버를 책임 경계로 구분하여 협의.</w:t>
            </w:r>
          </w:p>
        </w:tc>
      </w:tr>
      <w:tr>
        <w:trPr>
          <w:cantSplit/>
        </w:trPr>
        <w:tc>
          <w:tcPr>
            <w:tcW w:type="dxa" w:w="2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제외 요청 사유</w:t>
            </w:r>
          </w:p>
        </w:tc>
        <w:tc>
          <w:tcPr>
            <w:tcW w:type="dxa" w:w="7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시스템 원본 설정 및 키 관리 증적은 해당 운영기관의 협조가 필요함. 외부 영역을 보안점검 전체에서 제외한다는 의미는 아님.</w:t>
            </w:r>
          </w:p>
        </w:tc>
      </w:tr>
    </w:tbl>
    <w:p>
      <w:pPr>
        <w:spacing w:after="40"/>
        <w:snapToGrid w:val="0"/>
      </w:pPr>
    </w:p>
    <w:p>
      <w:pPr>
        <w:pStyle w:val="Heading1"/>
        <w:snapToGrid w:val="0"/>
      </w:pPr>
      <w:r>
        <w:t>4 조건부 항목 해당 여부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759"/>
        <w:gridCol w:w="1585"/>
        <w:gridCol w:w="5068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번호</w:t>
            </w:r>
          </w:p>
        </w:tc>
        <w:tc>
          <w:tcPr>
            <w:tcW w:type="dxa" w:w="27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확인 항목</w:t>
            </w:r>
          </w:p>
        </w:tc>
        <w:tc>
          <w:tcPr>
            <w:tcW w:type="dxa" w:w="15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해당 여부</w:t>
            </w:r>
          </w:p>
        </w:tc>
        <w:tc>
          <w:tcPr>
            <w:tcW w:type="dxa" w:w="50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7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자체 개발 스마트 컨트랙트 보유</w:t>
            </w:r>
          </w:p>
        </w:tc>
        <w:tc>
          <w:tcPr>
            <w:tcW w:type="dxa" w:w="15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확인 필요</w:t>
            </w:r>
          </w:p>
        </w:tc>
        <w:tc>
          <w:tcPr>
            <w:tcW w:type="dxa" w:w="50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자체 컨트랙트 소스는 확인되지 않음. 계약 보유·운영과 원천 개발을 구분.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7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스마트 컨트랙트 업그레이드 가능</w:t>
            </w:r>
          </w:p>
        </w:tc>
        <w:tc>
          <w:tcPr>
            <w:tcW w:type="dxa" w:w="15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운영기관 확인</w:t>
            </w:r>
          </w:p>
        </w:tc>
        <w:tc>
          <w:tcPr>
            <w:tcW w:type="dxa" w:w="50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Token20 등 API 연동만으로 프록시 구조 여부 확정 불가.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7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노드 직접 운영</w:t>
            </w:r>
          </w:p>
        </w:tc>
        <w:tc>
          <w:tcPr>
            <w:tcW w:type="dxa" w:w="15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확인 필요</w:t>
            </w:r>
          </w:p>
        </w:tc>
        <w:tc>
          <w:tcPr>
            <w:tcW w:type="dxa" w:w="50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검토 저장소는 외부 API 호출 구조. SOH 노드 배포 코드 없음.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7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폐쇄형 또는 자체 체인 운영</w:t>
            </w:r>
          </w:p>
        </w:tc>
        <w:tc>
          <w:tcPr>
            <w:tcW w:type="dxa" w:w="15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적용범위 협의</w:t>
            </w:r>
          </w:p>
        </w:tc>
        <w:tc>
          <w:tcPr>
            <w:tcW w:type="dxa" w:w="50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허가형 대구체인을 이용하나 직접 운영 증거 없음. 요청 목록 33번은 운영기관 자료 협조 대상으로 유지.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7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이용자 웹 또는 모바일 제공</w:t>
            </w:r>
          </w:p>
        </w:tc>
        <w:tc>
          <w:tcPr>
            <w:tcW w:type="dxa" w:w="15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예</w:t>
            </w:r>
          </w:p>
        </w:tc>
        <w:tc>
          <w:tcPr>
            <w:tcW w:type="dxa" w:w="50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웹서비스 제공.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7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모바일 앱이 개인키 직접 보관</w:t>
            </w:r>
          </w:p>
        </w:tc>
        <w:tc>
          <w:tcPr>
            <w:tcW w:type="dxa" w:w="15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웹은 비해당</w:t>
            </w:r>
          </w:p>
        </w:tc>
        <w:tc>
          <w:tcPr>
            <w:tcW w:type="dxa" w:w="50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사용자 지갑키는 서버 보관. 외부 다대구 앱은 별도 운영기관 확인.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7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결제 또는 정산 서비스 운영</w:t>
            </w:r>
          </w:p>
        </w:tc>
        <w:tc>
          <w:tcPr>
            <w:tcW w:type="dxa" w:w="15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확인 필요</w:t>
            </w:r>
          </w:p>
        </w:tc>
        <w:tc>
          <w:tcPr>
            <w:tcW w:type="dxa" w:w="50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리워드 지급·회수는 있음. 현금 결제/정산 해당 여부는 사업 기준으로 확인.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7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지갑·노드·키관리 일부 외부 위탁</w:t>
            </w:r>
          </w:p>
        </w:tc>
        <w:tc>
          <w:tcPr>
            <w:tcW w:type="dxa" w:w="15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확인 필요</w:t>
            </w:r>
          </w:p>
        </w:tc>
        <w:tc>
          <w:tcPr>
            <w:tcW w:type="dxa" w:w="50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API/서명 기능 이용 있음. 위탁 계약 범위와 키 보유 주체 확인 필요.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7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기존 스마트 컨트랙트 감사 보고서</w:t>
            </w:r>
          </w:p>
        </w:tc>
        <w:tc>
          <w:tcPr>
            <w:tcW w:type="dxa" w:w="15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확인 필요</w:t>
            </w:r>
          </w:p>
        </w:tc>
        <w:tc>
          <w:tcPr>
            <w:tcW w:type="dxa" w:w="50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회사 보유 여부와 외부 체인 감사자료 확인 필요.</w:t>
            </w:r>
          </w:p>
        </w:tc>
      </w:tr>
    </w:tbl>
    <w:p>
      <w:pPr>
        <w:spacing w:after="40"/>
        <w:snapToGrid w:val="0"/>
      </w:pPr>
    </w:p>
    <w:p>
      <w:pPr>
        <w:pStyle w:val="Heading1"/>
        <w:snapToGrid w:val="0"/>
      </w:pPr>
      <w:r>
        <w:t>5 외부 위탁 및 솔루션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350"/>
        <w:gridCol w:w="1761"/>
        <w:gridCol w:w="4402"/>
        <w:gridCol w:w="1898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번호</w:t>
            </w:r>
          </w:p>
        </w:tc>
        <w:tc>
          <w:tcPr>
            <w:tcW w:type="dxa" w:w="1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type="dxa" w:w="17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공급사 또는 위탁사</w:t>
            </w:r>
          </w:p>
        </w:tc>
        <w:tc>
          <w:tcPr>
            <w:tcW w:type="dxa" w:w="4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역할과 범위</w:t>
            </w:r>
          </w:p>
        </w:tc>
        <w:tc>
          <w:tcPr>
            <w:tcW w:type="dxa" w:w="18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4ECF2"/>
          </w:tcPr>
          <w:p>
            <w:pPr>
              <w:spacing w:after="40" w:before="40" w:line="259" w:lineRule="auto"/>
            </w:pPr>
            <w:r>
              <w:rPr>
                <w:b/>
                <w:sz w:val="19"/>
              </w:rPr>
              <w:t>협조 창구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체인 플랫폼</w:t>
            </w:r>
          </w:p>
        </w:tc>
        <w:tc>
          <w:tcPr>
            <w:tcW w:type="dxa" w:w="17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대구체인 운영기관</w:t>
            </w:r>
          </w:p>
        </w:tc>
        <w:tc>
          <w:tcPr>
            <w:tcW w:type="dxa" w:w="4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계정, 토큰, DID 등 API. 실제 노드 운영·계약 주체 확인 필요.</w:t>
            </w:r>
          </w:p>
        </w:tc>
        <w:tc>
          <w:tcPr>
            <w:tcW w:type="dxa" w:w="18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대구체인 공식 안내: 대구TP/루트랩. 계약상 창구 확인 필요.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DID 및 토큰 서버</w:t>
            </w:r>
          </w:p>
        </w:tc>
        <w:tc>
          <w:tcPr>
            <w:tcW w:type="dxa" w:w="17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  <w:tc>
          <w:tcPr>
            <w:tcW w:type="dxa" w:w="4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DID 발급, 토큰 생성·목록·전송·회수 프록시 및 서명 처리. 내부 구성 미확정.</w:t>
            </w:r>
          </w:p>
        </w:tc>
        <w:tc>
          <w:tcPr>
            <w:tcW w:type="dxa" w:w="18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외부 인증 앱</w:t>
            </w:r>
          </w:p>
        </w:tc>
        <w:tc>
          <w:tcPr>
            <w:tcW w:type="dxa" w:w="17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다대구 운영기관</w:t>
            </w:r>
          </w:p>
        </w:tc>
        <w:tc>
          <w:tcPr>
            <w:tcW w:type="dxa" w:w="4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암호화 신원정보 제공. 앱 내부 키보관은 SOH와 분리.</w:t>
            </w:r>
          </w:p>
        </w:tc>
        <w:tc>
          <w:tcPr>
            <w:tcW w:type="dxa" w:w="18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클라우드</w:t>
            </w:r>
          </w:p>
        </w:tc>
        <w:tc>
          <w:tcPr>
            <w:tcW w:type="dxa" w:w="17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AWS</w:t>
            </w:r>
          </w:p>
        </w:tc>
        <w:tc>
          <w:tcPr>
            <w:tcW w:type="dxa" w:w="4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SOH 인프라. 인프라 사용이 곧 지갑 키의 HSM 보관을 뜻하지 않음.</w:t>
            </w:r>
          </w:p>
        </w:tc>
        <w:tc>
          <w:tcPr>
            <w:tcW w:type="dxa" w:w="18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배포·소스 관리</w:t>
            </w:r>
          </w:p>
        </w:tc>
        <w:tc>
          <w:tcPr>
            <w:tcW w:type="dxa" w:w="17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GitHub</w:t>
            </w:r>
          </w:p>
        </w:tc>
        <w:tc>
          <w:tcPr>
            <w:tcW w:type="dxa" w:w="4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저장소 및 Actions. 회사 관리자·계약범위 확인 필요.</w:t>
            </w:r>
          </w:p>
        </w:tc>
        <w:tc>
          <w:tcPr>
            <w:tcW w:type="dxa" w:w="18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담당자 확인 필요</w:t>
            </w:r>
          </w:p>
        </w:tc>
      </w:tr>
    </w:tbl>
    <w:p>
      <w:pPr>
        <w:spacing w:after="40"/>
        <w:snapToGrid w:val="0"/>
      </w:pP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SOH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1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1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1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4"/>
    </w:pPr>
    <w:rPr>
      <w:rFonts w:asciiTheme="majorHAnsi" w:eastAsiaTheme="majorEastAsia" w:hAnsiTheme="majorHAnsi" w:cstheme="majorBidi" w:ascii="맑은 고딕" w:hAnsi="맑은 고딕" w:eastAsia="맑은 고딕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5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6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7"/>
    </w:pPr>
    <w:rPr>
      <w:rFonts w:asciiTheme="majorHAnsi" w:eastAsiaTheme="majorEastAsia" w:hAnsiTheme="majorHAnsi" w:cstheme="majorBidi" w:ascii="맑은 고딕" w:hAnsi="맑은 고딕" w:eastAsia="맑은 고딕"/>
      <w:color w:val="000000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71" w:lineRule="auto"/>
      <w:outlineLvl w:val="8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1" w:lineRule="auto" w:before="20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1" w:lineRule="auto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 w:line="271" w:lineRule="auto"/>
      <w:ind w:left="720"/>
      <w:contextualSpacing/>
    </w:pPr>
    <w:rPr>
      <w:rFonts w:ascii="맑은 고딕" w:hAnsi="맑은 고딕" w:eastAsia="맑은 고딕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71" w:lineRule="auto"/>
    </w:pPr>
    <w:rPr>
      <w:rFonts w:ascii="맑은 고딕" w:hAnsi="맑은 고딕" w:eastAsia="맑은 고딕"/>
      <w:color w:val="000000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71" w:lineRule="auto"/>
    </w:pPr>
    <w:rPr>
      <w:rFonts w:ascii="맑은 고딕" w:hAnsi="맑은 고딕" w:eastAsia="맑은 고딕"/>
      <w:color w:val="000000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00" w:line="271" w:lineRule="auto"/>
      <w:ind w:left="360" w:hanging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2">
    <w:name w:val="List 2"/>
    <w:basedOn w:val="Normal"/>
    <w:uiPriority w:val="99"/>
    <w:unhideWhenUsed/>
    <w:rsid w:val="00326F90"/>
    <w:pPr>
      <w:spacing w:after="100" w:line="271" w:lineRule="auto"/>
      <w:ind w:left="720" w:hanging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3">
    <w:name w:val="List 3"/>
    <w:basedOn w:val="Normal"/>
    <w:uiPriority w:val="99"/>
    <w:unhideWhenUsed/>
    <w:rsid w:val="00326F90"/>
    <w:pPr>
      <w:spacing w:after="100" w:line="271" w:lineRule="auto"/>
      <w:ind w:left="1080" w:hanging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00" w:line="271" w:lineRule="auto"/>
      <w:contextualSpacing/>
    </w:pPr>
    <w:rPr>
      <w:rFonts w:ascii="맑은 고딕" w:hAnsi="맑은 고딕" w:eastAsia="맑은 고딕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71" w:lineRule="auto"/>
      <w:ind w:left="36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71" w:lineRule="auto"/>
      <w:ind w:left="720"/>
      <w:contextualSpacing/>
    </w:pPr>
    <w:rPr>
      <w:rFonts w:ascii="맑은 고딕" w:hAnsi="맑은 고딕" w:eastAsia="맑은 고딕"/>
      <w:color w:val="000000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71" w:lineRule="auto"/>
      <w:ind w:left="1080"/>
      <w:contextualSpacing/>
    </w:pPr>
    <w:rPr>
      <w:rFonts w:ascii="맑은 고딕" w:hAnsi="맑은 고딕" w:eastAsia="맑은 고딕"/>
      <w:color w:val="000000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 w:line="271" w:lineRule="auto"/>
    </w:pPr>
    <w:rPr>
      <w:rFonts w:ascii="맑은 고딕" w:hAnsi="맑은 고딕" w:eastAsia="맑은 고딕"/>
      <w:color w:val="000000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00" w:line="271" w:lineRule="auto"/>
    </w:pPr>
    <w:rPr>
      <w:rFonts w:ascii="맑은 고딕" w:hAnsi="맑은 고딕" w:eastAsia="맑은 고딕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1" w:lineRule="auto" w:after="100"/>
    </w:pPr>
    <w:rPr>
      <w:rFonts w:ascii="맑은 고딕" w:hAnsi="맑은 고딕" w:eastAsia="맑은 고딕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71" w:lineRule="auto"/>
      <w:ind w:left="936" w:right="936"/>
    </w:pPr>
    <w:rPr>
      <w:rFonts w:ascii="맑은 고딕" w:hAnsi="맑은 고딕" w:eastAsia="맑은 고딕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 w:line="271" w:lineRule="auto"/>
      <w:outlineLvl w:val="9"/>
    </w:pPr>
    <w:rPr>
      <w:rFonts w:ascii="맑은 고딕" w:hAnsi="맑은 고딕" w:eastAsia="맑은 고딕"/>
      <w:color w:val="000000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 1 블록체인 보안 현황 조사서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