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관리자 거래 증명 복구와 기관 조회 변경기록</w:t>
      </w:r>
    </w:p>
    <w:p>
      <w:r>
        <w:t>작성일 2026년 10월 7일  |  작성 Codex  |  수신 SOH 운영 담당자</w:t>
      </w:r>
    </w:p>
    <w:p>
      <w:r>
        <w:t>슈퍼관리자가 이미 전송된 거래의 fact_hash를 검증하고 기존 지급 기록을 복구하는 기능을 추가했습니다. 대구체인의 성공 증명을 확인한 뒤 지급 완료 상태와 내부 포인트를 한 번만 반영합니다. 토큰을 다시 전송하거나 잔액만으로 지급을 확정하지 않습니다.</w:t>
      </w:r>
    </w:p>
    <w:p>
      <w:r>
        <w:t>사용자 관리, 사용자 진도현황, DID 리워드 현황, 영상시청이력, 토큰 실패이력, 기관별 설문 현황, 대구체인 사용 로그에서 가입기관 드롭다운으로 사용자를 분류합니다. 기존 시청·실패·설문 필터는 유지하고 4개 화면에는 공통 필터를 추가했습니다. 이번 변경은 로컬에서 검증하고 커밋하며 운영 배포는 보류합니다.</w:t>
      </w:r>
    </w:p>
    <w:tbl>
      <w:tblPr>
        <w:tblStyle w:val="TableGrid"/>
        <w:tblW w:type="auto" w:w="0"/>
        <w:tblLayout w:type="fixed"/>
        <w:tblLook w:firstColumn="1" w:firstRow="1" w:lastColumn="0" w:lastRow="0" w:noHBand="0" w:noVBand="1" w:val="04A0"/>
      </w:tblPr>
      <w:tblGrid>
        <w:gridCol w:w="1584"/>
        <w:gridCol w:w="8640"/>
      </w:tblGrid>
      <w:tr>
        <w:trPr>
          <w:tblHeader/>
          <w:cantSplit/>
        </w:trPr>
        <w:tc>
          <w:tcPr>
            <w:tcW w:type="dxa" w:w="1584"/>
          </w:tcPr>
          <w:p>
            <w:pPr>
              <w:spacing w:after="80" w:line="252" w:lineRule="auto"/>
            </w:pPr>
            <w:r>
              <w:rPr>
                <w:b/>
                <w:sz w:val="21"/>
              </w:rPr>
              <w:t>항목</w:t>
            </w:r>
          </w:p>
        </w:tc>
        <w:tc>
          <w:tcPr>
            <w:tcW w:type="dxa" w:w="8640"/>
          </w:tcPr>
          <w:p>
            <w:pPr>
              <w:spacing w:after="80" w:line="252" w:lineRule="auto"/>
            </w:pPr>
            <w:r>
              <w:rPr>
                <w:b/>
                <w:sz w:val="21"/>
              </w:rPr>
              <w:t>기준과 변경 영향</w:t>
            </w:r>
          </w:p>
        </w:tc>
      </w:tr>
      <w:tr>
        <w:trPr>
          <w:cantSplit/>
        </w:trPr>
        <w:tc>
          <w:tcPr>
            <w:tcW w:type="dxa" w:w="1584"/>
          </w:tcPr>
          <w:p>
            <w:pPr>
              <w:spacing w:after="80" w:line="252" w:lineRule="auto"/>
            </w:pPr>
            <w:r>
              <w:rPr>
                <w:b w:val="0"/>
                <w:sz w:val="21"/>
              </w:rPr>
              <w:t>기준 commit</w:t>
            </w:r>
          </w:p>
        </w:tc>
        <w:tc>
          <w:tcPr>
            <w:tcW w:type="dxa" w:w="8640"/>
          </w:tcPr>
          <w:p>
            <w:pPr>
              <w:spacing w:after="80" w:line="252" w:lineRule="auto"/>
            </w:pPr>
            <w:r>
              <w:rPr>
                <w:b w:val="0"/>
                <w:sz w:val="21"/>
              </w:rPr>
              <w:t>Backend prod e3bd4364c1a4cef1ddb814e41292de973122077c. Frontend prod 701d4697a2be0b3602f21f94be289f962ee0e9fe.</w:t>
            </w:r>
          </w:p>
        </w:tc>
      </w:tr>
      <w:tr>
        <w:trPr>
          <w:cantSplit/>
        </w:trPr>
        <w:tc>
          <w:tcPr>
            <w:tcW w:type="dxa" w:w="1584"/>
          </w:tcPr>
          <w:p>
            <w:pPr>
              <w:spacing w:after="80" w:line="252" w:lineRule="auto"/>
            </w:pPr>
            <w:r>
              <w:rPr>
                <w:b w:val="0"/>
                <w:sz w:val="21"/>
              </w:rPr>
              <w:t>환경</w:t>
            </w:r>
          </w:p>
        </w:tc>
        <w:tc>
          <w:tcPr>
            <w:tcW w:type="dxa" w:w="8640"/>
          </w:tcPr>
          <w:p>
            <w:pPr>
              <w:spacing w:after="80" w:line="252" w:lineRule="auto"/>
            </w:pPr>
            <w:r>
              <w:rPr>
                <w:b w:val="0"/>
                <w:sz w:val="21"/>
              </w:rPr>
              <w:t>Windows 로컬 workspace, Java 17, Spring Boot/JPA, React/TypeScript/Chakra UI. 운영 DB나 실제 지급 상태를 변경하지 않음.</w:t>
            </w:r>
          </w:p>
        </w:tc>
      </w:tr>
      <w:tr>
        <w:trPr>
          <w:cantSplit/>
        </w:trPr>
        <w:tc>
          <w:tcPr>
            <w:tcW w:type="dxa" w:w="1584"/>
          </w:tcPr>
          <w:p>
            <w:pPr>
              <w:spacing w:after="80" w:line="252" w:lineRule="auto"/>
            </w:pPr>
            <w:r>
              <w:rPr>
                <w:b w:val="0"/>
                <w:sz w:val="21"/>
              </w:rPr>
              <w:t>API</w:t>
            </w:r>
          </w:p>
        </w:tc>
        <w:tc>
          <w:tcPr>
            <w:tcW w:type="dxa" w:w="8640"/>
          </w:tcPr>
          <w:p>
            <w:pPr>
              <w:spacing w:after="80" w:line="252" w:lineRule="auto"/>
            </w:pPr>
            <w:r>
              <w:rPr>
                <w:b w:val="0"/>
                <w:sz w:val="21"/>
              </w:rPr>
              <w:t>지급 복구 preview/confirm 2개 POST, 전체 가입기관 목록 GET 추가. 사용자 목록에 realOrganization 필터, 체인 사용 로그 응답에 가입기관 필드 추가.</w:t>
            </w:r>
          </w:p>
        </w:tc>
      </w:tr>
      <w:tr>
        <w:trPr>
          <w:cantSplit/>
        </w:trPr>
        <w:tc>
          <w:tcPr>
            <w:tcW w:type="dxa" w:w="1584"/>
          </w:tcPr>
          <w:p>
            <w:pPr>
              <w:spacing w:after="80" w:line="252" w:lineRule="auto"/>
            </w:pPr>
            <w:r>
              <w:rPr>
                <w:b w:val="0"/>
                <w:sz w:val="21"/>
              </w:rPr>
              <w:t>DB</w:t>
            </w:r>
          </w:p>
        </w:tc>
        <w:tc>
          <w:tcPr>
            <w:tcW w:type="dxa" w:w="8640"/>
          </w:tcPr>
          <w:p>
            <w:pPr>
              <w:spacing w:after="80" w:line="252" w:lineRule="auto"/>
            </w:pPr>
            <w:r>
              <w:rPr>
                <w:b w:val="0"/>
                <w:sz w:val="21"/>
              </w:rPr>
              <w:t>reward_transfer_recovery_evidence 신규 테이블. 자동 지급·수동 복구가 공용으로 거래 증명을 점유. 기존 테이블과 잔액의 이관·보정·삭제 없음.</w:t>
            </w:r>
          </w:p>
        </w:tc>
      </w:tr>
      <w:tr>
        <w:trPr>
          <w:cantSplit/>
        </w:trPr>
        <w:tc>
          <w:tcPr>
            <w:tcW w:type="dxa" w:w="1584"/>
          </w:tcPr>
          <w:p>
            <w:pPr>
              <w:spacing w:after="80" w:line="252" w:lineRule="auto"/>
            </w:pPr>
            <w:r>
              <w:rPr>
                <w:b w:val="0"/>
                <w:sz w:val="21"/>
              </w:rPr>
              <w:t>설정</w:t>
            </w:r>
          </w:p>
        </w:tc>
        <w:tc>
          <w:tcPr>
            <w:tcW w:type="dxa" w:w="8640"/>
          </w:tcPr>
          <w:p>
            <w:pPr>
              <w:spacing w:after="80" w:line="252" w:lineRule="auto"/>
            </w:pPr>
            <w:r>
              <w:rPr>
                <w:b w:val="0"/>
                <w:sz w:val="21"/>
              </w:rPr>
              <w:t>Secret, 체인 ID, 인증 토큰, 관리자 지갑, DID 발급 및 HTTP 중간 서버 설정, 인프라와 workflow 변경 없음.</w:t>
            </w:r>
          </w:p>
        </w:tc>
      </w:tr>
    </w:tbl>
    <w:p>
      <w:pPr>
        <w:spacing w:after="20"/>
      </w:pPr>
    </w:p>
    <w:p>
      <w:r>
        <w:br w:type="page"/>
      </w:r>
    </w:p>
    <w:p>
      <w:pPr>
        <w:pStyle w:val="Heading1"/>
      </w:pPr>
      <w:r>
        <w:t>복구 화면과 거래 증명 보호</w:t>
      </w:r>
    </w:p>
    <w:p>
      <w:r>
        <w:t>토큰 관리의 토큰 지급 내역에서 관리자 확인 필요 건에 거래 확인·복구 버튼이 표시됩니다. fact_hash를 입력하고 검증을 누른 뒤 송신자, 수신자, 컨트랙트, 수량과 블록 높이를 확인해 복구 확정을 누릅니다. 해시를 수정하면 검증 결과가 무효화되며 확정 중 중복 클릭과 모달 닫기를 막습니다. 성공 후 목록을 갱신하고 복구 시간을 표시합니다.</w:t>
      </w:r>
    </w:p>
    <w:tbl>
      <w:tblPr>
        <w:tblStyle w:val="TableGrid"/>
        <w:tblW w:type="auto" w:w="0"/>
        <w:tblLayout w:type="fixed"/>
        <w:tblLook w:firstColumn="1" w:firstRow="1" w:lastColumn="0" w:lastRow="0" w:noHBand="0" w:noVBand="1" w:val="04A0"/>
      </w:tblPr>
      <w:tblGrid>
        <w:gridCol w:w="1584"/>
        <w:gridCol w:w="8640"/>
      </w:tblGrid>
      <w:tr>
        <w:trPr>
          <w:tblHeader/>
          <w:cantSplit/>
        </w:trPr>
        <w:tc>
          <w:tcPr>
            <w:tcW w:type="dxa" w:w="1584"/>
          </w:tcPr>
          <w:p>
            <w:pPr>
              <w:spacing w:after="80" w:line="252" w:lineRule="auto"/>
            </w:pPr>
            <w:r>
              <w:rPr>
                <w:b/>
                <w:sz w:val="21"/>
              </w:rPr>
              <w:t>검사</w:t>
            </w:r>
          </w:p>
        </w:tc>
        <w:tc>
          <w:tcPr>
            <w:tcW w:type="dxa" w:w="8640"/>
          </w:tcPr>
          <w:p>
            <w:pPr>
              <w:spacing w:after="80" w:line="252" w:lineRule="auto"/>
            </w:pPr>
            <w:r>
              <w:rPr>
                <w:b/>
                <w:sz w:val="21"/>
              </w:rPr>
              <w:t>서버 동작</w:t>
            </w:r>
          </w:p>
        </w:tc>
      </w:tr>
      <w:tr>
        <w:trPr>
          <w:cantSplit/>
        </w:trPr>
        <w:tc>
          <w:tcPr>
            <w:tcW w:type="dxa" w:w="1584"/>
          </w:tcPr>
          <w:p>
            <w:pPr>
              <w:spacing w:after="80" w:line="252" w:lineRule="auto"/>
            </w:pPr>
            <w:r>
              <w:rPr>
                <w:b w:val="0"/>
                <w:sz w:val="21"/>
              </w:rPr>
              <w:t>권한</w:t>
            </w:r>
          </w:p>
        </w:tc>
        <w:tc>
          <w:tcPr>
            <w:tcW w:type="dxa" w:w="8640"/>
          </w:tcPr>
          <w:p>
            <w:pPr>
              <w:spacing w:after="80" w:line="252" w:lineRule="auto"/>
            </w:pPr>
            <w:r>
              <w:rPr>
                <w:b w:val="0"/>
                <w:sz w:val="21"/>
              </w:rPr>
              <w:t>승인된 슈퍼관리자만 허용. 일반 관리자·사용자·비인증 요청을 거절하고 체인 조회 후 확정 시 DB 권한을 다시 확인.</w:t>
            </w:r>
          </w:p>
        </w:tc>
      </w:tr>
      <w:tr>
        <w:trPr>
          <w:cantSplit/>
        </w:trPr>
        <w:tc>
          <w:tcPr>
            <w:tcW w:type="dxa" w:w="1584"/>
          </w:tcPr>
          <w:p>
            <w:pPr>
              <w:spacing w:after="80" w:line="252" w:lineRule="auto"/>
            </w:pPr>
            <w:r>
              <w:rPr>
                <w:b w:val="0"/>
                <w:sz w:val="21"/>
              </w:rPr>
              <w:t>증명</w:t>
            </w:r>
          </w:p>
        </w:tc>
        <w:tc>
          <w:tcPr>
            <w:tcW w:type="dxa" w:w="8640"/>
          </w:tcPr>
          <w:p>
            <w:pPr>
              <w:spacing w:after="80" w:line="252" w:lineRule="auto"/>
            </w:pPr>
            <w:r>
              <w:rPr>
                <w:b w:val="0"/>
                <w:sz w:val="21"/>
              </w:rPr>
              <w:t>대구체인에서 실제 거래를 직접 조회. hash, 관리자 송신 주소, 현재 지갑 수신 주소, 컨트랙트, 수량, 성공 in_state와 정수 블록 높이가 모두 일치해야 함.</w:t>
            </w:r>
          </w:p>
        </w:tc>
      </w:tr>
      <w:tr>
        <w:trPr>
          <w:cantSplit/>
        </w:trPr>
        <w:tc>
          <w:tcPr>
            <w:tcW w:type="dxa" w:w="1584"/>
          </w:tcPr>
          <w:p>
            <w:pPr>
              <w:spacing w:after="80" w:line="252" w:lineRule="auto"/>
            </w:pPr>
            <w:r>
              <w:rPr>
                <w:b w:val="0"/>
                <w:sz w:val="21"/>
              </w:rPr>
              <w:t>처리 시점</w:t>
            </w:r>
          </w:p>
        </w:tc>
        <w:tc>
          <w:tcPr>
            <w:tcW w:type="dxa" w:w="8640"/>
          </w:tcPr>
          <w:p>
            <w:pPr>
              <w:spacing w:after="80" w:line="252" w:lineRule="auto"/>
            </w:pPr>
            <w:r>
              <w:rPr>
                <w:b w:val="0"/>
                <w:sz w:val="21"/>
              </w:rPr>
              <w:t>블록 Manifest.height를 증명 높이와 대조하고 proposed_at을 확인. 기존 전송 시작 시점보다 5분 이상 이른 거래는 거절. 전송 시작·시도 기록이 없으면 복구하지 않음.</w:t>
            </w:r>
          </w:p>
        </w:tc>
      </w:tr>
      <w:tr>
        <w:trPr>
          <w:cantSplit/>
        </w:trPr>
        <w:tc>
          <w:tcPr>
            <w:tcW w:type="dxa" w:w="1584"/>
          </w:tcPr>
          <w:p>
            <w:pPr>
              <w:spacing w:after="80" w:line="252" w:lineRule="auto"/>
            </w:pPr>
            <w:r>
              <w:rPr>
                <w:b w:val="0"/>
                <w:sz w:val="21"/>
              </w:rPr>
              <w:t>확정</w:t>
            </w:r>
          </w:p>
        </w:tc>
        <w:tc>
          <w:tcPr>
            <w:tcW w:type="dxa" w:w="8640"/>
          </w:tcPr>
          <w:p>
            <w:pPr>
              <w:spacing w:after="80" w:line="252" w:lineRule="auto"/>
            </w:pPr>
            <w:r>
              <w:rPr>
                <w:b w:val="0"/>
                <w:sz w:val="21"/>
              </w:rPr>
              <w:t>미리보기 결과를 신뢰해 저장하지 않고 거래를 새로 조회. 사용자→지갑→지급 잠금 순서를 유지하고 조회 중에는 DB 잠금을 보유하지 않음. 지갑·계약·수량·시도·상태 변경 시 거절.</w:t>
            </w:r>
          </w:p>
        </w:tc>
      </w:tr>
      <w:tr>
        <w:trPr>
          <w:cantSplit/>
        </w:trPr>
        <w:tc>
          <w:tcPr>
            <w:tcW w:type="dxa" w:w="1584"/>
          </w:tcPr>
          <w:p>
            <w:pPr>
              <w:spacing w:after="80" w:line="252" w:lineRule="auto"/>
            </w:pPr>
            <w:r>
              <w:rPr>
                <w:b w:val="0"/>
                <w:sz w:val="21"/>
              </w:rPr>
              <w:t>중복 보호</w:t>
            </w:r>
          </w:p>
        </w:tc>
        <w:tc>
          <w:tcPr>
            <w:tcW w:type="dxa" w:w="8640"/>
          </w:tcPr>
          <w:p>
            <w:pPr>
              <w:spacing w:after="80" w:line="252" w:lineRule="auto"/>
            </w:pPr>
            <w:r>
              <w:rPr>
                <w:b w:val="0"/>
                <w:sz w:val="21"/>
              </w:rPr>
              <w:t>자동 완료와 관리자 복구 모두 fact_hash 기본키를 먼저 INSERT. 한 거래 증명은 한 지급만 점유. 해시 경합은 지급 검토 상태로 남기고 포인트는 증가시키지 않음. 동일 완료 건의 재확정은 기존 결과 반환.</w:t>
            </w:r>
          </w:p>
        </w:tc>
      </w:tr>
      <w:tr>
        <w:trPr>
          <w:cantSplit/>
        </w:trPr>
        <w:tc>
          <w:tcPr>
            <w:tcW w:type="dxa" w:w="1584"/>
          </w:tcPr>
          <w:p>
            <w:pPr>
              <w:spacing w:after="80" w:line="252" w:lineRule="auto"/>
            </w:pPr>
            <w:r>
              <w:rPr>
                <w:b w:val="0"/>
                <w:sz w:val="21"/>
              </w:rPr>
              <w:t>보존</w:t>
            </w:r>
          </w:p>
        </w:tc>
        <w:tc>
          <w:tcPr>
            <w:tcW w:type="dxa" w:w="8640"/>
          </w:tcPr>
          <w:p>
            <w:pPr>
              <w:spacing w:after="80" w:line="252" w:lineRule="auto"/>
            </w:pPr>
            <w:r>
              <w:rPr>
                <w:b w:val="0"/>
                <w:sz w:val="21"/>
              </w:rPr>
              <w:t>증명 기록에는 지급 ID, 확인 시간, 블록 높이와 수동 복구 관리자 ID를 저장. 자동 완료의 관리자 ID는 null. 사용자·지급 리셋 또는 삭제 후에도 기록 보존. 연쇄 삭제 외래키 없음.</w:t>
            </w:r>
          </w:p>
        </w:tc>
      </w:tr>
    </w:tbl>
    <w:p>
      <w:pPr>
        <w:spacing w:after="20"/>
      </w:pPr>
    </w:p>
    <w:p>
      <w:r>
        <w:t>API는 POST /admin/daegu-chain/token/reward-transfers/{transactionId}/recovery/preview 및 /confirm이며 본문은 {factHash}입니다. 조회 실패·거절·불일치·오래된 거래·이미 사용된 해시에서는 지급과 포인트를 변경하지 않습니다. 자동 작업이 확인 중인 건도 서버에서 안전하게 검증하지만 화면 버튼은 관리자 검토 필요 건에만 제공합니다.</w:t>
      </w:r>
    </w:p>
    <w:p>
      <w:r>
        <w:br w:type="page"/>
      </w:r>
    </w:p>
    <w:p>
      <w:pPr>
        <w:pStyle w:val="Heading1"/>
      </w:pPr>
      <w:r>
        <w:t>기관 조회와 검증 결과</w:t>
      </w:r>
    </w:p>
    <w:p>
      <w:r>
        <w:t>기관은 가입 시 저장한 realOrganization의 양 끝 공백을 제거해 정확히 비교합니다. 기본값은 전체이고 null·빈 문자열·공백은 기관 미지정으로 분류합니다. 대구1과 대구10은 구분합니다. 기관 변경 시 페이지를 처음으로 돌리고 기존 검색과 설문 작성 상태, 영상·실패 구분을 유지합니다.</w:t>
      </w:r>
    </w:p>
    <w:p>
      <w:r>
        <w:t>GET /admin/user/organizations는 삭제되지 않은 전체 사용자의 기관 목록을 반환하며 현재 페이지와 검색 결과에 제한되지 않습니다. 사용자 관리는 GET /admin/user의 realOrganization 필터를 count와 페이지 조회 전에 적용합니다. 미지정은 빈 값, 전체는 파라미터 생략입니다. 진도·DID 리워드·체인 로그는 기존 전체 응답에서 필터링합니다. 일반 기관 관리자의 기존 권한 범위는 유지합니다. 로그의 모바일 표는 내부 가로 스크롤을 제공합니다.</w:t>
      </w:r>
    </w:p>
    <w:tbl>
      <w:tblPr>
        <w:tblStyle w:val="TableGrid"/>
        <w:tblW w:type="auto" w:w="0"/>
        <w:tblLayout w:type="fixed"/>
        <w:tblLook w:firstColumn="1" w:firstRow="1" w:lastColumn="0" w:lastRow="0" w:noHBand="0" w:noVBand="1" w:val="04A0"/>
      </w:tblPr>
      <w:tblGrid>
        <w:gridCol w:w="1584"/>
        <w:gridCol w:w="8640"/>
      </w:tblGrid>
      <w:tr>
        <w:trPr>
          <w:tblHeader/>
          <w:cantSplit/>
        </w:trPr>
        <w:tc>
          <w:tcPr>
            <w:tcW w:type="dxa" w:w="1584"/>
          </w:tcPr>
          <w:p>
            <w:pPr>
              <w:spacing w:after="80" w:line="252" w:lineRule="auto"/>
            </w:pPr>
            <w:r>
              <w:rPr>
                <w:b/>
                <w:sz w:val="21"/>
              </w:rPr>
              <w:t>검증</w:t>
            </w:r>
          </w:p>
        </w:tc>
        <w:tc>
          <w:tcPr>
            <w:tcW w:type="dxa" w:w="8640"/>
          </w:tcPr>
          <w:p>
            <w:pPr>
              <w:spacing w:after="80" w:line="252" w:lineRule="auto"/>
            </w:pPr>
            <w:r>
              <w:rPr>
                <w:b/>
                <w:sz w:val="21"/>
              </w:rPr>
              <w:t>실행 결과</w:t>
            </w:r>
          </w:p>
        </w:tc>
      </w:tr>
      <w:tr>
        <w:trPr>
          <w:cantSplit/>
        </w:trPr>
        <w:tc>
          <w:tcPr>
            <w:tcW w:type="dxa" w:w="1584"/>
          </w:tcPr>
          <w:p>
            <w:pPr>
              <w:spacing w:after="80" w:line="252" w:lineRule="auto"/>
            </w:pPr>
            <w:r>
              <w:rPr>
                <w:b w:val="0"/>
                <w:sz w:val="21"/>
              </w:rPr>
              <w:t>Backend</w:t>
            </w:r>
          </w:p>
        </w:tc>
        <w:tc>
          <w:tcPr>
            <w:tcW w:type="dxa" w:w="8640"/>
          </w:tcPr>
          <w:p>
            <w:pPr>
              <w:spacing w:after="80" w:line="252" w:lineRule="auto"/>
            </w:pPr>
            <w:r>
              <w:rPr>
                <w:b w:val="0"/>
                <w:sz w:val="21"/>
              </w:rPr>
              <w:t>Java 17 Gradle 전체 테스트 487개 통과. 실패·오류·건너뛰기 0. bootJar 통과, asciidoctor 제외. 신규 API 권한·형식, 실제 JPA 증명 PK 동시 INSERT, 자동 작업 대기 중 수동 복구, 반복 확정, 오래된 블록·지갑 변경·증명 불일치 검증.</w:t>
            </w:r>
          </w:p>
        </w:tc>
      </w:tr>
      <w:tr>
        <w:trPr>
          <w:cantSplit/>
        </w:trPr>
        <w:tc>
          <w:tcPr>
            <w:tcW w:type="dxa" w:w="1584"/>
          </w:tcPr>
          <w:p>
            <w:pPr>
              <w:spacing w:after="80" w:line="252" w:lineRule="auto"/>
            </w:pPr>
            <w:r>
              <w:rPr>
                <w:b w:val="0"/>
                <w:sz w:val="21"/>
              </w:rPr>
              <w:t>Frontend</w:t>
            </w:r>
          </w:p>
        </w:tc>
        <w:tc>
          <w:tcPr>
            <w:tcW w:type="dxa" w:w="8640"/>
          </w:tcPr>
          <w:p>
            <w:pPr>
              <w:spacing w:after="80" w:line="252" w:lineRule="auto"/>
            </w:pPr>
            <w:r>
              <w:rPr>
                <w:b w:val="0"/>
                <w:sz w:val="21"/>
              </w:rPr>
              <w:t>Vitest 17개 파일 82개 테스트 통과. TypeScript와 Vite 운영 빌드 통과. 관련 ESLint 오류 0, 기존 effect 의존성 경고 5. 기존 큰 번들 경고 유지.</w:t>
            </w:r>
          </w:p>
        </w:tc>
      </w:tr>
      <w:tr>
        <w:trPr>
          <w:cantSplit/>
        </w:trPr>
        <w:tc>
          <w:tcPr>
            <w:tcW w:type="dxa" w:w="1584"/>
          </w:tcPr>
          <w:p>
            <w:pPr>
              <w:spacing w:after="80" w:line="252" w:lineRule="auto"/>
            </w:pPr>
            <w:r>
              <w:rPr>
                <w:b w:val="0"/>
                <w:sz w:val="21"/>
              </w:rPr>
              <w:t>화면</w:t>
            </w:r>
          </w:p>
        </w:tc>
        <w:tc>
          <w:tcPr>
            <w:tcW w:type="dxa" w:w="8640"/>
          </w:tcPr>
          <w:p>
            <w:pPr>
              <w:spacing w:after="80" w:line="252" w:lineRule="auto"/>
            </w:pPr>
            <w:r>
              <w:rPr>
                <w:b w:val="0"/>
                <w:sz w:val="21"/>
              </w:rPr>
              <w:t>모든 외부 요청을 차단하는 목업 smoke. 복구 2단계·해시 변경·늦은 응답·실패 재시도·중복 클릭·일반 관리자 버튼 제외, PC·태블릿·휴대폰 확인. 기관 조회는 7개 화면 PC·휴대폰, 정확 일치·미지정·검색·페이지·옵션 실패 재시도·늦은 응답 보호 확인.</w:t>
            </w:r>
          </w:p>
        </w:tc>
      </w:tr>
      <w:tr>
        <w:trPr>
          <w:cantSplit/>
        </w:trPr>
        <w:tc>
          <w:tcPr>
            <w:tcW w:type="dxa" w:w="1584"/>
          </w:tcPr>
          <w:p>
            <w:pPr>
              <w:spacing w:after="80" w:line="252" w:lineRule="auto"/>
            </w:pPr>
            <w:r>
              <w:rPr>
                <w:b w:val="0"/>
                <w:sz w:val="21"/>
              </w:rPr>
              <w:t>검토</w:t>
            </w:r>
          </w:p>
        </w:tc>
        <w:tc>
          <w:tcPr>
            <w:tcW w:type="dxa" w:w="8640"/>
          </w:tcPr>
          <w:p>
            <w:pPr>
              <w:spacing w:after="80" w:line="252" w:lineRule="auto"/>
            </w:pPr>
            <w:r>
              <w:rPr>
                <w:b w:val="0"/>
                <w:sz w:val="21"/>
              </w:rPr>
              <w:t>독립 코드 검토에서 자동 지급과 수동 복구의 증명 경합, 완료 건의 lazy 조회, 기관 변경 후 오래된 응답 문제를 발견해 재현 테스트와 보호 로직 추가. 재검토 후 추가 중대 문제 없음.</w:t>
            </w:r>
          </w:p>
        </w:tc>
      </w:tr>
    </w:tbl>
    <w:p>
      <w:pPr>
        <w:spacing w:after="20"/>
      </w:pPr>
    </w:p>
    <w:p>
      <w:r>
        <w:br w:type="page"/>
      </w:r>
    </w:p>
    <w:p>
      <w:pPr>
        <w:pStyle w:val="Heading1"/>
      </w:pPr>
      <w:r>
        <w:t>변경 위치와 운영 적용</w:t>
      </w:r>
    </w:p>
    <w:p>
      <w:r>
        <w:t>Backend: domain/admin의 AdminRewardTransferRecoveryService·Controller·Dto와 AdminUserService·Controller·Dto·Repository, domain/reward의 증명 Entity·Repository와 RewardTransferRecoveryService, UserRewardTransactionRepository, UserRepository 및 관련 테스트. Frontend: adminTokens API, AdminTokenManagementPage, RewardTransferRecoveryModal, rewardRecovery, AdminOrganizationFilter, adminOrganization, 사용자·진도·DID·로그 페이지와 테스트·목업 smoke 2개입니다.</w:t>
      </w:r>
    </w:p>
    <w:p>
      <w:r>
        <w:t>README와 AGENTS에 복구·기관 조회 계약을 반영하고 이 기록을 양쪽 저장소에 보존합니다. SQL docs/db/add-reward-transfer-recovery-evidence.sql은 검토용이며 실행하지 않았습니다. 기존 사용자 작업 파일과 이전 변경기록은 보존했습니다.</w:t>
      </w:r>
    </w:p>
    <w:tbl>
      <w:tblPr>
        <w:tblStyle w:val="TableGrid"/>
        <w:tblW w:type="auto" w:w="0"/>
        <w:tblLayout w:type="fixed"/>
        <w:tblLook w:firstColumn="1" w:firstRow="1" w:lastColumn="0" w:lastRow="0" w:noHBand="0" w:noVBand="1" w:val="04A0"/>
      </w:tblPr>
      <w:tblGrid>
        <w:gridCol w:w="1584"/>
        <w:gridCol w:w="8640"/>
      </w:tblGrid>
      <w:tr>
        <w:trPr>
          <w:tblHeader/>
          <w:cantSplit/>
        </w:trPr>
        <w:tc>
          <w:tcPr>
            <w:tcW w:type="dxa" w:w="1584"/>
          </w:tcPr>
          <w:p>
            <w:pPr>
              <w:spacing w:after="80" w:line="252" w:lineRule="auto"/>
            </w:pPr>
            <w:r>
              <w:rPr>
                <w:b/>
                <w:sz w:val="21"/>
              </w:rPr>
              <w:t>항목</w:t>
            </w:r>
          </w:p>
        </w:tc>
        <w:tc>
          <w:tcPr>
            <w:tcW w:type="dxa" w:w="8640"/>
          </w:tcPr>
          <w:p>
            <w:pPr>
              <w:spacing w:after="80" w:line="252" w:lineRule="auto"/>
            </w:pPr>
            <w:r>
              <w:rPr>
                <w:b/>
                <w:sz w:val="21"/>
              </w:rPr>
              <w:t>적용 순서와 제한</w:t>
            </w:r>
          </w:p>
        </w:tc>
      </w:tr>
      <w:tr>
        <w:trPr>
          <w:cantSplit/>
        </w:trPr>
        <w:tc>
          <w:tcPr>
            <w:tcW w:type="dxa" w:w="1584"/>
          </w:tcPr>
          <w:p>
            <w:pPr>
              <w:spacing w:after="80" w:line="252" w:lineRule="auto"/>
            </w:pPr>
            <w:r>
              <w:rPr>
                <w:b w:val="0"/>
                <w:sz w:val="21"/>
              </w:rPr>
              <w:t>배포</w:t>
            </w:r>
          </w:p>
        </w:tc>
        <w:tc>
          <w:tcPr>
            <w:tcW w:type="dxa" w:w="8640"/>
          </w:tcPr>
          <w:p>
            <w:pPr>
              <w:spacing w:after="80" w:line="252" w:lineRule="auto"/>
            </w:pPr>
            <w:r>
              <w:rPr>
                <w:b w:val="0"/>
                <w:sz w:val="21"/>
              </w:rPr>
              <w:t>이전 prod push·운영 배포 보류를 유지. 배포를 진행할 때 Backend 먼저, 신규 테이블 생성·ASG refresh 완료·health 확인 후 Frontend 적용. 현재 production ddl-auto=update가 신규 테이블을 생성하므로 수동 SQL과 중복 실행하지 않음.</w:t>
            </w:r>
          </w:p>
        </w:tc>
      </w:tr>
      <w:tr>
        <w:trPr>
          <w:cantSplit/>
        </w:trPr>
        <w:tc>
          <w:tcPr>
            <w:tcW w:type="dxa" w:w="1584"/>
          </w:tcPr>
          <w:p>
            <w:pPr>
              <w:spacing w:after="80" w:line="252" w:lineRule="auto"/>
            </w:pPr>
            <w:r>
              <w:rPr>
                <w:b w:val="0"/>
                <w:sz w:val="21"/>
              </w:rPr>
              <w:t>실제 복구</w:t>
            </w:r>
          </w:p>
        </w:tc>
        <w:tc>
          <w:tcPr>
            <w:tcW w:type="dxa" w:w="8640"/>
          </w:tcPr>
          <w:p>
            <w:pPr>
              <w:spacing w:after="80" w:line="252" w:lineRule="auto"/>
            </w:pPr>
            <w:r>
              <w:rPr>
                <w:b w:val="0"/>
                <w:sz w:val="21"/>
              </w:rPr>
              <w:t>잔액이 바뀌어도 fact_hash가 없으면 복구 확정 불가. 제공자에게 해당 거래의 fact_hash를 받아 화면에서 검증 후 확정. 이번에 실제 거래 증명이나 운영 계정의 지급을 복구하지 않았고 재전송·발행·회수도 수행하지 않음.</w:t>
            </w:r>
          </w:p>
        </w:tc>
      </w:tr>
      <w:tr>
        <w:trPr>
          <w:cantSplit/>
        </w:trPr>
        <w:tc>
          <w:tcPr>
            <w:tcW w:type="dxa" w:w="1584"/>
          </w:tcPr>
          <w:p>
            <w:pPr>
              <w:spacing w:after="80" w:line="252" w:lineRule="auto"/>
            </w:pPr>
            <w:r>
              <w:rPr>
                <w:b w:val="0"/>
                <w:sz w:val="21"/>
              </w:rPr>
              <w:t>남은 제한</w:t>
            </w:r>
          </w:p>
        </w:tc>
        <w:tc>
          <w:tcPr>
            <w:tcW w:type="dxa" w:w="8640"/>
          </w:tcPr>
          <w:p>
            <w:pPr>
              <w:spacing w:after="80" w:line="252" w:lineRule="auto"/>
            </w:pPr>
            <w:r>
              <w:rPr>
                <w:b w:val="0"/>
                <w:sz w:val="21"/>
              </w:rPr>
              <w:t>지급 시작 기록이 없는 레거시 건은 별도 운영 확인 필요. 체인 조회 장애나 증명 불일치 시 검토 상태 유지. 외부 API 응답의 실제 복구 검증은 배포 후 해당 증명으로 확인해야 함.</w:t>
            </w:r>
          </w:p>
        </w:tc>
      </w:tr>
      <w:tr>
        <w:trPr>
          <w:cantSplit/>
        </w:trPr>
        <w:tc>
          <w:tcPr>
            <w:tcW w:type="dxa" w:w="1584"/>
          </w:tcPr>
          <w:p>
            <w:pPr>
              <w:spacing w:after="80" w:line="252" w:lineRule="auto"/>
            </w:pPr>
            <w:r>
              <w:rPr>
                <w:b w:val="0"/>
                <w:sz w:val="21"/>
              </w:rPr>
              <w:t>Rollback</w:t>
            </w:r>
          </w:p>
        </w:tc>
        <w:tc>
          <w:tcPr>
            <w:tcW w:type="dxa" w:w="8640"/>
          </w:tcPr>
          <w:p>
            <w:pPr>
              <w:spacing w:after="80" w:line="252" w:lineRule="auto"/>
            </w:pPr>
            <w:r>
              <w:rPr>
                <w:b w:val="0"/>
                <w:sz w:val="21"/>
              </w:rPr>
              <w:t>Frontend 먼저 복귀. Backend는 신규 지급 상태·관리자 승인과 증명 점유를 보존하는 호환 버전으로 수정 배포. 증명 테이블과 행을 삭제하지 않음. 증명 점유를 무시하는 이전 자동 작업 버전은 그대로 복귀하지 않음.</w:t>
            </w:r>
          </w:p>
        </w:tc>
      </w:tr>
    </w:tbl>
    <w:p>
      <w:pPr>
        <w:spacing w:after="2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SOH 관리자 거래 증명 복구와 기관 조회 변경기록</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