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
      </w:pPr>
      <w:r>
        <w:rPr>
          <w:rFonts w:ascii="Arial" w:cs="Arial" w:eastAsia="Arial" w:hAnsi="Arial"/>
          <w:b/>
          <w:bCs/>
          <w:color w:val="1F4E79"/>
          <w:sz w:val="48"/>
          <w:szCs w:val="48"/>
        </w:rPr>
        <w:t xml:space="preserve">AI / Machine Learning Engineer</w:t>
      </w:r>
    </w:p>
    <w:p>
      <w:pPr>
        <w:spacing w:before="0" w:after="40"/>
      </w:pPr>
      <w:r>
        <w:rPr>
          <w:rFonts w:ascii="Arial" w:cs="Arial" w:eastAsia="Arial" w:hAnsi="Arial"/>
          <w:i/>
          <w:iCs/>
          <w:color w:val="666666"/>
          <w:sz w:val="22"/>
          <w:szCs w:val="22"/>
        </w:rPr>
        <w:t xml:space="preserve">IT Workforce Profile | 10-Year Outlook (2025–2035)</w:t>
      </w:r>
    </w:p>
    <w:p>
      <w:pPr>
        <w:pBdr>
          <w:bottom w:val="single" w:color="2E75B6" w:sz="6" w:space="1"/>
        </w:pBdr>
        <w:spacing w:before="80" w:after="80"/>
      </w:pPr>
      <w:r>
        <w:rPr>
          <w:rFonts w:ascii="Arial" w:cs="Arial" w:eastAsia="Arial" w:hAnsi="Arial"/>
        </w:rPr>
        <w:t xml:space="preserve"/>
      </w:r>
    </w:p>
    <w:p>
      <w:pPr>
        <w:spacing w:before="12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Role Category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Technical</w:t>
            </w:r>
          </w:p>
        </w:tc>
      </w:tr>
      <w:tr>
        <w:tc>
          <w:tcPr>
            <w:tcW w:type="dxa" w:w="2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bCs/>
                <w:sz w:val="22"/>
                <w:szCs w:val="22"/>
              </w:rPr>
              <w:t xml:space="preserve">Salary Growth (YoY)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See Salary section below</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Remote Friendly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High (majority of roles)</w:t>
            </w:r>
          </w:p>
        </w:tc>
      </w:tr>
    </w:tbl>
    <w:p>
      <w:pPr>
        <w:spacing w:before="200" w:after="0"/>
      </w:pPr>
    </w:p>
    <w:p>
      <w:pPr>
        <w:pStyle w:val="Heading2"/>
        <w:spacing w:before="280" w:after="120"/>
      </w:pPr>
      <w:r>
        <w:rPr>
          <w:rFonts w:ascii="Arial" w:cs="Arial" w:eastAsia="Arial" w:hAnsi="Arial"/>
          <w:b/>
          <w:bCs/>
          <w:color w:val="2E75B6"/>
          <w:sz w:val="28"/>
          <w:szCs w:val="28"/>
        </w:rPr>
        <w:t xml:space="preserve">Overview</w:t>
      </w:r>
    </w:p>
    <w:p>
      <w:pPr>
        <w:spacing w:before="0" w:after="200" w:line="280" w:lineRule="auto"/>
        <w:jc w:val="left"/>
      </w:pPr>
      <w:r>
        <w:rPr>
          <w:rFonts w:ascii="Arial" w:cs="Arial" w:eastAsia="Arial" w:hAnsi="Arial"/>
          <w:b w:val="false"/>
          <w:bCs w:val="false"/>
          <w:color w:val="000000"/>
          <w:sz w:val="24"/>
          <w:szCs w:val="24"/>
        </w:rPr>
        <w:t xml:space="preserve">An AI/Machine Learning Engineer designs, builds, and deploys intelligent systems that learn from data. They sit at the convergence of software engineering and data science, writing production-grade code that takes a model from a research notebook into a scalable, maintainable service that serves real users. In the next decade, as organizations embed AI into every product and workflow, this role will become one of the most strategically critical positions in any tech company.</w:t>
      </w:r>
    </w:p>
    <w:p>
      <w:pPr>
        <w:pStyle w:val="Heading2"/>
        <w:spacing w:before="280" w:after="120"/>
      </w:pPr>
      <w:r>
        <w:rPr>
          <w:rFonts w:ascii="Arial" w:cs="Arial" w:eastAsia="Arial" w:hAnsi="Arial"/>
          <w:b/>
          <w:bCs/>
          <w:color w:val="2E75B6"/>
          <w:sz w:val="28"/>
          <w:szCs w:val="28"/>
        </w:rPr>
        <w:t xml:space="preserve">What the Role Involves</w:t>
      </w:r>
    </w:p>
    <w:p>
      <w:pPr>
        <w:spacing w:before="0" w:after="200" w:line="280" w:lineRule="auto"/>
        <w:jc w:val="left"/>
      </w:pPr>
      <w:r>
        <w:rPr>
          <w:rFonts w:ascii="Arial" w:cs="Arial" w:eastAsia="Arial" w:hAnsi="Arial"/>
          <w:b w:val="false"/>
          <w:bCs w:val="false"/>
          <w:color w:val="000000"/>
          <w:sz w:val="24"/>
          <w:szCs w:val="24"/>
        </w:rPr>
        <w:t xml:space="preserve">Day-to-day work spans the full model lifecycle: collecting and cleaning training data, selecting and fine-tuning algorithms (deep learning, gradient boosting, large language models, reinforcement learning), evaluating model performance against business metrics, and deploying models as REST APIs or streaming pipelines. Engineers collaborate closely with data engineers to ensure clean data pipelines, with product managers to define success criteria, and with DevOps teams to containerize and monitor models in production. They also spend significant time on model explainability, bias auditing, and performance optimization to meet latency and cost constraints.</w:t>
      </w:r>
    </w:p>
    <w:p>
      <w:pPr>
        <w:pStyle w:val="Heading2"/>
        <w:spacing w:before="280" w:after="120"/>
      </w:pPr>
      <w:r>
        <w:rPr>
          <w:rFonts w:ascii="Arial" w:cs="Arial" w:eastAsia="Arial" w:hAnsi="Arial"/>
          <w:b/>
          <w:bCs/>
          <w:color w:val="2E75B6"/>
          <w:sz w:val="28"/>
          <w:szCs w:val="28"/>
        </w:rPr>
        <w:t xml:space="preserve">Key Skills Required</w:t>
      </w:r>
    </w:p>
    <w:p>
      <w:pPr>
        <w:spacing w:before="0" w:after="200" w:line="280" w:lineRule="auto"/>
        <w:jc w:val="left"/>
      </w:pPr>
      <w:r>
        <w:rPr>
          <w:rFonts w:ascii="Arial" w:cs="Arial" w:eastAsia="Arial" w:hAnsi="Arial"/>
          <w:b w:val="false"/>
          <w:bCs w:val="false"/>
          <w:color w:val="000000"/>
          <w:sz w:val="24"/>
          <w:szCs w:val="24"/>
        </w:rPr>
        <w:t xml:space="preserve">Core technical competencies include proficiency in Python and one of the major ML frameworks (PyTorch or TensorFlow/JAX), solid mathematics (linear algebra, probability, optimization), and experience with cloud ML platforms such as AWS SageMaker, Google Vertex AI, or Azure Machine Learning. Familiarity with MLOps tooling (MLflow, Kubeflow, Weights &amp; Biases), SQL/NoSQL databases, and containerization (Docker, Kubernetes) is expected at mid-to-senior level. Soft skills—especially the ability to translate ambiguous business problems into precise ML problem formulations—differentiate the excellent from the average.</w:t>
      </w:r>
    </w:p>
    <w:p>
      <w:pPr>
        <w:pStyle w:val="Heading2"/>
        <w:spacing w:before="280" w:after="120"/>
      </w:pPr>
      <w:r>
        <w:rPr>
          <w:rFonts w:ascii="Arial" w:cs="Arial" w:eastAsia="Arial" w:hAnsi="Arial"/>
          <w:b/>
          <w:bCs/>
          <w:color w:val="2E75B6"/>
          <w:sz w:val="28"/>
          <w:szCs w:val="28"/>
        </w:rPr>
        <w:t xml:space="preserve">What Kind of Person Tends to Succeed</w:t>
      </w:r>
    </w:p>
    <w:p>
      <w:pPr>
        <w:spacing w:before="0" w:after="200" w:line="280" w:lineRule="auto"/>
        <w:jc w:val="left"/>
      </w:pPr>
      <w:r>
        <w:rPr>
          <w:rFonts w:ascii="Arial" w:cs="Arial" w:eastAsia="Arial" w:hAnsi="Arial"/>
          <w:b w:val="false"/>
          <w:bCs w:val="false"/>
          <w:color w:val="000000"/>
          <w:sz w:val="24"/>
          <w:szCs w:val="24"/>
        </w:rPr>
        <w:t xml:space="preserve">The most successful AI/ML Engineers combine intellectual curiosity about algorithms with an engineering discipline that prioritizes reliability and maintainability. They are comfortable sitting in uncertainty—many experiments will fail—while maintaining methodical processes to extract learnings. They read research papers and enjoy replicating results, but also know when "good enough" beats "theoretically optimal." Strong communication skills help them persuade stakeholders that an ML solution is appropriate and explain model behavior in plain language.</w:t>
      </w:r>
    </w:p>
    <w:p>
      <w:pPr>
        <w:pStyle w:val="Heading2"/>
        <w:spacing w:before="280" w:after="120"/>
      </w:pPr>
      <w:r>
        <w:rPr>
          <w:rFonts w:ascii="Arial" w:cs="Arial" w:eastAsia="Arial" w:hAnsi="Arial"/>
          <w:b/>
          <w:bCs/>
          <w:color w:val="2E75B6"/>
          <w:sz w:val="28"/>
          <w:szCs w:val="28"/>
        </w:rPr>
        <w:t xml:space="preserve">Career Progression</w:t>
      </w:r>
    </w:p>
    <w:p>
      <w:pPr>
        <w:spacing w:before="0" w:after="200" w:line="280" w:lineRule="auto"/>
        <w:jc w:val="left"/>
      </w:pPr>
      <w:r>
        <w:rPr>
          <w:rFonts w:ascii="Arial" w:cs="Arial" w:eastAsia="Arial" w:hAnsi="Arial"/>
          <w:b w:val="false"/>
          <w:bCs w:val="false"/>
          <w:color w:val="000000"/>
          <w:sz w:val="24"/>
          <w:szCs w:val="24"/>
        </w:rPr>
        <w:t xml:space="preserve">Entry-level engineers typically join as ML Engineer I or Junior ML Researcher, focusing on implementing known architectures. After two to four years they advance to ML Engineer II, owning models end-to-end. Senior Engineers (five-plus years) lead cross-functional AI initiatives and mentor others. Staff and Principal Engineers set technical direction across multiple products. The fork between the individual contributor (IC) ladder (Distinguished Engineer, Fellow) and the management ladder (Engineering Manager → Director of ML → VP of AI) usually opens around the Staff level.</w:t>
      </w:r>
    </w:p>
    <w:p>
      <w:pPr>
        <w:pStyle w:val="Heading2"/>
        <w:spacing w:before="280" w:after="120"/>
      </w:pPr>
      <w:r>
        <w:rPr>
          <w:rFonts w:ascii="Arial" w:cs="Arial" w:eastAsia="Arial" w:hAnsi="Arial"/>
          <w:b/>
          <w:bCs/>
          <w:color w:val="2E75B6"/>
          <w:sz w:val="28"/>
          <w:szCs w:val="28"/>
        </w:rPr>
        <w:t xml:space="preserve">Salary Range &amp; Annual Growth</w:t>
      </w:r>
    </w:p>
    <w:p>
      <w:pPr>
        <w:spacing w:before="0" w:after="300" w:line="280" w:lineRule="auto"/>
        <w:jc w:val="left"/>
      </w:pPr>
      <w:r>
        <w:rPr>
          <w:rFonts w:ascii="Arial" w:cs="Arial" w:eastAsia="Arial" w:hAnsi="Arial"/>
          <w:b w:val="false"/>
          <w:bCs w:val="false"/>
          <w:color w:val="000000"/>
          <w:sz w:val="24"/>
          <w:szCs w:val="24"/>
        </w:rPr>
        <w:t xml:space="preserve">In the United States, entry-level AI/ML Engineers earn $120,000–$150,000 base salary. Mid-level professionals command $150,000–$200,000, and senior/staff engineers frequently exceed $250,000 in total compensation at top-tier companies when equity is included. Globally, salaries range from $60,000–$100,000 in Eastern Europe and Southeast Asia. Annual salary growth has averaged 8–12% year-over-year since 2020 and is expected to remain in the 7–10% range through 2030 as demand significantly outpaces supply.</w:t>
      </w:r>
    </w:p>
    <w:p>
      <w:pPr>
        <w:pBdr>
          <w:bottom w:val="single" w:color="2E75B6" w:sz="6" w:space="1"/>
        </w:pBdr>
        <w:spacing w:before="80" w:after="80"/>
      </w:pPr>
      <w:r>
        <w:rPr>
          <w:rFonts w:ascii="Arial" w:cs="Arial" w:eastAsia="Arial" w:hAnsi="Arial"/>
        </w:rPr>
        <w:t xml:space="preserve"/>
      </w:r>
    </w:p>
    <w:p>
      <w:pPr>
        <w:pStyle w:val="Heading1"/>
        <w:spacing w:before="400" w:after="160"/>
      </w:pPr>
      <w:r>
        <w:rPr>
          <w:rFonts w:ascii="Arial" w:cs="Arial" w:eastAsia="Arial" w:hAnsi="Arial"/>
          <w:b/>
          <w:bCs/>
          <w:color w:val="1F4E79"/>
          <w:sz w:val="36"/>
          <w:szCs w:val="36"/>
        </w:rPr>
        <w:t xml:space="preserve">Data Sources</w:t>
      </w:r>
    </w:p>
    <w:p>
      <w:pPr>
        <w:pStyle w:val="ListParagraph"/>
        <w:numPr>
          <w:ilvl w:val="0"/>
          <w:numId w:val="2"/>
        </w:numPr>
        <w:spacing w:after="100"/>
      </w:pPr>
      <w:r>
        <w:rPr>
          <w:rFonts w:ascii="Arial" w:cs="Arial" w:eastAsia="Arial" w:hAnsi="Arial"/>
          <w:color w:val="444444"/>
          <w:sz w:val="22"/>
          <w:szCs w:val="22"/>
        </w:rPr>
        <w:t xml:space="preserve">U.S. Bureau of Labor Statistics, Occupational Outlook Handbook – Software Developers (2024)</w:t>
      </w:r>
    </w:p>
    <w:p>
      <w:pPr>
        <w:pStyle w:val="ListParagraph"/>
        <w:numPr>
          <w:ilvl w:val="0"/>
          <w:numId w:val="2"/>
        </w:numPr>
        <w:spacing w:after="100"/>
      </w:pPr>
      <w:r>
        <w:rPr>
          <w:rFonts w:ascii="Arial" w:cs="Arial" w:eastAsia="Arial" w:hAnsi="Arial"/>
          <w:color w:val="444444"/>
          <w:sz w:val="22"/>
          <w:szCs w:val="22"/>
        </w:rPr>
        <w:t xml:space="preserve">LinkedIn Emerging Jobs Report 2024</w:t>
      </w:r>
    </w:p>
    <w:p>
      <w:pPr>
        <w:pStyle w:val="ListParagraph"/>
        <w:numPr>
          <w:ilvl w:val="0"/>
          <w:numId w:val="2"/>
        </w:numPr>
        <w:spacing w:after="100"/>
      </w:pPr>
      <w:r>
        <w:rPr>
          <w:rFonts w:ascii="Arial" w:cs="Arial" w:eastAsia="Arial" w:hAnsi="Arial"/>
          <w:color w:val="444444"/>
          <w:sz w:val="22"/>
          <w:szCs w:val="22"/>
        </w:rPr>
        <w:t xml:space="preserve">Levels.fyi – AI/ML Engineer Salary Data (2024)</w:t>
      </w:r>
    </w:p>
    <w:p>
      <w:pPr>
        <w:pStyle w:val="ListParagraph"/>
        <w:numPr>
          <w:ilvl w:val="0"/>
          <w:numId w:val="2"/>
        </w:numPr>
        <w:spacing w:after="100"/>
      </w:pPr>
      <w:r>
        <w:rPr>
          <w:rFonts w:ascii="Arial" w:cs="Arial" w:eastAsia="Arial" w:hAnsi="Arial"/>
          <w:color w:val="444444"/>
          <w:sz w:val="22"/>
          <w:szCs w:val="22"/>
        </w:rPr>
        <w:t xml:space="preserve">McKinsey Global Institute – The Economic Potential of Generative AI (2023)</w:t>
      </w:r>
    </w:p>
    <w:p>
      <w:pPr>
        <w:pStyle w:val="ListParagraph"/>
        <w:numPr>
          <w:ilvl w:val="0"/>
          <w:numId w:val="2"/>
        </w:numPr>
        <w:spacing w:after="100"/>
      </w:pPr>
      <w:r>
        <w:rPr>
          <w:rFonts w:ascii="Arial" w:cs="Arial" w:eastAsia="Arial" w:hAnsi="Arial"/>
          <w:color w:val="444444"/>
          <w:sz w:val="22"/>
          <w:szCs w:val="22"/>
        </w:rPr>
        <w:t xml:space="preserve">Stack Overflow Developer Survey 2024</w:t>
      </w:r>
    </w:p>
    <w:p>
      <w:pPr>
        <w:pStyle w:val="ListParagraph"/>
        <w:numPr>
          <w:ilvl w:val="0"/>
          <w:numId w:val="2"/>
        </w:numPr>
        <w:spacing w:after="100"/>
      </w:pPr>
      <w:r>
        <w:rPr>
          <w:rFonts w:ascii="Arial" w:cs="Arial" w:eastAsia="Arial" w:hAnsi="Arial"/>
          <w:color w:val="444444"/>
          <w:sz w:val="22"/>
          <w:szCs w:val="22"/>
        </w:rPr>
        <w:t xml:space="preserve">Gartner Hype Cycle for Artificial Intelligence (2024)</w:t>
      </w:r>
    </w:p>
    <w:p>
      <w:pPr>
        <w:spacing w:before="200" w:after="0"/>
      </w:pPr>
    </w:p>
    <w:p>
      <w:pPr>
        <w:spacing w:before="80" w:after="0"/>
      </w:pPr>
      <w:r>
        <w:rPr>
          <w:rFonts w:ascii="Arial" w:cs="Arial" w:eastAsia="Arial" w:hAnsi="Arial"/>
          <w:i/>
          <w:iCs/>
          <w:color w:val="888888"/>
          <w:sz w:val="18"/>
          <w:szCs w:val="18"/>
        </w:rPr>
        <w:t xml:space="preserve">Note: Salary data reflects U.S. market conditions as of 2024–2025. Figures are approximate ranges based on aggregated market data. Compensation varies significantly by company size, geography, industry vertical, and individual experience. This document is intended for career planning and market research purposes.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2026-02-26T21:29:05.372Z</dcterms:created>
  <dcterms:modified xsi:type="dcterms:W3CDTF">2026-02-26T21:29:05.373Z</dcterms:modified>
</cp:coreProperties>
</file>

<file path=docProps/custom.xml><?xml version="1.0" encoding="utf-8"?>
<Properties xmlns="http://schemas.openxmlformats.org/officeDocument/2006/custom-properties" xmlns:vt="http://schemas.openxmlformats.org/officeDocument/2006/docPropsVTypes"/>
</file>