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Cloud Architect</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A Cloud Architect designs the high-level structure of cloud computing systems—choosing the right mix of services, defining networking topology, establishing security boundaries, and ensuring scalability and cost-efficiency. As virtually every enterprise accelerates its cloud migration and multi-cloud strategy, architects who can design robust, cost-optimized, and secure cloud infrastructures are among the most sought-after professionals in IT.</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Cloud Architects translate business and technical requirements into cloud infrastructure blueprints. They define reference architectures, evaluate build-vs-buy decisions for cloud services, establish governance frameworks (landing zones, guardrails), and guide development teams on cloud-native design patterns such as microservices, serverless, and event-driven architectures. They regularly audit existing deployments for security posture, cost anomalies, and performance bottlenecks. A significant portion of the work is advisory—sitting in design reviews, consulting with engineering teams, and presenting architecture decisions to leadership.</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expertise in at least one major cloud provider (AWS, Azure, or GCP) with certifications such as AWS Solutions Architect Professional or Google Cloud Professional Cloud Architect is the baseline expectation. Knowledge of networking (VPCs, VPNs, CDNs, DNS), security (IAM, encryption, zero-trust), containerization (Kubernetes, ECS), and Infrastructure as Code (Terraform, Pulumi, CDK) is essential. Soft skills including stakeholder management, written documentation, and the ability to present trade-offs clearly to non-technical executives are critical differentiators.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Cloud Architects thrive on systems thinking—they naturally zoom out to see how components interact at scale and zoom in to identify failure modes. They are comfortable with ambiguity, making architectural decisions with incomplete information while documenting assumptions. Strong communicators who can bridge the gap between business leadership and engineering teams excel in this role. A disposition toward continuous learning is mandatory because cloud services evolve rapidly.</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The typical path moves from Cloud Engineer or DevOps Engineer → Senior Cloud Engineer → Cloud Architect → Senior/Principal Cloud Architect → Distinguished Engineer or VP of Cloud Engineering. Some architects move into CTO or Chief Architect roles. Consulting trajectories through firms like AWS Professional Services or Big 4 technology practices are also common.</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range from $130,000–$160,000 for early-career architects, $170,000–$220,000 at the mid-to-senior level, and $230,000–$300,000+ for principal and distinguished levels including equity. Annual salary growth is projected at 8–11% through 2030, driven by persistent multi-cloud complexity and cloud-native transformation demand.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U.S. Bureau of Labor Statistics – Computer Network Architects (2024)</w:t>
      </w:r>
    </w:p>
    <w:p>
      <w:pPr>
        <w:pStyle w:val="ListParagraph"/>
        <w:numPr>
          <w:ilvl w:val="0"/>
          <w:numId w:val="2"/>
        </w:numPr>
        <w:spacing w:after="100"/>
      </w:pPr>
      <w:r>
        <w:rPr>
          <w:rFonts w:ascii="Arial" w:cs="Arial" w:eastAsia="Arial" w:hAnsi="Arial"/>
          <w:color w:val="444444"/>
          <w:sz w:val="22"/>
          <w:szCs w:val="22"/>
        </w:rPr>
        <w:t xml:space="preserve">AWS re:Invent 2023 Workforce Trends Report</w:t>
      </w:r>
    </w:p>
    <w:p>
      <w:pPr>
        <w:pStyle w:val="ListParagraph"/>
        <w:numPr>
          <w:ilvl w:val="0"/>
          <w:numId w:val="2"/>
        </w:numPr>
        <w:spacing w:after="100"/>
      </w:pPr>
      <w:r>
        <w:rPr>
          <w:rFonts w:ascii="Arial" w:cs="Arial" w:eastAsia="Arial" w:hAnsi="Arial"/>
          <w:color w:val="444444"/>
          <w:sz w:val="22"/>
          <w:szCs w:val="22"/>
        </w:rPr>
        <w:t xml:space="preserve">Gartner Forecast: Public Cloud Services (2024)</w:t>
      </w:r>
    </w:p>
    <w:p>
      <w:pPr>
        <w:pStyle w:val="ListParagraph"/>
        <w:numPr>
          <w:ilvl w:val="0"/>
          <w:numId w:val="2"/>
        </w:numPr>
        <w:spacing w:after="100"/>
      </w:pPr>
      <w:r>
        <w:rPr>
          <w:rFonts w:ascii="Arial" w:cs="Arial" w:eastAsia="Arial" w:hAnsi="Arial"/>
          <w:color w:val="444444"/>
          <w:sz w:val="22"/>
          <w:szCs w:val="22"/>
        </w:rPr>
        <w:t xml:space="preserve">Levels.fyi – Cloud Architect Compensation Data (2024)</w:t>
      </w:r>
    </w:p>
    <w:p>
      <w:pPr>
        <w:pStyle w:val="ListParagraph"/>
        <w:numPr>
          <w:ilvl w:val="0"/>
          <w:numId w:val="2"/>
        </w:numPr>
        <w:spacing w:after="100"/>
      </w:pPr>
      <w:r>
        <w:rPr>
          <w:rFonts w:ascii="Arial" w:cs="Arial" w:eastAsia="Arial" w:hAnsi="Arial"/>
          <w:color w:val="444444"/>
          <w:sz w:val="22"/>
          <w:szCs w:val="22"/>
        </w:rPr>
        <w:t xml:space="preserve">LinkedIn Jobs on the Rise Report (2024)</w:t>
      </w:r>
    </w:p>
    <w:p>
      <w:pPr>
        <w:pStyle w:val="ListParagraph"/>
        <w:numPr>
          <w:ilvl w:val="0"/>
          <w:numId w:val="2"/>
        </w:numPr>
        <w:spacing w:after="100"/>
      </w:pPr>
      <w:r>
        <w:rPr>
          <w:rFonts w:ascii="Arial" w:cs="Arial" w:eastAsia="Arial" w:hAnsi="Arial"/>
          <w:color w:val="444444"/>
          <w:sz w:val="22"/>
          <w:szCs w:val="22"/>
        </w:rPr>
        <w:t xml:space="preserve">Pluralsight State of Cloud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2026-02-26T21:29:05.503Z</dcterms:created>
  <dcterms:modified xsi:type="dcterms:W3CDTF">2026-02-26T21:29:05.503Z</dcterms:modified>
</cp:coreProperties>
</file>

<file path=docProps/custom.xml><?xml version="1.0" encoding="utf-8"?>
<Properties xmlns="http://schemas.openxmlformats.org/officeDocument/2006/custom-properties" xmlns:vt="http://schemas.openxmlformats.org/officeDocument/2006/docPropsVTypes"/>
</file>