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MLOps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MLOps Engineers build the infrastructure and processes that reliably productionize machine learning models and keep them performing well over time. They sit at the intersection of data engineering, machine learning, and DevOps, ensuring that the path from a data scientist's experiment to a live, monitored, automatically-retraining production model is as smooth and automated as possible. As organizations move beyond ML pilots to enterprise-scale AI deployments, MLOps has become a critical discipline in its own right.</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designing and maintaining ML training and serving infrastructure (feature stores, model registries, batch and real-time inference endpoints), building automated retraining pipelines triggered by data drift or performance degradation, establishing model monitoring and observability (concept drift detection, fairness metrics), managing compute resources for training workloads (GPU clusters, spot instances), and integrating ML workflows with existing software development and CI/CD processes. MLOps Engineers frequently evaluate and deploy open-source and vendor tooling (MLflow, Kubeflow, Tecton, Feast, Seldon, BentoML, Vertex AI Pipelines).</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Core skills span Python engineering, Kubernetes, CI/CD tools (GitHub Actions, Argo Workflows), cloud ML platforms (SageMaker, Vertex AI, AzureML), and data pipeline tools (Apache Airflow, Prefect, dbt). Understanding of ML model fundamentals—enough to debug training anomalies and interpret evaluation metrics—is essential. Experience with observability tooling (Prometheus, Grafana) applied to model performance is increasingly expected. Strong communication skills are needed to bridge data science and platform engineering teams.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MLOps Engineers succeed when they have both an engineer's discipline (reliability, automation, clean code) and enough ML literacy to understand what data scientists need. They enjoy solving integration challenges—the messy boundary problems where ML research meets production software. Patience and persistence are virtues, as debugging model degradation in production can be deeply ambiguous.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Junior MLOps Engineer → MLOps Engineer → Senior MLOps Engineer → Staff/Principal MLOps Engineer or ML Platform Lead → Director of ML Engineering or VP of AI Infrastructure. Many transition laterally into Cloud Architecture, Data Engineering, or AI Product roles.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range from $110,000–$140,000 at entry level, $150,000–$195,000 at mid-senior level, and $200,000+ at staff/principal levels with equity. Annual salary growth of 10–14% is projected through 2030, as MLOps remains among the scarcest skill sets relative to demand.</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Databricks State of Data + AI (2024)</w:t>
      </w:r>
    </w:p>
    <w:p>
      <w:pPr>
        <w:pStyle w:val="ListParagraph"/>
        <w:numPr>
          <w:ilvl w:val="0"/>
          <w:numId w:val="2"/>
        </w:numPr>
        <w:spacing w:after="100"/>
      </w:pPr>
      <w:r>
        <w:rPr>
          <w:rFonts w:ascii="Arial" w:cs="Arial" w:eastAsia="Arial" w:hAnsi="Arial"/>
          <w:color w:val="444444"/>
          <w:sz w:val="22"/>
          <w:szCs w:val="22"/>
        </w:rPr>
        <w:t xml:space="preserve">ML in Production Survey – Weights &amp; Biases (2024)</w:t>
      </w:r>
    </w:p>
    <w:p>
      <w:pPr>
        <w:pStyle w:val="ListParagraph"/>
        <w:numPr>
          <w:ilvl w:val="0"/>
          <w:numId w:val="2"/>
        </w:numPr>
        <w:spacing w:after="100"/>
      </w:pPr>
      <w:r>
        <w:rPr>
          <w:rFonts w:ascii="Arial" w:cs="Arial" w:eastAsia="Arial" w:hAnsi="Arial"/>
          <w:color w:val="444444"/>
          <w:sz w:val="22"/>
          <w:szCs w:val="22"/>
        </w:rPr>
        <w:t xml:space="preserve">Gartner AI Engineering Market Guide (2024)</w:t>
      </w:r>
    </w:p>
    <w:p>
      <w:pPr>
        <w:pStyle w:val="ListParagraph"/>
        <w:numPr>
          <w:ilvl w:val="0"/>
          <w:numId w:val="2"/>
        </w:numPr>
        <w:spacing w:after="100"/>
      </w:pPr>
      <w:r>
        <w:rPr>
          <w:rFonts w:ascii="Arial" w:cs="Arial" w:eastAsia="Arial" w:hAnsi="Arial"/>
          <w:color w:val="444444"/>
          <w:sz w:val="22"/>
          <w:szCs w:val="22"/>
        </w:rPr>
        <w:t xml:space="preserve">Levels.fyi – ML Engineer Compensation (2024)</w:t>
      </w:r>
    </w:p>
    <w:p>
      <w:pPr>
        <w:pStyle w:val="ListParagraph"/>
        <w:numPr>
          <w:ilvl w:val="0"/>
          <w:numId w:val="2"/>
        </w:numPr>
        <w:spacing w:after="100"/>
      </w:pPr>
      <w:r>
        <w:rPr>
          <w:rFonts w:ascii="Arial" w:cs="Arial" w:eastAsia="Arial" w:hAnsi="Arial"/>
          <w:color w:val="444444"/>
          <w:sz w:val="22"/>
          <w:szCs w:val="22"/>
        </w:rPr>
        <w:t xml:space="preserve">O'Reilly AI &amp; ML Trends Report (2024)</w:t>
      </w:r>
    </w:p>
    <w:p>
      <w:pPr>
        <w:pStyle w:val="ListParagraph"/>
        <w:numPr>
          <w:ilvl w:val="0"/>
          <w:numId w:val="2"/>
        </w:numPr>
        <w:spacing w:after="100"/>
      </w:pPr>
      <w:r>
        <w:rPr>
          <w:rFonts w:ascii="Arial" w:cs="Arial" w:eastAsia="Arial" w:hAnsi="Arial"/>
          <w:color w:val="444444"/>
          <w:sz w:val="22"/>
          <w:szCs w:val="22"/>
        </w:rPr>
        <w:t xml:space="preserve">McKinsey – The State of AI in Organizations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2026-02-26T21:29:05.675Z</dcterms:created>
  <dcterms:modified xsi:type="dcterms:W3CDTF">2026-02-26T21:29:05.675Z</dcterms:modified>
</cp:coreProperties>
</file>

<file path=docProps/custom.xml><?xml version="1.0" encoding="utf-8"?>
<Properties xmlns="http://schemas.openxmlformats.org/officeDocument/2006/custom-properties" xmlns:vt="http://schemas.openxmlformats.org/officeDocument/2006/docPropsVTypes"/>
</file>