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Site Reliability Engineer (SRE)</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Site Reliability Engineers apply software engineering principles to infrastructure and operations problems, with the explicit goal of building highly reliable, scalable, and efficient systems. Originated at Google and now widely adopted across the industry, SRE occupies a distinctive role that combines deep systems knowledge with software craftsmanship. Over the next decade, as real-time digital services become the backbone of every industry, organizations will demand more engineers capable of maintaining five-nines reliability at scale.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SREs manage service level objectives (SLOs) and error budgets, build automation to eliminate operational toil, design and implement observability solutions (distributed tracing, metrics, structured logging), lead blameless post-mortems after incidents, and work on capacity planning and performance optimization. They also collaborate closely with product engineers during the design phase to review reliability implications and establish operational readiness criteria before features launch. Increasingly, SREs build AIOps tooling that uses machine learning to detect anomalies and automate remediation.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at least one programming language (Go, Python, Java), Linux systems, networking, and distributed systems concepts (consensus protocols, CAP theorem, eventual consistency) is expected. Experience with Kubernetes, service meshes, and observability stacks (Prometheus + Grafana + Loki + Tempo or similar) is standard. Strong incident management skills—knowing how to triage, communicate, and resolve production crises—distinguish senior practitioners. Soft skills include meticulous documentation and the ability to run effective post-mortems without blame.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Top SREs are engineers who genuinely enjoy operations challenges—debugging production mysteries at 2 AM is intellectually stimulating to them. They are systematic thinkers who document everything and have a low tolerance for repeated manual interventions. The best SREs also have high empathy for end users and frame reliability work in terms of user impact, not just uptime percentages.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SRE → SRE → Senior SRE → Staff SRE → Principal SRE or SRE Manager → Director of Engineering (Infrastructure). Many cross-pollinate with Platform Engineering and Cloud Architecture roles. Google's SRE model has formalized the IC ladder up to Senior Staff and Distinguished Engineer.</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$110,000–$145,000 (junior), $155,000–$200,000 (senior), $210,000–$280,000 (staff/principal with equity). Annual salary growth of 7–10% is projected, consistent with broad DevOps/Platform Engineering demand growth.</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Google SRE Book (Beyer et al., O'Reilly Media)</w:t>
      </w:r>
    </w:p>
    <w:p>
      <w:pPr>
        <w:pStyle w:val="ListParagraph"/>
        <w:numPr>
          <w:ilvl w:val="0"/>
          <w:numId w:val="2"/>
        </w:numPr>
        <w:spacing w:after="100"/>
      </w:pPr>
      <w:r>
        <w:rPr>
          <w:rFonts w:ascii="Arial" w:cs="Arial" w:eastAsia="Arial" w:hAnsi="Arial"/>
          <w:color w:val="444444"/>
          <w:sz w:val="22"/>
          <w:szCs w:val="22"/>
        </w:rPr>
        <w:t xml:space="preserve">DORA State of DevOps Report (2024)</w:t>
      </w:r>
    </w:p>
    <w:p>
      <w:pPr>
        <w:pStyle w:val="ListParagraph"/>
        <w:numPr>
          <w:ilvl w:val="0"/>
          <w:numId w:val="2"/>
        </w:numPr>
        <w:spacing w:after="100"/>
      </w:pPr>
      <w:r>
        <w:rPr>
          <w:rFonts w:ascii="Arial" w:cs="Arial" w:eastAsia="Arial" w:hAnsi="Arial"/>
          <w:color w:val="444444"/>
          <w:sz w:val="22"/>
          <w:szCs w:val="22"/>
        </w:rPr>
        <w:t xml:space="preserve">Levels.fyi – SRE Salary Data (2024)</w:t>
      </w:r>
    </w:p>
    <w:p>
      <w:pPr>
        <w:pStyle w:val="ListParagraph"/>
        <w:numPr>
          <w:ilvl w:val="0"/>
          <w:numId w:val="2"/>
        </w:numPr>
        <w:spacing w:after="100"/>
      </w:pPr>
      <w:r>
        <w:rPr>
          <w:rFonts w:ascii="Arial" w:cs="Arial" w:eastAsia="Arial" w:hAnsi="Arial"/>
          <w:color w:val="444444"/>
          <w:sz w:val="22"/>
          <w:szCs w:val="22"/>
        </w:rPr>
        <w:t xml:space="preserve">Gartner IT Operations &amp; Service Management Magic Quadrant (2024)</w:t>
      </w:r>
    </w:p>
    <w:p>
      <w:pPr>
        <w:pStyle w:val="ListParagraph"/>
        <w:numPr>
          <w:ilvl w:val="0"/>
          <w:numId w:val="2"/>
        </w:numPr>
        <w:spacing w:after="100"/>
      </w:pPr>
      <w:r>
        <w:rPr>
          <w:rFonts w:ascii="Arial" w:cs="Arial" w:eastAsia="Arial" w:hAnsi="Arial"/>
          <w:color w:val="444444"/>
          <w:sz w:val="22"/>
          <w:szCs w:val="22"/>
        </w:rPr>
        <w:t xml:space="preserve">LinkedIn Jobs on the Rise: SRE (2024)</w:t>
      </w:r>
    </w:p>
    <w:p>
      <w:pPr>
        <w:pStyle w:val="ListParagraph"/>
        <w:numPr>
          <w:ilvl w:val="0"/>
          <w:numId w:val="2"/>
        </w:numPr>
        <w:spacing w:after="100"/>
      </w:pPr>
      <w:r>
        <w:rPr>
          <w:rFonts w:ascii="Arial" w:cs="Arial" w:eastAsia="Arial" w:hAnsi="Arial"/>
          <w:color w:val="444444"/>
          <w:sz w:val="22"/>
          <w:szCs w:val="22"/>
        </w:rPr>
        <w:t xml:space="preserve">U.S. BLS – Computer Occupations Outlook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2026-02-26T21:29:05.685Z</dcterms:created>
  <dcterms:modified xsi:type="dcterms:W3CDTF">2026-02-26T21:29:05.685Z</dcterms:modified>
</cp:coreProperties>
</file>

<file path=docProps/custom.xml><?xml version="1.0" encoding="utf-8"?>
<Properties xmlns="http://schemas.openxmlformats.org/officeDocument/2006/custom-properties" xmlns:vt="http://schemas.openxmlformats.org/officeDocument/2006/docPropsVTypes"/>
</file>