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pPr>
      <w:r>
        <w:rPr>
          <w:rFonts w:ascii="Arial" w:cs="Arial" w:eastAsia="Arial" w:hAnsi="Arial"/>
          <w:b/>
          <w:bCs/>
          <w:color w:val="1F4E79"/>
          <w:sz w:val="48"/>
          <w:szCs w:val="48"/>
        </w:rPr>
        <w:t xml:space="preserve">Quantum Computing Engineer</w:t>
      </w:r>
    </w:p>
    <w:p>
      <w:pPr>
        <w:spacing w:before="0" w:after="40"/>
      </w:pPr>
      <w:r>
        <w:rPr>
          <w:rFonts w:ascii="Arial" w:cs="Arial" w:eastAsia="Arial" w:hAnsi="Arial"/>
          <w:i/>
          <w:iCs/>
          <w:color w:val="666666"/>
          <w:sz w:val="22"/>
          <w:szCs w:val="22"/>
        </w:rPr>
        <w:t xml:space="preserve">IT Workforce Profile | 10-Year Outlook (2025–2035)</w:t>
      </w:r>
    </w:p>
    <w:p>
      <w:pPr>
        <w:pBdr>
          <w:bottom w:val="single" w:color="2E75B6" w:sz="6" w:space="1"/>
        </w:pBdr>
        <w:spacing w:before="80" w:after="80"/>
      </w:pPr>
      <w:r>
        <w:rPr>
          <w:rFonts w:ascii="Arial" w:cs="Arial" w:eastAsia="Arial" w:hAnsi="Arial"/>
        </w:rPr>
        <w:t xml:space="preserve"/>
      </w:r>
    </w:p>
    <w:p>
      <w:pPr>
        <w:spacing w:before="12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Role 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Technical</w:t>
            </w:r>
          </w:p>
        </w:tc>
      </w:tr>
      <w:tr>
        <w:tc>
          <w:tcPr>
            <w:tcW w:type="dxa" w:w="2500"/>
            <w:tcBorders>
              <w:top w:val="single" w:color="CCCCCC" w:sz="1"/>
              <w:left w:val="single" w:color="CCCCCC" w:sz="1"/>
              <w:bottom w:val="single" w:color="CCCCCC" w:sz="1"/>
              <w:right w:val="single" w:color="CCCCCC" w:sz="1"/>
            </w:tcBorders>
            <w:shd w:fill="F0F7FF" w:val="clear"/>
            <w:tcMar>
              <w:top w:type="dxa" w:w="80"/>
              <w:left w:type="dxa" w:w="120"/>
              <w:bottom w:type="dxa" w:w="80"/>
              <w:right w:type="dxa" w:w="120"/>
            </w:tcMar>
          </w:tcPr>
          <w:p>
            <w:r>
              <w:rPr>
                <w:rFonts w:ascii="Arial" w:cs="Arial" w:eastAsia="Arial" w:hAnsi="Arial"/>
                <w:b/>
                <w:bCs/>
                <w:sz w:val="22"/>
                <w:szCs w:val="22"/>
              </w:rPr>
              <w:t xml:space="preserve">Salary Growth (YoY)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See Salary section below</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2"/>
                <w:szCs w:val="22"/>
              </w:rPr>
              <w:t xml:space="preserve">Remote Friendly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(majority of roles)</w:t>
            </w:r>
          </w:p>
        </w:tc>
      </w:tr>
    </w:tbl>
    <w:p>
      <w:pPr>
        <w:spacing w:before="200" w:after="0"/>
      </w:pPr>
    </w:p>
    <w:p>
      <w:pPr>
        <w:pStyle w:val="Heading2"/>
        <w:spacing w:before="280" w:after="120"/>
      </w:pPr>
      <w:r>
        <w:rPr>
          <w:rFonts w:ascii="Arial" w:cs="Arial" w:eastAsia="Arial" w:hAnsi="Arial"/>
          <w:b/>
          <w:bCs/>
          <w:color w:val="2E75B6"/>
          <w:sz w:val="28"/>
          <w:szCs w:val="28"/>
        </w:rPr>
        <w:t xml:space="preserve">Overview</w:t>
      </w:r>
    </w:p>
    <w:p>
      <w:pPr>
        <w:spacing w:before="0" w:after="200" w:line="280" w:lineRule="auto"/>
        <w:jc w:val="left"/>
      </w:pPr>
      <w:r>
        <w:rPr>
          <w:rFonts w:ascii="Arial" w:cs="Arial" w:eastAsia="Arial" w:hAnsi="Arial"/>
          <w:b w:val="false"/>
          <w:bCs w:val="false"/>
          <w:color w:val="000000"/>
          <w:sz w:val="24"/>
          <w:szCs w:val="24"/>
        </w:rPr>
        <w:t xml:space="preserve">Quantum Computing Engineers design, implement, and test algorithms and applications that exploit the principles of quantum mechanics—superposition, entanglement, and interference—to solve problems intractable for classical computers. Although quantum advantage for general-purpose computing remains a few years away, the race to achieve fault-tolerant quantum computing has intensified dramatically. Organizations in pharmaceuticals, finance, logistics, cryptography, and materials science are already hiring quantum talent to build competitive advantage for the quantum era.</w:t>
      </w:r>
    </w:p>
    <w:p>
      <w:pPr>
        <w:pStyle w:val="Heading2"/>
        <w:spacing w:before="280" w:after="120"/>
      </w:pPr>
      <w:r>
        <w:rPr>
          <w:rFonts w:ascii="Arial" w:cs="Arial" w:eastAsia="Arial" w:hAnsi="Arial"/>
          <w:b/>
          <w:bCs/>
          <w:color w:val="2E75B6"/>
          <w:sz w:val="28"/>
          <w:szCs w:val="28"/>
        </w:rPr>
        <w:t xml:space="preserve">What the Role Involves</w:t>
      </w:r>
    </w:p>
    <w:p>
      <w:pPr>
        <w:spacing w:before="0" w:after="200" w:line="280" w:lineRule="auto"/>
        <w:jc w:val="left"/>
      </w:pPr>
      <w:r>
        <w:rPr>
          <w:rFonts w:ascii="Arial" w:cs="Arial" w:eastAsia="Arial" w:hAnsi="Arial"/>
          <w:b w:val="false"/>
          <w:bCs w:val="false"/>
          <w:color w:val="000000"/>
          <w:sz w:val="24"/>
          <w:szCs w:val="24"/>
        </w:rPr>
        <w:t xml:space="preserve">Day-to-day work includes designing quantum circuits using frameworks such as Qiskit (IBM), Cirq (Google), or PennyLane (Xanadu), benchmarking algorithms on quantum hardware and simulators, implementing quantum error correction and mitigation strategies, and collaborating with domain experts to identify use cases where quantum speedup is feasible. Engineers also participate in hardware co-design discussions, develop hybrid classical-quantum workflows (variational quantum eigensolvers, QAOA), and publish or review research findings. Post-quantum cryptography implementation—preparing classical systems for a post-quantum threat landscape—is an adjacent, high-demand area.</w:t>
      </w:r>
    </w:p>
    <w:p>
      <w:pPr>
        <w:pStyle w:val="Heading2"/>
        <w:spacing w:before="280" w:after="120"/>
      </w:pPr>
      <w:r>
        <w:rPr>
          <w:rFonts w:ascii="Arial" w:cs="Arial" w:eastAsia="Arial" w:hAnsi="Arial"/>
          <w:b/>
          <w:bCs/>
          <w:color w:val="2E75B6"/>
          <w:sz w:val="28"/>
          <w:szCs w:val="28"/>
        </w:rPr>
        <w:t xml:space="preserve">Key Skills Required</w:t>
      </w:r>
    </w:p>
    <w:p>
      <w:pPr>
        <w:spacing w:before="0" w:after="200" w:line="280" w:lineRule="auto"/>
        <w:jc w:val="left"/>
      </w:pPr>
      <w:r>
        <w:rPr>
          <w:rFonts w:ascii="Arial" w:cs="Arial" w:eastAsia="Arial" w:hAnsi="Arial"/>
          <w:b w:val="false"/>
          <w:bCs w:val="false"/>
          <w:color w:val="000000"/>
          <w:sz w:val="24"/>
          <w:szCs w:val="24"/>
        </w:rPr>
        <w:t xml:space="preserve">A strong foundation in linear algebra, quantum mechanics (at least at the level of undergraduate physics or quantum information theory), and Python programming is essential. Familiarity with quantum computing frameworks, basic error correction theory, and optimization algorithms is expected. For quantum hardware roles, background in physics, electrical engineering, or materials science becomes critical. Soft skills: ability to bridge deeply theoretical concepts and practical engineering constraints.</w:t>
      </w:r>
    </w:p>
    <w:p>
      <w:pPr>
        <w:pStyle w:val="Heading2"/>
        <w:spacing w:before="280" w:after="120"/>
      </w:pPr>
      <w:r>
        <w:rPr>
          <w:rFonts w:ascii="Arial" w:cs="Arial" w:eastAsia="Arial" w:hAnsi="Arial"/>
          <w:b/>
          <w:bCs/>
          <w:color w:val="2E75B6"/>
          <w:sz w:val="28"/>
          <w:szCs w:val="28"/>
        </w:rPr>
        <w:t xml:space="preserve">What Kind of Person Tends to Succeed</w:t>
      </w:r>
    </w:p>
    <w:p>
      <w:pPr>
        <w:spacing w:before="0" w:after="200" w:line="280" w:lineRule="auto"/>
        <w:jc w:val="left"/>
      </w:pPr>
      <w:r>
        <w:rPr>
          <w:rFonts w:ascii="Arial" w:cs="Arial" w:eastAsia="Arial" w:hAnsi="Arial"/>
          <w:b w:val="false"/>
          <w:bCs w:val="false"/>
          <w:color w:val="000000"/>
          <w:sz w:val="24"/>
          <w:szCs w:val="24"/>
        </w:rPr>
        <w:t xml:space="preserve">Quantum Computing Engineers are typically deeply curious individuals who are comfortable operating at the frontier of what is scientifically known. They are resilient when experiments fail—which is constant—and methodical in isolating variables. A passion for physics and mathematics, combined with engineering discipline, is the hallmark of this role. Collaboration with academic researchers is routine, so comfort in research environments is valuable.</w:t>
      </w:r>
    </w:p>
    <w:p>
      <w:pPr>
        <w:pStyle w:val="Heading2"/>
        <w:spacing w:before="280" w:after="120"/>
      </w:pPr>
      <w:r>
        <w:rPr>
          <w:rFonts w:ascii="Arial" w:cs="Arial" w:eastAsia="Arial" w:hAnsi="Arial"/>
          <w:b/>
          <w:bCs/>
          <w:color w:val="2E75B6"/>
          <w:sz w:val="28"/>
          <w:szCs w:val="28"/>
        </w:rPr>
        <w:t xml:space="preserve">Career Progression</w:t>
      </w:r>
    </w:p>
    <w:p>
      <w:pPr>
        <w:spacing w:before="0" w:after="200" w:line="280" w:lineRule="auto"/>
        <w:jc w:val="left"/>
      </w:pPr>
      <w:r>
        <w:rPr>
          <w:rFonts w:ascii="Arial" w:cs="Arial" w:eastAsia="Arial" w:hAnsi="Arial"/>
          <w:b w:val="false"/>
          <w:bCs w:val="false"/>
          <w:color w:val="000000"/>
          <w:sz w:val="24"/>
          <w:szCs w:val="24"/>
        </w:rPr>
        <w:t xml:space="preserve">Academic pathways (PhD → postdoc → industry research scientist) are common alongside direct industry entry. Typical levels: Quantum Software Engineer I → II → Senior → Staff → Principal or Research Scientist. Management tracks lead to Quantum Computing Lead, Engineering Manager, or VP of Quantum Research.</w:t>
      </w:r>
    </w:p>
    <w:p>
      <w:pPr>
        <w:pStyle w:val="Heading2"/>
        <w:spacing w:before="280" w:after="120"/>
      </w:pPr>
      <w:r>
        <w:rPr>
          <w:rFonts w:ascii="Arial" w:cs="Arial" w:eastAsia="Arial" w:hAnsi="Arial"/>
          <w:b/>
          <w:bCs/>
          <w:color w:val="2E75B6"/>
          <w:sz w:val="28"/>
          <w:szCs w:val="28"/>
        </w:rPr>
        <w:t xml:space="preserve">Salary Range &amp; Annual Growth</w:t>
      </w:r>
    </w:p>
    <w:p>
      <w:pPr>
        <w:spacing w:before="0" w:after="300" w:line="280" w:lineRule="auto"/>
        <w:jc w:val="left"/>
      </w:pPr>
      <w:r>
        <w:rPr>
          <w:rFonts w:ascii="Arial" w:cs="Arial" w:eastAsia="Arial" w:hAnsi="Arial"/>
          <w:b w:val="false"/>
          <w:bCs w:val="false"/>
          <w:color w:val="000000"/>
          <w:sz w:val="24"/>
          <w:szCs w:val="24"/>
        </w:rPr>
        <w:t xml:space="preserve">U.S. salaries range from $120,000–$160,000 for entry-to-mid level (often requiring graduate degrees), $170,000–$230,000 for senior engineers, and $240,000–$320,000+ for principal/research scientist roles. Annual salary growth is projected at 12–18% through 2030, reflecting extreme talent scarcity relative to growing investment from both government and private sectors.</w:t>
      </w:r>
    </w:p>
    <w:p>
      <w:pPr>
        <w:pBdr>
          <w:bottom w:val="single" w:color="2E75B6" w:sz="6" w:space="1"/>
        </w:pBdr>
        <w:spacing w:before="80" w:after="80"/>
      </w:pPr>
      <w:r>
        <w:rPr>
          <w:rFonts w:ascii="Arial" w:cs="Arial" w:eastAsia="Arial" w:hAnsi="Arial"/>
        </w:rPr>
        <w:t xml:space="preserve"/>
      </w:r>
    </w:p>
    <w:p>
      <w:pPr>
        <w:pStyle w:val="Heading1"/>
        <w:spacing w:before="400" w:after="160"/>
      </w:pPr>
      <w:r>
        <w:rPr>
          <w:rFonts w:ascii="Arial" w:cs="Arial" w:eastAsia="Arial" w:hAnsi="Arial"/>
          <w:b/>
          <w:bCs/>
          <w:color w:val="1F4E79"/>
          <w:sz w:val="36"/>
          <w:szCs w:val="36"/>
        </w:rPr>
        <w:t xml:space="preserve">Data Sources</w:t>
      </w:r>
    </w:p>
    <w:p>
      <w:pPr>
        <w:pStyle w:val="ListParagraph"/>
        <w:numPr>
          <w:ilvl w:val="0"/>
          <w:numId w:val="2"/>
        </w:numPr>
        <w:spacing w:after="100"/>
      </w:pPr>
      <w:r>
        <w:rPr>
          <w:rFonts w:ascii="Arial" w:cs="Arial" w:eastAsia="Arial" w:hAnsi="Arial"/>
          <w:color w:val="444444"/>
          <w:sz w:val="22"/>
          <w:szCs w:val="22"/>
        </w:rPr>
        <w:t xml:space="preserve">IBM Quantum Roadmap and Talent Report (2024)</w:t>
      </w:r>
    </w:p>
    <w:p>
      <w:pPr>
        <w:pStyle w:val="ListParagraph"/>
        <w:numPr>
          <w:ilvl w:val="0"/>
          <w:numId w:val="2"/>
        </w:numPr>
        <w:spacing w:after="100"/>
      </w:pPr>
      <w:r>
        <w:rPr>
          <w:rFonts w:ascii="Arial" w:cs="Arial" w:eastAsia="Arial" w:hAnsi="Arial"/>
          <w:color w:val="444444"/>
          <w:sz w:val="22"/>
          <w:szCs w:val="22"/>
        </w:rPr>
        <w:t xml:space="preserve">McKinsey – Quantum Technology Monitor (2024)</w:t>
      </w:r>
    </w:p>
    <w:p>
      <w:pPr>
        <w:pStyle w:val="ListParagraph"/>
        <w:numPr>
          <w:ilvl w:val="0"/>
          <w:numId w:val="2"/>
        </w:numPr>
        <w:spacing w:after="100"/>
      </w:pPr>
      <w:r>
        <w:rPr>
          <w:rFonts w:ascii="Arial" w:cs="Arial" w:eastAsia="Arial" w:hAnsi="Arial"/>
          <w:color w:val="444444"/>
          <w:sz w:val="22"/>
          <w:szCs w:val="22"/>
        </w:rPr>
        <w:t xml:space="preserve">Nature – Quantum Computing Workforce Analysis (2023)</w:t>
      </w:r>
    </w:p>
    <w:p>
      <w:pPr>
        <w:pStyle w:val="ListParagraph"/>
        <w:numPr>
          <w:ilvl w:val="0"/>
          <w:numId w:val="2"/>
        </w:numPr>
        <w:spacing w:after="100"/>
      </w:pPr>
      <w:r>
        <w:rPr>
          <w:rFonts w:ascii="Arial" w:cs="Arial" w:eastAsia="Arial" w:hAnsi="Arial"/>
          <w:color w:val="444444"/>
          <w:sz w:val="22"/>
          <w:szCs w:val="22"/>
        </w:rPr>
        <w:t xml:space="preserve">Quantum Computing Report – Industry Employment Trends (2024)</w:t>
      </w:r>
    </w:p>
    <w:p>
      <w:pPr>
        <w:pStyle w:val="ListParagraph"/>
        <w:numPr>
          <w:ilvl w:val="0"/>
          <w:numId w:val="2"/>
        </w:numPr>
        <w:spacing w:after="100"/>
      </w:pPr>
      <w:r>
        <w:rPr>
          <w:rFonts w:ascii="Arial" w:cs="Arial" w:eastAsia="Arial" w:hAnsi="Arial"/>
          <w:color w:val="444444"/>
          <w:sz w:val="22"/>
          <w:szCs w:val="22"/>
        </w:rPr>
        <w:t xml:space="preserve">U.S. National Quantum Initiative Act Progress Report (2023)</w:t>
      </w:r>
    </w:p>
    <w:p>
      <w:pPr>
        <w:pStyle w:val="ListParagraph"/>
        <w:numPr>
          <w:ilvl w:val="0"/>
          <w:numId w:val="2"/>
        </w:numPr>
        <w:spacing w:after="100"/>
      </w:pPr>
      <w:r>
        <w:rPr>
          <w:rFonts w:ascii="Arial" w:cs="Arial" w:eastAsia="Arial" w:hAnsi="Arial"/>
          <w:color w:val="444444"/>
          <w:sz w:val="22"/>
          <w:szCs w:val="22"/>
        </w:rPr>
        <w:t xml:space="preserve">Gartner Hype Cycle for Quantum Technologies (2024)</w:t>
      </w:r>
    </w:p>
    <w:p>
      <w:pPr>
        <w:spacing w:before="200" w:after="0"/>
      </w:pPr>
    </w:p>
    <w:p>
      <w:pPr>
        <w:spacing w:before="80" w:after="0"/>
      </w:pPr>
      <w:r>
        <w:rPr>
          <w:rFonts w:ascii="Arial" w:cs="Arial" w:eastAsia="Arial" w:hAnsi="Arial"/>
          <w:i/>
          <w:iCs/>
          <w:color w:val="888888"/>
          <w:sz w:val="18"/>
          <w:szCs w:val="18"/>
        </w:rPr>
        <w:t xml:space="preserve">Note: Salary data reflects U.S. market conditions as of 2024–2025. Figures are approximate ranges based on aggregated market data. Compensation varies significantly by company size, geography, industry vertical, and individual experience. This document is intended for career planning and market research purposes.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2026-02-26T21:29:05.694Z</dcterms:created>
  <dcterms:modified xsi:type="dcterms:W3CDTF">2026-02-26T21:29:05.694Z</dcterms:modified>
</cp:coreProperties>
</file>

<file path=docProps/custom.xml><?xml version="1.0" encoding="utf-8"?>
<Properties xmlns="http://schemas.openxmlformats.org/officeDocument/2006/custom-properties" xmlns:vt="http://schemas.openxmlformats.org/officeDocument/2006/docPropsVTypes"/>
</file>