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Blockchain / Web3 Developer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Blockchain Developers build decentralized applications (dApps), smart contracts, and blockchain infrastructure for use cases ranging from decentralized finance (DeFi) and non-fungible tokens (NFTs) to supply chain provenance, digital identity, and enterprise record management. Despite cyclical volatility in cryptocurrency markets, the underlying distributed ledger technology is being adopted by financial institutions, governments, and logistics companies for its transparency and immutability properties. The next decade will see blockchain evolve from speculative applications toward enterprise-grade infrastructure.</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split between smart contract development (writing and auditing Solidity or Rust code on Ethereum, Solana, or similar chains), Layer 2 scaling solutions, on-chain data indexing (The Graph), decentralized storage (IPFS, Arweave), wallet and key management infrastructure, and front-end dApp integration using web3.js or ethers.js. Enterprise blockchain developers also work with permissioned ledgers (Hyperledger Fabric, Corda) for supply chain and financial applications. Security auditing of smart contracts is a specialized and highly paid sub-discipline.</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Proficiency in Solidity (Ethereum) or Rust (Solana), JavaScript/TypeScript, and cryptography fundamentals (hash functions, digital signatures, Merkle trees) is foundational. Understanding of consensus mechanisms (Proof of Work, Proof of Stake, BFT variants) and familiarity with blockchain SDKs and testing frameworks (Hardhat, Foundry, Anchor) is expected. For enterprise roles, knowledge of Hyperledger frameworks and traditional backend development adds value. Soft skills include security-first thinking and meticulous attention to code correctness—bugs in smart contracts can result in irreversible loss of funds.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Blockchain Developers who thrive are deeply ideologically invested in decentralization or pragmatically fascinated by the technical puzzles of distributed consensus. They maintain careful security practices and understand that "move fast and break things" is catastrophic in this domain. They track the rapidly evolving ecosystem—new chains, Layer 2 protocols, DeFi primitives—as a hobby as much as a professional obligation.</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Blockchain Developer → Blockchain Developer → Senior Developer → Blockchain Architect → Web3 Lead or DeFi Protocol Engineer. Independent consulting and founding Web3 startups are common exits. Smart contract auditing firms (Trail of Bits, OpenZeppelin) offer specialized progression paths.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range from $100,000–$140,000 (junior), $150,000–$200,000 (senior), and $210,000–$300,000+ for senior architects and auditors. Bear market cycles can compress hiring; bull cycles produce explosive compensation growth. Annual average growth is estimated at 8–12% over the decade, with high variance.</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Electric Capital Developer Report (2024)</w:t>
      </w:r>
    </w:p>
    <w:p>
      <w:pPr>
        <w:pStyle w:val="ListParagraph"/>
        <w:numPr>
          <w:ilvl w:val="0"/>
          <w:numId w:val="2"/>
        </w:numPr>
        <w:spacing w:after="100"/>
      </w:pPr>
      <w:r>
        <w:rPr>
          <w:rFonts w:ascii="Arial" w:cs="Arial" w:eastAsia="Arial" w:hAnsi="Arial"/>
          <w:color w:val="444444"/>
          <w:sz w:val="22"/>
          <w:szCs w:val="22"/>
        </w:rPr>
        <w:t xml:space="preserve">ConsenSys Web3 Developer Survey (2024)</w:t>
      </w:r>
    </w:p>
    <w:p>
      <w:pPr>
        <w:pStyle w:val="ListParagraph"/>
        <w:numPr>
          <w:ilvl w:val="0"/>
          <w:numId w:val="2"/>
        </w:numPr>
        <w:spacing w:after="100"/>
      </w:pPr>
      <w:r>
        <w:rPr>
          <w:rFonts w:ascii="Arial" w:cs="Arial" w:eastAsia="Arial" w:hAnsi="Arial"/>
          <w:color w:val="444444"/>
          <w:sz w:val="22"/>
          <w:szCs w:val="22"/>
        </w:rPr>
        <w:t xml:space="preserve">LinkedIn – Blockchain Developer Demand (2024)</w:t>
      </w:r>
    </w:p>
    <w:p>
      <w:pPr>
        <w:pStyle w:val="ListParagraph"/>
        <w:numPr>
          <w:ilvl w:val="0"/>
          <w:numId w:val="2"/>
        </w:numPr>
        <w:spacing w:after="100"/>
      </w:pPr>
      <w:r>
        <w:rPr>
          <w:rFonts w:ascii="Arial" w:cs="Arial" w:eastAsia="Arial" w:hAnsi="Arial"/>
          <w:color w:val="444444"/>
          <w:sz w:val="22"/>
          <w:szCs w:val="22"/>
        </w:rPr>
        <w:t xml:space="preserve">Glassdoor – Blockchain Developer Salaries (2024)</w:t>
      </w:r>
    </w:p>
    <w:p>
      <w:pPr>
        <w:pStyle w:val="ListParagraph"/>
        <w:numPr>
          <w:ilvl w:val="0"/>
          <w:numId w:val="2"/>
        </w:numPr>
        <w:spacing w:after="100"/>
      </w:pPr>
      <w:r>
        <w:rPr>
          <w:rFonts w:ascii="Arial" w:cs="Arial" w:eastAsia="Arial" w:hAnsi="Arial"/>
          <w:color w:val="444444"/>
          <w:sz w:val="22"/>
          <w:szCs w:val="22"/>
        </w:rPr>
        <w:t xml:space="preserve">Gartner Blockchain Forecast (2024)</w:t>
      </w:r>
    </w:p>
    <w:p>
      <w:pPr>
        <w:pStyle w:val="ListParagraph"/>
        <w:numPr>
          <w:ilvl w:val="0"/>
          <w:numId w:val="2"/>
        </w:numPr>
        <w:spacing w:after="100"/>
      </w:pPr>
      <w:r>
        <w:rPr>
          <w:rFonts w:ascii="Arial" w:cs="Arial" w:eastAsia="Arial" w:hAnsi="Arial"/>
          <w:color w:val="444444"/>
          <w:sz w:val="22"/>
          <w:szCs w:val="22"/>
        </w:rPr>
        <w:t xml:space="preserve">World Economic Forum – Digital Currencies and Blockchain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2026-02-26T21:29:05.705Z</dcterms:created>
  <dcterms:modified xsi:type="dcterms:W3CDTF">2026-02-26T21:29:05.705Z</dcterms:modified>
</cp:coreProperties>
</file>

<file path=docProps/custom.xml><?xml version="1.0" encoding="utf-8"?>
<Properties xmlns="http://schemas.openxmlformats.org/officeDocument/2006/custom-properties" xmlns:vt="http://schemas.openxmlformats.org/officeDocument/2006/docPropsVTypes"/>
</file>