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IoT Solutions Architect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IoT Solutions Architects design end-to-end systems connecting physical devices—sensors, actuators, vehicles, medical devices, industrial machinery—to digital platforms that collect, process, and act on data. As billions more devices come online across smart manufacturing, smart cities, precision agriculture, and connected health, the demand for architects who can design reliable, secure, and scalable IoT pipelines grows substantially. The fusion of IoT with AI (edge inference) and 5G connectivity makes this a particularly dynamic domain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device selection and connectivity protocol design (MQTT, CoAP, AMQP, cellular LPWAN), edge computing architecture (pushing processing to the device or gateway to minimize latency and bandwidth), cloud IoT platform configuration (AWS IoT Core, Azure IoT Hub, Google Cloud IoT), data pipeline design for high-velocity time-series data, OTA (over-the-air) update systems, and device security (certificate management, secure boot). IoT Architects also work on digital twin implementations and integration with operational technology (OT) environments like SCADA and PLC systems.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Breadth across embedded systems, networking, cloud platforms, and data engineering is required. Knowledge of hardware constraints (power, memory, compute), wireless protocols (Bluetooth LE, Zigbee, LoRaWAN, NB-IoT, LTE-M), and time-series databases (InfluxDB, TimescaleDB) differentiates specialists. Security expertise for OT/IT convergence environments is highly valued. Soft skills: translating physical-world operational requirements into digital system requirements, and communicating with both IT engineers and operational technology (OT) teams who have very different cultural vocabularies.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IoT Architects who succeed combine a hardware-aware engineering mindset with cloud-scale thinking. They are comfortable in factories, hospitals, and farms—not just data centers—because understanding the operational context is essential for correct design. They are patient systems thinkers who enjoy the puzzle of bridging the physical and digital worlds reliably under real-world constraints.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IoT Engineer → Senior IoT Engineer → IoT Architect → Principal/Distinguished Engineer or IoT Platform Lead → VP of Engineering (Connected Products). Industry specializations (Industrial IoT, Medical IoT, Automotive) create distinct sub-paths with their own credentialing ecosystems.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$110,000–$145,000 (engineer), $155,000–$200,000 (architect), $210,000+ (principal/VP). Annual salary growth of 8–12% is projected, driven by smart manufacturing, connected health, and smart city infrastructure investment globally.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IoT Analytics – State of IoT Report (2024)</w:t>
      </w:r>
    </w:p>
    <w:p>
      <w:pPr>
        <w:pStyle w:val="ListParagraph"/>
        <w:numPr>
          <w:ilvl w:val="0"/>
          <w:numId w:val="2"/>
        </w:numPr>
        <w:spacing w:after="100"/>
      </w:pPr>
      <w:r>
        <w:rPr>
          <w:rFonts w:ascii="Arial" w:cs="Arial" w:eastAsia="Arial" w:hAnsi="Arial"/>
          <w:color w:val="444444"/>
          <w:sz w:val="22"/>
          <w:szCs w:val="22"/>
        </w:rPr>
        <w:t xml:space="preserve">IDC IoT and AI Market Forecast (2024)</w:t>
      </w:r>
    </w:p>
    <w:p>
      <w:pPr>
        <w:pStyle w:val="ListParagraph"/>
        <w:numPr>
          <w:ilvl w:val="0"/>
          <w:numId w:val="2"/>
        </w:numPr>
        <w:spacing w:after="100"/>
      </w:pPr>
      <w:r>
        <w:rPr>
          <w:rFonts w:ascii="Arial" w:cs="Arial" w:eastAsia="Arial" w:hAnsi="Arial"/>
          <w:color w:val="444444"/>
          <w:sz w:val="22"/>
          <w:szCs w:val="22"/>
        </w:rPr>
        <w:t xml:space="preserve">Gartner IoT Technology Trends (2024)</w:t>
      </w:r>
    </w:p>
    <w:p>
      <w:pPr>
        <w:pStyle w:val="ListParagraph"/>
        <w:numPr>
          <w:ilvl w:val="0"/>
          <w:numId w:val="2"/>
        </w:numPr>
        <w:spacing w:after="100"/>
      </w:pPr>
      <w:r>
        <w:rPr>
          <w:rFonts w:ascii="Arial" w:cs="Arial" w:eastAsia="Arial" w:hAnsi="Arial"/>
          <w:color w:val="444444"/>
          <w:sz w:val="22"/>
          <w:szCs w:val="22"/>
        </w:rPr>
        <w:t xml:space="preserve">McKinsey – IoT Value Creation Report (2024)</w:t>
      </w:r>
    </w:p>
    <w:p>
      <w:pPr>
        <w:pStyle w:val="ListParagraph"/>
        <w:numPr>
          <w:ilvl w:val="0"/>
          <w:numId w:val="2"/>
        </w:numPr>
        <w:spacing w:after="100"/>
      </w:pPr>
      <w:r>
        <w:rPr>
          <w:rFonts w:ascii="Arial" w:cs="Arial" w:eastAsia="Arial" w:hAnsi="Arial"/>
          <w:color w:val="444444"/>
          <w:sz w:val="22"/>
          <w:szCs w:val="22"/>
        </w:rPr>
        <w:t xml:space="preserve">Glassdoor – IoT Architect Salary Data (2024)</w:t>
      </w:r>
    </w:p>
    <w:p>
      <w:pPr>
        <w:pStyle w:val="ListParagraph"/>
        <w:numPr>
          <w:ilvl w:val="0"/>
          <w:numId w:val="2"/>
        </w:numPr>
        <w:spacing w:after="100"/>
      </w:pPr>
      <w:r>
        <w:rPr>
          <w:rFonts w:ascii="Arial" w:cs="Arial" w:eastAsia="Arial" w:hAnsi="Arial"/>
          <w:color w:val="444444"/>
          <w:sz w:val="22"/>
          <w:szCs w:val="22"/>
        </w:rPr>
        <w:t xml:space="preserve">Eclipse IoT Developer Survey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2026-02-26T21:29:05.724Z</dcterms:created>
  <dcterms:modified xsi:type="dcterms:W3CDTF">2026-02-26T21:29:05.724Z</dcterms:modified>
</cp:coreProperties>
</file>

<file path=docProps/custom.xml><?xml version="1.0" encoding="utf-8"?>
<Properties xmlns="http://schemas.openxmlformats.org/officeDocument/2006/custom-properties" xmlns:vt="http://schemas.openxmlformats.org/officeDocument/2006/docPropsVTypes"/>
</file>