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Natural Language Processing (NLP)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NLP Engineers build systems that enable computers to understand, interpret, and generate human language. With the explosive growth of large language models (LLMs) such as GPT-4, Claude, LLaMA, and Gemini, NLP has transformed from a niche research discipline into one of the most commercially central areas in AI. Applications span conversational AI, document understanding, sentiment analysis, machine translation, information retrieval, and code generation. The next decade will see NLP capabilities become embedded in virtually every enterprise application.</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fine-tuning and adapting pre-trained language models for domain-specific applications, building retrieval-augmented generation (RAG) pipelines, implementing text classification, named entity recognition, question answering, and summarization systems, evaluating model outputs for accuracy, safety, and bias, and deploying NLP services at scale with appropriate latency and cost trade-offs. NLP Engineers increasingly work on multi-modal models combining text with images, audio, and structured data, and on agentic systems that use LLMs to orchestrate multi-step tasks.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Strong Python skills, deep familiarity with Hugging Face Transformers, PyTorch, and the transformer architecture are foundational. Knowledge of tokenization, attention mechanisms, fine-tuning techniques (LoRA, RLHF, DPO), vector databases (Pinecone, Weaviate, Chroma), and LLM deployment frameworks (vLLM, TGI, TensorRT-LLM) is expected at senior levels. Linguistics knowledge, while not always required, is a genuine differentiator for ambiguous language understanding problems. Soft skills: meticulous experimental methodology and the ability to set realistic expectations about what LLMs can and cannot reliably do.</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NLP Engineers are fascinated by the complexity of human language and the surprising ways language models succeed and fail. They are experimentally minded, running many evaluations and ablations to understand system behavior. They maintain healthy skepticism about model capabilities and are rigorous about evaluation design. Many have a background in computational linguistics, cognitive science, or information retrieval in addition to ML engineering.</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NLP Engineer → Senior NLP Engineer → Staff NLP Engineer → Principal NLP / Research Scientist or NLP Lead. At large AI labs, the IC track extends to Research Scientist, Senior Research Scientist, and Research Director. Management paths lead to ML Engineering Manager and VP of AI Products.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$120,000–$155,000 (mid-level), $160,000–$210,000 (senior), $220,000–$350,000+ (staff/research scientist at top AI labs). Annual salary growth of 11–16% is projected, making NLP one of the highest-appreciating specializations through 2030.</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Hugging Face Open LLM Leaderboard and Hiring Trends (2024)</w:t>
      </w:r>
    </w:p>
    <w:p>
      <w:pPr>
        <w:pStyle w:val="ListParagraph"/>
        <w:numPr>
          <w:ilvl w:val="0"/>
          <w:numId w:val="2"/>
        </w:numPr>
        <w:spacing w:after="100"/>
      </w:pPr>
      <w:r>
        <w:rPr>
          <w:rFonts w:ascii="Arial" w:cs="Arial" w:eastAsia="Arial" w:hAnsi="Arial"/>
          <w:color w:val="444444"/>
          <w:sz w:val="22"/>
          <w:szCs w:val="22"/>
        </w:rPr>
        <w:t xml:space="preserve">AI Index Report – Stanford HAI (2024)</w:t>
      </w:r>
    </w:p>
    <w:p>
      <w:pPr>
        <w:pStyle w:val="ListParagraph"/>
        <w:numPr>
          <w:ilvl w:val="0"/>
          <w:numId w:val="2"/>
        </w:numPr>
        <w:spacing w:after="100"/>
      </w:pPr>
      <w:r>
        <w:rPr>
          <w:rFonts w:ascii="Arial" w:cs="Arial" w:eastAsia="Arial" w:hAnsi="Arial"/>
          <w:color w:val="444444"/>
          <w:sz w:val="22"/>
          <w:szCs w:val="22"/>
        </w:rPr>
        <w:t xml:space="preserve">Levels.fyi – NLP/ML Engineer Compensation (2024)</w:t>
      </w:r>
    </w:p>
    <w:p>
      <w:pPr>
        <w:pStyle w:val="ListParagraph"/>
        <w:numPr>
          <w:ilvl w:val="0"/>
          <w:numId w:val="2"/>
        </w:numPr>
        <w:spacing w:after="100"/>
      </w:pPr>
      <w:r>
        <w:rPr>
          <w:rFonts w:ascii="Arial" w:cs="Arial" w:eastAsia="Arial" w:hAnsi="Arial"/>
          <w:color w:val="444444"/>
          <w:sz w:val="22"/>
          <w:szCs w:val="22"/>
        </w:rPr>
        <w:t xml:space="preserve">McKinsey – Generative AI Economic Impact (2023)</w:t>
      </w:r>
    </w:p>
    <w:p>
      <w:pPr>
        <w:pStyle w:val="ListParagraph"/>
        <w:numPr>
          <w:ilvl w:val="0"/>
          <w:numId w:val="2"/>
        </w:numPr>
        <w:spacing w:after="100"/>
      </w:pPr>
      <w:r>
        <w:rPr>
          <w:rFonts w:ascii="Arial" w:cs="Arial" w:eastAsia="Arial" w:hAnsi="Arial"/>
          <w:color w:val="444444"/>
          <w:sz w:val="22"/>
          <w:szCs w:val="22"/>
        </w:rPr>
        <w:t xml:space="preserve">O'Reilly State of AI Report (2024)</w:t>
      </w:r>
    </w:p>
    <w:p>
      <w:pPr>
        <w:pStyle w:val="ListParagraph"/>
        <w:numPr>
          <w:ilvl w:val="0"/>
          <w:numId w:val="2"/>
        </w:numPr>
        <w:spacing w:after="100"/>
      </w:pPr>
      <w:r>
        <w:rPr>
          <w:rFonts w:ascii="Arial" w:cs="Arial" w:eastAsia="Arial" w:hAnsi="Arial"/>
          <w:color w:val="444444"/>
          <w:sz w:val="22"/>
          <w:szCs w:val="22"/>
        </w:rPr>
        <w:t xml:space="preserve">IEEE Spectrum – Trends in NLP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2026-02-26T21:29:05.770Z</dcterms:created>
  <dcterms:modified xsi:type="dcterms:W3CDTF">2026-02-26T21:29:05.770Z</dcterms:modified>
</cp:coreProperties>
</file>

<file path=docProps/custom.xml><?xml version="1.0" encoding="utf-8"?>
<Properties xmlns="http://schemas.openxmlformats.org/officeDocument/2006/custom-properties" xmlns:vt="http://schemas.openxmlformats.org/officeDocument/2006/docPropsVTypes"/>
</file>