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Computer Vision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Computer Vision Engineers build systems that extract meaning from visual data—images and video—enabling applications such as medical imaging diagnostics, autonomous vehicles, industrial quality inspection, facial recognition, document digitization, and AR features. The maturation of deep learning, availability of large labeled datasets, and continued GPU advances have driven computer vision from an academic curiosity to a production-grade industrial technology deployed at massive scale.</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Responsibilities include designing and training convolutional neural networks and vision transformers (ViT), building data labeling and augmentation pipelines, implementing object detection (YOLO, Faster R-CNN), semantic segmentation (DeepLab), image classification, pose estimation, and video understanding systems. Engineers also work on model compression for edge deployment (quantization, pruning), 3D vision systems (stereo, LiDAR, depth estimation), and the integration of vision models with downstream business logic. Testing and validation—especially for safety-critical applications—is a particularly demanding aspect of the role.</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Deep learning framework proficiency (PyTorch preferred), strong Python engineering, and solid mathematical foundations (linear algebra, calculus, probability) are core. Knowledge of OpenCV, Albumentations, and ONNX for model export is expected. Domain-specific certifications or experience (medical imaging standards for healthcare, functional safety for automotive) add significant value. Soft skills: precision and attention to edge cases—vision systems deployed in the real world encounter data distributions radically different from training sets.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Computer Vision Engineers are visually analytical—they often have an intuitive sense for what visual features matter for a given classification task. They are patient and persistent in debugging failure cases (understanding why a model fails on a particular image often requires forensic investigation). A background in signal processing, physics, or optical systems is a genuine asset in hardware-close applications.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CV Engineer → Senior CV Engineer → Staff/Principal CV Engineer → CV Architect or Research Scientist → Head of Computer Vision or VP of AI. Robotics and autonomous vehicles offer highly specialized sub-tracks with distinct company ecosystems (Waymo, Mobileye, Boston Dynamics).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$110,000–$150,000 (mid-level), $160,000–$210,000 (senior), $220,000–$320,000+ (staff/principal). Medical imaging and autonomous driving sub-specialties command top compensation. Annual salary growth of 9–13% is projected through 2030.</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Papers with Code – Computer Vision Benchmark Trends (2024)</w:t>
      </w:r>
    </w:p>
    <w:p>
      <w:pPr>
        <w:pStyle w:val="ListParagraph"/>
        <w:numPr>
          <w:ilvl w:val="0"/>
          <w:numId w:val="2"/>
        </w:numPr>
        <w:spacing w:after="100"/>
      </w:pPr>
      <w:r>
        <w:rPr>
          <w:rFonts w:ascii="Arial" w:cs="Arial" w:eastAsia="Arial" w:hAnsi="Arial"/>
          <w:color w:val="444444"/>
          <w:sz w:val="22"/>
          <w:szCs w:val="22"/>
        </w:rPr>
        <w:t xml:space="preserve">IDC Computer Vision Market Forecast (2024)</w:t>
      </w:r>
    </w:p>
    <w:p>
      <w:pPr>
        <w:pStyle w:val="ListParagraph"/>
        <w:numPr>
          <w:ilvl w:val="0"/>
          <w:numId w:val="2"/>
        </w:numPr>
        <w:spacing w:after="100"/>
      </w:pPr>
      <w:r>
        <w:rPr>
          <w:rFonts w:ascii="Arial" w:cs="Arial" w:eastAsia="Arial" w:hAnsi="Arial"/>
          <w:color w:val="444444"/>
          <w:sz w:val="22"/>
          <w:szCs w:val="22"/>
        </w:rPr>
        <w:t xml:space="preserve">Glassdoor – Computer Vision Engineer Salaries (2024)</w:t>
      </w:r>
    </w:p>
    <w:p>
      <w:pPr>
        <w:pStyle w:val="ListParagraph"/>
        <w:numPr>
          <w:ilvl w:val="0"/>
          <w:numId w:val="2"/>
        </w:numPr>
        <w:spacing w:after="100"/>
      </w:pPr>
      <w:r>
        <w:rPr>
          <w:rFonts w:ascii="Arial" w:cs="Arial" w:eastAsia="Arial" w:hAnsi="Arial"/>
          <w:color w:val="444444"/>
          <w:sz w:val="22"/>
          <w:szCs w:val="22"/>
        </w:rPr>
        <w:t xml:space="preserve">Gartner AI in Computer Vision Report (2024)</w:t>
      </w:r>
    </w:p>
    <w:p>
      <w:pPr>
        <w:pStyle w:val="ListParagraph"/>
        <w:numPr>
          <w:ilvl w:val="0"/>
          <w:numId w:val="2"/>
        </w:numPr>
        <w:spacing w:after="100"/>
      </w:pPr>
      <w:r>
        <w:rPr>
          <w:rFonts w:ascii="Arial" w:cs="Arial" w:eastAsia="Arial" w:hAnsi="Arial"/>
          <w:color w:val="444444"/>
          <w:sz w:val="22"/>
          <w:szCs w:val="22"/>
        </w:rPr>
        <w:t xml:space="preserve">LinkedIn – AI Talent Trends (2024)</w:t>
      </w:r>
    </w:p>
    <w:p>
      <w:pPr>
        <w:pStyle w:val="ListParagraph"/>
        <w:numPr>
          <w:ilvl w:val="0"/>
          <w:numId w:val="2"/>
        </w:numPr>
        <w:spacing w:after="100"/>
      </w:pPr>
      <w:r>
        <w:rPr>
          <w:rFonts w:ascii="Arial" w:cs="Arial" w:eastAsia="Arial" w:hAnsi="Arial"/>
          <w:color w:val="444444"/>
          <w:sz w:val="22"/>
          <w:szCs w:val="22"/>
        </w:rPr>
        <w:t xml:space="preserve">AI Index Report – Stanford HAI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2026-02-26T21:29:05.786Z</dcterms:created>
  <dcterms:modified xsi:type="dcterms:W3CDTF">2026-02-26T21:29:05.786Z</dcterms:modified>
</cp:coreProperties>
</file>

<file path=docProps/custom.xml><?xml version="1.0" encoding="utf-8"?>
<Properties xmlns="http://schemas.openxmlformats.org/officeDocument/2006/custom-properties" xmlns:vt="http://schemas.openxmlformats.org/officeDocument/2006/docPropsVTypes"/>
</file>