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AI Ethics &amp; Responsible AI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AI Ethics and Responsible AI Engineers ensure that AI systems are fair, transparent, accountable, safe, and compliant with emerging regulations such as the EU AI Act. As AI is embedded in hiring, credit scoring, healthcare triage, criminal justice, and content moderation, the potential for algorithmic harm is enormous. Governments, civil society, and major technology companies are investing heavily in the tools, frameworks, and talent needed to operationalize responsible AI at scale. This role is one of the fastest-growing and most strategically significant in the AI industry.</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responsibilities include building fairness and bias auditing tooling, conducting algorithmic impact assessments, implementing explainability techniques (SHAP, LIME, integrated gradients), designing model cards and data sheets, advising product and engineering teams on ethical design choices, and ensuring regulatory compliance with AI governance frameworks. Engineers in this role also develop red-teaming and adversarial testing frameworks, design feedback mechanisms for affected communities, and participate in the development of internal AI governance policies.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Technical skills span ML fundamentals, fairness metrics and mitigation techniques (re-weighting, adversarial debiasing, post-processing calibration), explainable AI libraries (Alibi, InterpretML, Captum), and data analysis. Strong grounding in social science—particularly sociology, philosophy of ethics, law, and public policy—is a distinctive advantage. Soft skills: the ability to facilitate difficult conversations between technical teams and stakeholders about contested trade-offs, and the moral courage to advocate for affected communities even under commercial pressure.</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Successful Responsible AI Engineers are rare hybrids: they are technical enough to audit model internals and non-technical enough to engage with policy, law, and social science. They are principled, independent-minded, and willing to raise uncomfortable findings. Strong empathy for populations affected by algorithmic systems, combined with systematic analytical rigor, defines excellence in this role.</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ML Engineer / Policy Analyst → Responsible AI Engineer → Senior Responsible AI Engineer → AI Ethics Lead → Head of Responsible AI → Chief AI Ethics Officer or VP of Trust &amp; Safety. Government and academic positions are also common, given the policy-adjacent nature of the work.</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$110,000–$150,000 (mid-level), $155,000–$200,000 (senior), $210,000–$280,000 (lead/head level). Annual salary growth of 12–18% is projected, driven by regulatory pressure from the EU AI Act, US AI executive orders, and corporate governance demands.</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Partnership on AI – Responsible AI Workforce Report (2024)</w:t>
      </w:r>
    </w:p>
    <w:p>
      <w:pPr>
        <w:pStyle w:val="ListParagraph"/>
        <w:numPr>
          <w:ilvl w:val="0"/>
          <w:numId w:val="2"/>
        </w:numPr>
        <w:spacing w:after="100"/>
      </w:pPr>
      <w:r>
        <w:rPr>
          <w:rFonts w:ascii="Arial" w:cs="Arial" w:eastAsia="Arial" w:hAnsi="Arial"/>
          <w:color w:val="444444"/>
          <w:sz w:val="22"/>
          <w:szCs w:val="22"/>
        </w:rPr>
        <w:t xml:space="preserve">EU AI Act Official Text and Impact Assessment (2024)</w:t>
      </w:r>
    </w:p>
    <w:p>
      <w:pPr>
        <w:pStyle w:val="ListParagraph"/>
        <w:numPr>
          <w:ilvl w:val="0"/>
          <w:numId w:val="2"/>
        </w:numPr>
        <w:spacing w:after="100"/>
      </w:pPr>
      <w:r>
        <w:rPr>
          <w:rFonts w:ascii="Arial" w:cs="Arial" w:eastAsia="Arial" w:hAnsi="Arial"/>
          <w:color w:val="444444"/>
          <w:sz w:val="22"/>
          <w:szCs w:val="22"/>
        </w:rPr>
        <w:t xml:space="preserve">AI Now Institute Annual Report (2024)</w:t>
      </w:r>
    </w:p>
    <w:p>
      <w:pPr>
        <w:pStyle w:val="ListParagraph"/>
        <w:numPr>
          <w:ilvl w:val="0"/>
          <w:numId w:val="2"/>
        </w:numPr>
        <w:spacing w:after="100"/>
      </w:pPr>
      <w:r>
        <w:rPr>
          <w:rFonts w:ascii="Arial" w:cs="Arial" w:eastAsia="Arial" w:hAnsi="Arial"/>
          <w:color w:val="444444"/>
          <w:sz w:val="22"/>
          <w:szCs w:val="22"/>
        </w:rPr>
        <w:t xml:space="preserve">IEEE Ethically Aligned Design (Ed. 2)</w:t>
      </w:r>
    </w:p>
    <w:p>
      <w:pPr>
        <w:pStyle w:val="ListParagraph"/>
        <w:numPr>
          <w:ilvl w:val="0"/>
          <w:numId w:val="2"/>
        </w:numPr>
        <w:spacing w:after="100"/>
      </w:pPr>
      <w:r>
        <w:rPr>
          <w:rFonts w:ascii="Arial" w:cs="Arial" w:eastAsia="Arial" w:hAnsi="Arial"/>
          <w:color w:val="444444"/>
          <w:sz w:val="22"/>
          <w:szCs w:val="22"/>
        </w:rPr>
        <w:t xml:space="preserve">Gartner – AI Governance and Trust Hype Cycle (2024)</w:t>
      </w:r>
    </w:p>
    <w:p>
      <w:pPr>
        <w:pStyle w:val="ListParagraph"/>
        <w:numPr>
          <w:ilvl w:val="0"/>
          <w:numId w:val="2"/>
        </w:numPr>
        <w:spacing w:after="100"/>
      </w:pPr>
      <w:r>
        <w:rPr>
          <w:rFonts w:ascii="Arial" w:cs="Arial" w:eastAsia="Arial" w:hAnsi="Arial"/>
          <w:color w:val="444444"/>
          <w:sz w:val="22"/>
          <w:szCs w:val="22"/>
        </w:rPr>
        <w:t xml:space="preserve">Stanford HAI – AI Index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2026-02-26T21:29:05.798Z</dcterms:created>
  <dcterms:modified xsi:type="dcterms:W3CDTF">2026-02-26T21:29:05.798Z</dcterms:modified>
</cp:coreProperties>
</file>

<file path=docProps/custom.xml><?xml version="1.0" encoding="utf-8"?>
<Properties xmlns="http://schemas.openxmlformats.org/officeDocument/2006/custom-properties" xmlns:vt="http://schemas.openxmlformats.org/officeDocument/2006/docPropsVTypes"/>
</file>