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Robotics Software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Robotics Software Engineers build the software systems that give robots the ability to perceive their environment, plan actions, and execute them safely and efficiently. Applications span industrial automation (assembly, welding, material handling), logistics (warehouse robots, autonomous mobile robots), surgical robotics, agricultural robots, and emerging humanoid robots for general-purpose tasks. The convergence of AI—particularly learning-based approaches to manipulation and navigation—with advanced hardware is making this one of the most exciting engineering disciplines of the decade.</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includes developing perception pipelines (sensor fusion of cameras, LiDAR, IMUs), motion planning algorithms (RRT, MPC, trajectory optimization), robot operating system (ROS/ROS2) architecture, safety and certification compliance, control systems design, simulation environment development (Gazebo, Isaac Sim, MuJoCo), and integration with ML-based components (imitation learning, reinforcement learning). Robotics Engineers also write firmware interfaces, manage real-time operating system constraints, and collaborate closely with mechanical and electrical engineers.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C++ and Python proficiency is standard. Deep knowledge of ROS2, robot kinematics and dynamics, control theory, and sensor integration (SLAM, computer vision) is expected at mid-to-senior levels. Simulation tooling, real-time programming, and functional safety standards (IEC 62061, ISO 10218 for industrial robots) are valued. Soft skills: patience with hardware debugging (mechanical, electrical, and software failures all look the same from the software side), and the ability to collaborate tightly with hardware engineers.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Robotics Software Engineers are typically fascinated by the physical world and motivated by building systems that have tangible, visible impacts. They are comfortable in lab environments, are unafraid of getting their hands dirty during hardware bring-up, and have high tolerance for the iterative, often frustrating process of making a robot do something that looks simple but is extraordinarily complex.</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Robotics Engineer → Senior Robotics Engineer → Staff/Principal Robotics Engineer → Robotics Architecture Lead → VP of Engineering (Robotics). Specializations include manipulation, navigation, drone systems, and surgical robotics, each with distinct company landscapes.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$105,000–$145,000 (mid-level), $155,000–$210,000 (senior), $215,000–$300,000+ (staff at well-funded robotics companies). Annual salary growth of 10–15% is projected, driven by manufacturing automation investment and humanoid robot development programs.</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International Federation of Robotics – World Robotics Report (2024)</w:t>
      </w:r>
    </w:p>
    <w:p>
      <w:pPr>
        <w:pStyle w:val="ListParagraph"/>
        <w:numPr>
          <w:ilvl w:val="0"/>
          <w:numId w:val="2"/>
        </w:numPr>
        <w:spacing w:after="100"/>
      </w:pPr>
      <w:r>
        <w:rPr>
          <w:rFonts w:ascii="Arial" w:cs="Arial" w:eastAsia="Arial" w:hAnsi="Arial"/>
          <w:color w:val="444444"/>
          <w:sz w:val="22"/>
          <w:szCs w:val="22"/>
        </w:rPr>
        <w:t xml:space="preserve">Glassdoor – Robotics Engineer Salary Data (2024)</w:t>
      </w:r>
    </w:p>
    <w:p>
      <w:pPr>
        <w:pStyle w:val="ListParagraph"/>
        <w:numPr>
          <w:ilvl w:val="0"/>
          <w:numId w:val="2"/>
        </w:numPr>
        <w:spacing w:after="100"/>
      </w:pPr>
      <w:r>
        <w:rPr>
          <w:rFonts w:ascii="Arial" w:cs="Arial" w:eastAsia="Arial" w:hAnsi="Arial"/>
          <w:color w:val="444444"/>
          <w:sz w:val="22"/>
          <w:szCs w:val="22"/>
        </w:rPr>
        <w:t xml:space="preserve">McKinsey – Automation and the Future of Work (2024)</w:t>
      </w:r>
    </w:p>
    <w:p>
      <w:pPr>
        <w:pStyle w:val="ListParagraph"/>
        <w:numPr>
          <w:ilvl w:val="0"/>
          <w:numId w:val="2"/>
        </w:numPr>
        <w:spacing w:after="100"/>
      </w:pPr>
      <w:r>
        <w:rPr>
          <w:rFonts w:ascii="Arial" w:cs="Arial" w:eastAsia="Arial" w:hAnsi="Arial"/>
          <w:color w:val="444444"/>
          <w:sz w:val="22"/>
          <w:szCs w:val="22"/>
        </w:rPr>
        <w:t xml:space="preserve">ROS Discourse Community Survey (2024)</w:t>
      </w:r>
    </w:p>
    <w:p>
      <w:pPr>
        <w:pStyle w:val="ListParagraph"/>
        <w:numPr>
          <w:ilvl w:val="0"/>
          <w:numId w:val="2"/>
        </w:numPr>
        <w:spacing w:after="100"/>
      </w:pPr>
      <w:r>
        <w:rPr>
          <w:rFonts w:ascii="Arial" w:cs="Arial" w:eastAsia="Arial" w:hAnsi="Arial"/>
          <w:color w:val="444444"/>
          <w:sz w:val="22"/>
          <w:szCs w:val="22"/>
        </w:rPr>
        <w:t xml:space="preserve">ABI Research – Robotics Market Forecast (2024)</w:t>
      </w:r>
    </w:p>
    <w:p>
      <w:pPr>
        <w:pStyle w:val="ListParagraph"/>
        <w:numPr>
          <w:ilvl w:val="0"/>
          <w:numId w:val="2"/>
        </w:numPr>
        <w:spacing w:after="100"/>
      </w:pPr>
      <w:r>
        <w:rPr>
          <w:rFonts w:ascii="Arial" w:cs="Arial" w:eastAsia="Arial" w:hAnsi="Arial"/>
          <w:color w:val="444444"/>
          <w:sz w:val="22"/>
          <w:szCs w:val="22"/>
        </w:rPr>
        <w:t xml:space="preserve">DARPA Robotics Technology Roadmap (2023)</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2026-02-26T21:29:05.870Z</dcterms:created>
  <dcterms:modified xsi:type="dcterms:W3CDTF">2026-02-26T21:29:05.870Z</dcterms:modified>
</cp:coreProperties>
</file>

<file path=docProps/custom.xml><?xml version="1.0" encoding="utf-8"?>
<Properties xmlns="http://schemas.openxmlformats.org/officeDocument/2006/custom-properties" xmlns:vt="http://schemas.openxmlformats.org/officeDocument/2006/docPropsVTypes"/>
</file>