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Digital Twin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Digital Twin Engineers build virtual replicas of physical assets, systems, or processes that continuously update from real-time sensor data and enable simulation, monitoring, and optimization. Originally pioneered in aerospace and manufacturing, digital twins are now being applied to smart cities, energy grids, supply chains, healthcare, and built environments. As IoT sensor density increases and simulation fidelity improves, digital twins will become the standard interface between physical operations and digital intelligence.</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Core activities include integrating IoT sensor data streams with 3D visualization platforms (NVIDIA Omniverse, Azure Digital Twins, AWS IoT TwinMaker, Unity), building physics-based and data-driven simulation models, designing real-time synchronization architectures, implementing anomaly detection and predictive maintenance algorithms, and creating dashboards and visualizations for operational teams. Digital Twin Engineers also work on model validation—ensuring the virtual model accurately represents physical behavior—and on simulation-based optimization (testing operational scenarios before implementing them physically).</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Breadth across IoT, cloud platforms, 3D simulation/visualization, and data engineering is required. Experience with NVIDIA Omniverse, Bentley iTwin, or similar platforms, knowledge of physics simulation principles, time-series data processing, and 3D modeling (CAD data integration) differentiates specialists. Soft skills: the ability to work across very different teams—manufacturing engineers, facilities managers, data scientists, and software engineers—and translate the language of each.</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Digital Twin Engineers have a synthesis mindset—they delight in combining disparate systems (physical hardware, sensor data, simulation, visualization) into a coherent whole. They are curious about physical systems and take time to understand the operational domain (a manufacturing plant, an energy grid, a hospital) in which their digital twin will operate. They are strong communicators who bridge OT and IT cultures.</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Software/IoT Engineer → Digital Twin Engineer → Senior Digital Twin Engineer → Digital Twin Architect → Head of Digital Twin Platform → VP of Digital Transformation. Many paths intersect with industrial IoT, smart city, and enterprise digital transformation programs.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$100,000–$140,000 (engineer), $150,000–$195,000 (senior/architect), $200,000–$270,000 (principal/head). Annual salary growth of 10–14% is projected, driven by industrial IoT and smart infrastructure investment.</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Gartner Digital Twin Market Guide (2024)</w:t>
      </w:r>
    </w:p>
    <w:p>
      <w:pPr>
        <w:pStyle w:val="ListParagraph"/>
        <w:numPr>
          <w:ilvl w:val="0"/>
          <w:numId w:val="2"/>
        </w:numPr>
        <w:spacing w:after="100"/>
      </w:pPr>
      <w:r>
        <w:rPr>
          <w:rFonts w:ascii="Arial" w:cs="Arial" w:eastAsia="Arial" w:hAnsi="Arial"/>
          <w:color w:val="444444"/>
          <w:sz w:val="22"/>
          <w:szCs w:val="22"/>
        </w:rPr>
        <w:t xml:space="preserve">IDC Digital Twin Forecast (2024)</w:t>
      </w:r>
    </w:p>
    <w:p>
      <w:pPr>
        <w:pStyle w:val="ListParagraph"/>
        <w:numPr>
          <w:ilvl w:val="0"/>
          <w:numId w:val="2"/>
        </w:numPr>
        <w:spacing w:after="100"/>
      </w:pPr>
      <w:r>
        <w:rPr>
          <w:rFonts w:ascii="Arial" w:cs="Arial" w:eastAsia="Arial" w:hAnsi="Arial"/>
          <w:color w:val="444444"/>
          <w:sz w:val="22"/>
          <w:szCs w:val="22"/>
        </w:rPr>
        <w:t xml:space="preserve">NVIDIA Omniverse Use Case Report (2024)</w:t>
      </w:r>
    </w:p>
    <w:p>
      <w:pPr>
        <w:pStyle w:val="ListParagraph"/>
        <w:numPr>
          <w:ilvl w:val="0"/>
          <w:numId w:val="2"/>
        </w:numPr>
        <w:spacing w:after="100"/>
      </w:pPr>
      <w:r>
        <w:rPr>
          <w:rFonts w:ascii="Arial" w:cs="Arial" w:eastAsia="Arial" w:hAnsi="Arial"/>
          <w:color w:val="444444"/>
          <w:sz w:val="22"/>
          <w:szCs w:val="22"/>
        </w:rPr>
        <w:t xml:space="preserve">Glassdoor – Digital Twin Engineer Salaries (2024)</w:t>
      </w:r>
    </w:p>
    <w:p>
      <w:pPr>
        <w:pStyle w:val="ListParagraph"/>
        <w:numPr>
          <w:ilvl w:val="0"/>
          <w:numId w:val="2"/>
        </w:numPr>
        <w:spacing w:after="100"/>
      </w:pPr>
      <w:r>
        <w:rPr>
          <w:rFonts w:ascii="Arial" w:cs="Arial" w:eastAsia="Arial" w:hAnsi="Arial"/>
          <w:color w:val="444444"/>
          <w:sz w:val="22"/>
          <w:szCs w:val="22"/>
        </w:rPr>
        <w:t xml:space="preserve">McKinsey – Digital Twins in Manufacturing (2024)</w:t>
      </w:r>
    </w:p>
    <w:p>
      <w:pPr>
        <w:pStyle w:val="ListParagraph"/>
        <w:numPr>
          <w:ilvl w:val="0"/>
          <w:numId w:val="2"/>
        </w:numPr>
        <w:spacing w:after="100"/>
      </w:pPr>
      <w:r>
        <w:rPr>
          <w:rFonts w:ascii="Arial" w:cs="Arial" w:eastAsia="Arial" w:hAnsi="Arial"/>
          <w:color w:val="444444"/>
          <w:sz w:val="22"/>
          <w:szCs w:val="22"/>
        </w:rPr>
        <w:t xml:space="preserve">ABI Research – Digital Twin Technologies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2026-02-26T21:29:05.883Z</dcterms:created>
  <dcterms:modified xsi:type="dcterms:W3CDTF">2026-02-26T21:29:05.883Z</dcterms:modified>
</cp:coreProperties>
</file>

<file path=docProps/custom.xml><?xml version="1.0" encoding="utf-8"?>
<Properties xmlns="http://schemas.openxmlformats.org/officeDocument/2006/custom-properties" xmlns:vt="http://schemas.openxmlformats.org/officeDocument/2006/docPropsVTypes"/>
</file>