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Edge Computing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Edge Computing Engineers design systems that process data at or near the source of generation—on devices, gateways, or regional micro-data-centers—rather than relaying everything to centralized cloud data centers. The imperative to reduce latency (for autonomous vehicles, industrial control, AR/VR), reduce bandwidth costs, and operate in disconnected environments is driving significant investment in edge infrastructure. Combined with the growth of AI inference at the edge (tinyML, on-device LLMs), this specialization will see sustained demand through 2035.</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Responsibilities include designing edge deployment architectures (edge nodes, gateway hierarchies), containerizing and orchestrating workloads on edge hardware (Kubernetes edge distributions like K3s, MicroK8s; AWS Greengrass; Azure IoT Edge), optimizing ML models for resource-constrained hardware (quantization, pruning, ONNX, TensorRT), managing edge device fleets (OTA updates, remote monitoring), and ensuring security and resilience in environments with unreliable connectivity. Engineers also integrate with IoT platforms and design data synchronization strategies between edge and cloud.</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Linux systems administration, containerization (Docker, Kubernetes), IoT protocols, and at least one cloud platform are foundational. Experience with edge-specific compute platforms (NVIDIA Jetson, Intel OpenVINO, Google Coral), model optimization techniques, and networking in constrained environments (mesh networks, 5G) distinguishes senior practitioners. Soft skills: comfort working in operational environments (factories, outdoor deployments) and communicating with non-technical operators.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Edge Computing Engineers share the IoT engineer's appreciation for physical-world constraints while bringing deeper software engineering rigor. They are resourceful problem-solvers who thrive when faced with the challenge of doing more with less—less compute, less memory, less bandwidth. They are pragmatic about hardware choices and adept at creative optimization.</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IoT/Embedded Engineer → Edge Computing Engineer → Senior Edge Engineer → Edge Architecture Lead → Principal Engineer or VP of Edge Infrastructure.</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$100,000–$140,000 (engineer), $150,000–$195,000 (senior), $200,000–$270,000 (principal/architect). Annual salary growth of 9–13% is projected, driven by autonomous systems, smart manufacturing, and real-time AI inference demand.</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Eclipse IoT &amp; Edge Survey (2024)</w:t>
      </w:r>
    </w:p>
    <w:p>
      <w:pPr>
        <w:pStyle w:val="ListParagraph"/>
        <w:numPr>
          <w:ilvl w:val="0"/>
          <w:numId w:val="2"/>
        </w:numPr>
        <w:spacing w:after="100"/>
      </w:pPr>
      <w:r>
        <w:rPr>
          <w:rFonts w:ascii="Arial" w:cs="Arial" w:eastAsia="Arial" w:hAnsi="Arial"/>
          <w:color w:val="444444"/>
          <w:sz w:val="22"/>
          <w:szCs w:val="22"/>
        </w:rPr>
        <w:t xml:space="preserve">IDC Edge Computing Market Forecast (2024)</w:t>
      </w:r>
    </w:p>
    <w:p>
      <w:pPr>
        <w:pStyle w:val="ListParagraph"/>
        <w:numPr>
          <w:ilvl w:val="0"/>
          <w:numId w:val="2"/>
        </w:numPr>
        <w:spacing w:after="100"/>
      </w:pPr>
      <w:r>
        <w:rPr>
          <w:rFonts w:ascii="Arial" w:cs="Arial" w:eastAsia="Arial" w:hAnsi="Arial"/>
          <w:color w:val="444444"/>
          <w:sz w:val="22"/>
          <w:szCs w:val="22"/>
        </w:rPr>
        <w:t xml:space="preserve">Gartner Edge Computing Hype Cycle (2024)</w:t>
      </w:r>
    </w:p>
    <w:p>
      <w:pPr>
        <w:pStyle w:val="ListParagraph"/>
        <w:numPr>
          <w:ilvl w:val="0"/>
          <w:numId w:val="2"/>
        </w:numPr>
        <w:spacing w:after="100"/>
      </w:pPr>
      <w:r>
        <w:rPr>
          <w:rFonts w:ascii="Arial" w:cs="Arial" w:eastAsia="Arial" w:hAnsi="Arial"/>
          <w:color w:val="444444"/>
          <w:sz w:val="22"/>
          <w:szCs w:val="22"/>
        </w:rPr>
        <w:t xml:space="preserve">Linux Foundation Edge – State of the Edge Report (2024)</w:t>
      </w:r>
    </w:p>
    <w:p>
      <w:pPr>
        <w:pStyle w:val="ListParagraph"/>
        <w:numPr>
          <w:ilvl w:val="0"/>
          <w:numId w:val="2"/>
        </w:numPr>
        <w:spacing w:after="100"/>
      </w:pPr>
      <w:r>
        <w:rPr>
          <w:rFonts w:ascii="Arial" w:cs="Arial" w:eastAsia="Arial" w:hAnsi="Arial"/>
          <w:color w:val="444444"/>
          <w:sz w:val="22"/>
          <w:szCs w:val="22"/>
        </w:rPr>
        <w:t xml:space="preserve">Glassdoor – Edge Computing Engineer Salaries (2024)</w:t>
      </w:r>
    </w:p>
    <w:p>
      <w:pPr>
        <w:pStyle w:val="ListParagraph"/>
        <w:numPr>
          <w:ilvl w:val="0"/>
          <w:numId w:val="2"/>
        </w:numPr>
        <w:spacing w:after="100"/>
      </w:pPr>
      <w:r>
        <w:rPr>
          <w:rFonts w:ascii="Arial" w:cs="Arial" w:eastAsia="Arial" w:hAnsi="Arial"/>
          <w:color w:val="444444"/>
          <w:sz w:val="22"/>
          <w:szCs w:val="22"/>
        </w:rPr>
        <w:t xml:space="preserve">GSMA Intelligence – 5G and Edge Computing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2026-02-26T21:29:05.900Z</dcterms:created>
  <dcterms:modified xsi:type="dcterms:W3CDTF">2026-02-26T21:29:05.900Z</dcterms:modified>
</cp:coreProperties>
</file>

<file path=docProps/custom.xml><?xml version="1.0" encoding="utf-8"?>
<Properties xmlns="http://schemas.openxmlformats.org/officeDocument/2006/custom-properties" xmlns:vt="http://schemas.openxmlformats.org/officeDocument/2006/docPropsVTypes"/>
</file>