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Cybersecurity Architect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Cybersecurity Architects design the comprehensive security frameworks, policies, and technical controls that protect an organization's entire digital infrastructure. Where security engineers implement specific controls, architects take a holistic, long-term view—defining the target security architecture, establishing security by design across all systems, and aligning security investment with business risk appetite. As threat complexity increases and regulatory requirements multiply, organizations are investing in senior security architects to ensure their defenses scale coherently.</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developing enterprise security architectures (zero-trust, defense in depth, SASE frameworks), conducting threat modeling and risk assessments for major systems, defining security standards and reference architectures, advising application and infrastructure teams during design phases, evaluating and selecting security technology vendors, and working with the CISO and executive team on security strategy. Architects also lead responses to major regulatory changes, design identity governance frameworks, and oversee security architecture reviews across the technology portfolio.</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Extensive cross-domain security knowledge is required: network security, application security, identity and access management, cloud security, and operational security. Certifications such as CISSP, SABSA (Sherwood Applied Business Security Architecture), CISM, or cloud security certifications are typical. Experience leading security programs, strong risk communication skills, and the ability to translate technical risk into business impact are essential differentiators for this senior role.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Security Architects are strategic thinkers who maintain detailed technical depth while operating at an organizational level. They balance the ideal security posture against operational and cost constraints, always making pragmatic, risk-based decisions. They are excellent communicators who can speak the language of engineers, business leaders, and regulators equally fluently.</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Senior Security Engineer → Security Architect → Principal Security Architect → Fellow or CISO. Security Architecture is often the last technical stop before transitioning into CISO or executive roles.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$150,000–$195,000 (architect), $200,000–$270,000 (principal/senior architect), $280,000–$400,000+ (CISO level). Annual salary growth of 10–14% is projected, reflecting the critical nature of the role and the severe global security talent shortage.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(ISC)² Cybersecurity Workforce Study (2024)</w:t>
      </w:r>
    </w:p>
    <w:p>
      <w:pPr>
        <w:pStyle w:val="ListParagraph"/>
        <w:numPr>
          <w:ilvl w:val="0"/>
          <w:numId w:val="2"/>
        </w:numPr>
        <w:spacing w:after="100"/>
      </w:pPr>
      <w:r>
        <w:rPr>
          <w:rFonts w:ascii="Arial" w:cs="Arial" w:eastAsia="Arial" w:hAnsi="Arial"/>
          <w:color w:val="444444"/>
          <w:sz w:val="22"/>
          <w:szCs w:val="22"/>
        </w:rPr>
        <w:t xml:space="preserve">Gartner Security Architecture Market Guide (2024)</w:t>
      </w:r>
    </w:p>
    <w:p>
      <w:pPr>
        <w:pStyle w:val="ListParagraph"/>
        <w:numPr>
          <w:ilvl w:val="0"/>
          <w:numId w:val="2"/>
        </w:numPr>
        <w:spacing w:after="100"/>
      </w:pPr>
      <w:r>
        <w:rPr>
          <w:rFonts w:ascii="Arial" w:cs="Arial" w:eastAsia="Arial" w:hAnsi="Arial"/>
          <w:color w:val="444444"/>
          <w:sz w:val="22"/>
          <w:szCs w:val="22"/>
        </w:rPr>
        <w:t xml:space="preserve">SANS Salary Survey (2024)</w:t>
      </w:r>
    </w:p>
    <w:p>
      <w:pPr>
        <w:pStyle w:val="ListParagraph"/>
        <w:numPr>
          <w:ilvl w:val="0"/>
          <w:numId w:val="2"/>
        </w:numPr>
        <w:spacing w:after="100"/>
      </w:pPr>
      <w:r>
        <w:rPr>
          <w:rFonts w:ascii="Arial" w:cs="Arial" w:eastAsia="Arial" w:hAnsi="Arial"/>
          <w:color w:val="444444"/>
          <w:sz w:val="22"/>
          <w:szCs w:val="22"/>
        </w:rPr>
        <w:t xml:space="preserve">Glassdoor – Security Architect Salaries (2024)</w:t>
      </w:r>
    </w:p>
    <w:p>
      <w:pPr>
        <w:pStyle w:val="ListParagraph"/>
        <w:numPr>
          <w:ilvl w:val="0"/>
          <w:numId w:val="2"/>
        </w:numPr>
        <w:spacing w:after="100"/>
      </w:pPr>
      <w:r>
        <w:rPr>
          <w:rFonts w:ascii="Arial" w:cs="Arial" w:eastAsia="Arial" w:hAnsi="Arial"/>
          <w:color w:val="444444"/>
          <w:sz w:val="22"/>
          <w:szCs w:val="22"/>
        </w:rPr>
        <w:t xml:space="preserve">Forrester – Zero Trust Architecture Trends (2024)</w:t>
      </w:r>
    </w:p>
    <w:p>
      <w:pPr>
        <w:pStyle w:val="ListParagraph"/>
        <w:numPr>
          <w:ilvl w:val="0"/>
          <w:numId w:val="2"/>
        </w:numPr>
        <w:spacing w:after="100"/>
      </w:pPr>
      <w:r>
        <w:rPr>
          <w:rFonts w:ascii="Arial" w:cs="Arial" w:eastAsia="Arial" w:hAnsi="Arial"/>
          <w:color w:val="444444"/>
          <w:sz w:val="22"/>
          <w:szCs w:val="22"/>
        </w:rPr>
        <w:t xml:space="preserve">CISA National Cybersecurity Strategy (2023)</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2026-02-26T21:29:05.916Z</dcterms:created>
  <dcterms:modified xsi:type="dcterms:W3CDTF">2026-02-26T21:29:05.916Z</dcterms:modified>
</cp:coreProperties>
</file>

<file path=docProps/custom.xml><?xml version="1.0" encoding="utf-8"?>
<Properties xmlns="http://schemas.openxmlformats.org/officeDocument/2006/custom-properties" xmlns:vt="http://schemas.openxmlformats.org/officeDocument/2006/docPropsVTypes"/>
</file>