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5G / Network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5G and Network Engineers design, deploy, and optimize the telecommunications infrastructure that underpins modern connectivity, including 5G networks, private wireless networks, SD-WAN deployments, and edge-connected systems. The global 5G rollout is creating enormous demand for engineers who understand both the RAN (radio access network) layer and the core network, as well as the integration of 5G with enterprise systems, IoT, and edge computing. Network engineers who can bridge traditional telecom with cloud-native architectures are particularly scarce and valued.</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For 5G specialists, work includes RAN design and optimization (NR, massive MIMO, beamforming), 5G Core (5GC) deployment (Open RAN, virtualized network functions), network slicing for enterprise use cases, and private 5G network design for factories and campuses. More broadly, network engineers design and manage WAN/LAN/SD-WAN infrastructure, BGP routing, MPLS, network virtualization (SDN, NFV), and network automation (Ansible, YANG models, NETCONF). Network security integration—firewall policies, IDS/IPS, network access control—is a significant component.</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Deep knowledge of networking protocols (BGP, OSPF, MPLS, VXLAN), cellular standards (3GPP NR), and software-defined networking is foundational. Cloud networking proficiency (AWS Direct Connect, Azure ExpressRoute, GCP Interconnect) and network automation scripting are increasingly expected. For 5G roles, knowledge of 3GPP specifications, O-RAN architectures, and RAN optimization tools is essential. Vendor certifications (Cisco CCIE/CCNP, Ericsson, Nokia, Huawei) and increasingly DevNet-style automation certifications demonstrate expertise.</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Excellent Network Engineers combine a deep understanding of protocol-layer behavior with systems-level thinking. They are methodical troubleshooters—packet analysis at 3 AM is a skill and a temperament. They stay current on rapidly evolving technologies (Open RAN, Wi-Fi 7, deterministic networking) and balance investment in new skills with the operational demands of maintaining existing infrastructure.</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Network Engineer → Senior Network Engineer → Network Architect → Principal Network Architect → Director of Network Engineering → VP of Infrastructure. Telecom-specific paths lead through vendor roles (Ericsson, Nokia) to carrier-side leadership.</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$90,000–$125,000 (mid-level), $130,000–$175,000 (senior), $180,000–$250,000 (architect/director). Annual salary growth of 6–9% is projected, with 5G specialists at the higher end due to scarcity of certified expertise.</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Ericsson Mobility Report (2024)</w:t>
      </w:r>
    </w:p>
    <w:p>
      <w:pPr>
        <w:pStyle w:val="ListParagraph"/>
        <w:numPr>
          <w:ilvl w:val="0"/>
          <w:numId w:val="2"/>
        </w:numPr>
        <w:spacing w:after="100"/>
      </w:pPr>
      <w:r>
        <w:rPr>
          <w:rFonts w:ascii="Arial" w:cs="Arial" w:eastAsia="Arial" w:hAnsi="Arial"/>
          <w:color w:val="444444"/>
          <w:sz w:val="22"/>
          <w:szCs w:val="22"/>
        </w:rPr>
        <w:t xml:space="preserve">GSMA Intelligence – 5G Economy Report (2024)</w:t>
      </w:r>
    </w:p>
    <w:p>
      <w:pPr>
        <w:pStyle w:val="ListParagraph"/>
        <w:numPr>
          <w:ilvl w:val="0"/>
          <w:numId w:val="2"/>
        </w:numPr>
        <w:spacing w:after="100"/>
      </w:pPr>
      <w:r>
        <w:rPr>
          <w:rFonts w:ascii="Arial" w:cs="Arial" w:eastAsia="Arial" w:hAnsi="Arial"/>
          <w:color w:val="444444"/>
          <w:sz w:val="22"/>
          <w:szCs w:val="22"/>
        </w:rPr>
        <w:t xml:space="preserve">U.S. BLS – Network Architects Occupational Outlook (2024)</w:t>
      </w:r>
    </w:p>
    <w:p>
      <w:pPr>
        <w:pStyle w:val="ListParagraph"/>
        <w:numPr>
          <w:ilvl w:val="0"/>
          <w:numId w:val="2"/>
        </w:numPr>
        <w:spacing w:after="100"/>
      </w:pPr>
      <w:r>
        <w:rPr>
          <w:rFonts w:ascii="Arial" w:cs="Arial" w:eastAsia="Arial" w:hAnsi="Arial"/>
          <w:color w:val="444444"/>
          <w:sz w:val="22"/>
          <w:szCs w:val="22"/>
        </w:rPr>
        <w:t xml:space="preserve">Gartner Enterprise Networking Magic Quadrant (2024)</w:t>
      </w:r>
    </w:p>
    <w:p>
      <w:pPr>
        <w:pStyle w:val="ListParagraph"/>
        <w:numPr>
          <w:ilvl w:val="0"/>
          <w:numId w:val="2"/>
        </w:numPr>
        <w:spacing w:after="100"/>
      </w:pPr>
      <w:r>
        <w:rPr>
          <w:rFonts w:ascii="Arial" w:cs="Arial" w:eastAsia="Arial" w:hAnsi="Arial"/>
          <w:color w:val="444444"/>
          <w:sz w:val="22"/>
          <w:szCs w:val="22"/>
        </w:rPr>
        <w:t xml:space="preserve">Glassdoor – Network Engineer Salaries (2024)</w:t>
      </w:r>
    </w:p>
    <w:p>
      <w:pPr>
        <w:pStyle w:val="ListParagraph"/>
        <w:numPr>
          <w:ilvl w:val="0"/>
          <w:numId w:val="2"/>
        </w:numPr>
        <w:spacing w:after="100"/>
      </w:pPr>
      <w:r>
        <w:rPr>
          <w:rFonts w:ascii="Arial" w:cs="Arial" w:eastAsia="Arial" w:hAnsi="Arial"/>
          <w:color w:val="444444"/>
          <w:sz w:val="22"/>
          <w:szCs w:val="22"/>
        </w:rPr>
        <w:t xml:space="preserve">Heavy Reading – Private 5G Market Forecast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2026-02-26T21:29:05.926Z</dcterms:created>
  <dcterms:modified xsi:type="dcterms:W3CDTF">2026-02-26T21:29:05.926Z</dcterms:modified>
</cp:coreProperties>
</file>

<file path=docProps/custom.xml><?xml version="1.0" encoding="utf-8"?>
<Properties xmlns="http://schemas.openxmlformats.org/officeDocument/2006/custom-properties" xmlns:vt="http://schemas.openxmlformats.org/officeDocument/2006/docPropsVTypes"/>
</file>