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Autonomous Systems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Autonomous Systems Engineers build the software stacks that enable vehicles, drones, robots, and industrial systems to operate without direct human control. This includes self-driving cars, delivery drones, autonomous ships, underground mining systems, and factory automation. The convergence of sensor technology, AI, edge computing, and V2X communication is accelerating the autonomy frontier across multiple industries simultaneously, creating sustained demand for engineers who can build safety-critical autonomous systems.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perception pipeline development (sensor fusion of cameras, LiDAR, radar), localization and mapping (SLAM, HD maps), prediction (trajectory forecasting for other agents), motion planning (behavior trees, MPC, learning-based planners), control systems design, simulation and scenario generation for testing (CARLA, LGSVL, CARMAKER), and safety case development. Autonomous Systems Engineers work in tightly integrated hardware-software teams and spend significant time validating system behavior against safety standards (ISO 26262, UL 4600).</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C++ and Python proficiency, ROS/ROS2, knowledge of autonomous vehicle software stacks (Apollo, Autoware), sensor integration experience, probabilistic algorithms (Kalman filters, particle filters), and machine learning for perception and prediction are core. Functional safety (ISO 26262 ASIL certification) and simulation tooling experience are highly valued. Soft skills: comfort with extreme rigor—every edge case has the potential to be a safety incident.</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Autonomous Systems Engineers are motivated by the audacious challenge of making machines as reliable as or more reliable than humans in complex dynamic environments. They have an engineer's obsession with edge cases and failure modes and are not satisfied by solutions that work 99% of the time when that last 1% could be catastrophic. They thrive in multidisciplinary teams and are comfortable with long development cycles where progress is measured in safety improvements.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Robotics/Autonomous Engineer → Senior Engineer → Staff Engineer → Autonomous Systems Architect → VP of Autonomy. Specializations in specific verticals (automotive, drones, marine, industrial) define distinct company ecosystems.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$120,000–$160,000 (mid-level), $170,000–$230,000 (senior), $240,000–$400,000+ (staff/principal at top autonomous vehicle companies). Annual salary growth of 10–15% is projected, driven by autonomous vehicle and robotics capital investment.</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SAE International Autonomous Vehicle Report (2024)</w:t>
      </w:r>
    </w:p>
    <w:p>
      <w:pPr>
        <w:pStyle w:val="ListParagraph"/>
        <w:numPr>
          <w:ilvl w:val="0"/>
          <w:numId w:val="2"/>
        </w:numPr>
        <w:spacing w:after="100"/>
      </w:pPr>
      <w:r>
        <w:rPr>
          <w:rFonts w:ascii="Arial" w:cs="Arial" w:eastAsia="Arial" w:hAnsi="Arial"/>
          <w:color w:val="444444"/>
          <w:sz w:val="22"/>
          <w:szCs w:val="22"/>
        </w:rPr>
        <w:t xml:space="preserve">KPMG Autonomous Vehicles Readiness Index (2024)</w:t>
      </w:r>
    </w:p>
    <w:p>
      <w:pPr>
        <w:pStyle w:val="ListParagraph"/>
        <w:numPr>
          <w:ilvl w:val="0"/>
          <w:numId w:val="2"/>
        </w:numPr>
        <w:spacing w:after="100"/>
      </w:pPr>
      <w:r>
        <w:rPr>
          <w:rFonts w:ascii="Arial" w:cs="Arial" w:eastAsia="Arial" w:hAnsi="Arial"/>
          <w:color w:val="444444"/>
          <w:sz w:val="22"/>
          <w:szCs w:val="22"/>
        </w:rPr>
        <w:t xml:space="preserve">Glassdoor – Autonomous Systems Engineer Salaries (2024)</w:t>
      </w:r>
    </w:p>
    <w:p>
      <w:pPr>
        <w:pStyle w:val="ListParagraph"/>
        <w:numPr>
          <w:ilvl w:val="0"/>
          <w:numId w:val="2"/>
        </w:numPr>
        <w:spacing w:after="100"/>
      </w:pPr>
      <w:r>
        <w:rPr>
          <w:rFonts w:ascii="Arial" w:cs="Arial" w:eastAsia="Arial" w:hAnsi="Arial"/>
          <w:color w:val="444444"/>
          <w:sz w:val="22"/>
          <w:szCs w:val="22"/>
        </w:rPr>
        <w:t xml:space="preserve">McKinsey – Autonomous Mobility Outlook (2024)</w:t>
      </w:r>
    </w:p>
    <w:p>
      <w:pPr>
        <w:pStyle w:val="ListParagraph"/>
        <w:numPr>
          <w:ilvl w:val="0"/>
          <w:numId w:val="2"/>
        </w:numPr>
        <w:spacing w:after="100"/>
      </w:pPr>
      <w:r>
        <w:rPr>
          <w:rFonts w:ascii="Arial" w:cs="Arial" w:eastAsia="Arial" w:hAnsi="Arial"/>
          <w:color w:val="444444"/>
          <w:sz w:val="22"/>
          <w:szCs w:val="22"/>
        </w:rPr>
        <w:t xml:space="preserve">International Federation of Robotics – Autonomous Systems Report (2024)</w:t>
      </w:r>
    </w:p>
    <w:p>
      <w:pPr>
        <w:pStyle w:val="ListParagraph"/>
        <w:numPr>
          <w:ilvl w:val="0"/>
          <w:numId w:val="2"/>
        </w:numPr>
        <w:spacing w:after="100"/>
      </w:pPr>
      <w:r>
        <w:rPr>
          <w:rFonts w:ascii="Arial" w:cs="Arial" w:eastAsia="Arial" w:hAnsi="Arial"/>
          <w:color w:val="444444"/>
          <w:sz w:val="22"/>
          <w:szCs w:val="22"/>
        </w:rPr>
        <w:t xml:space="preserve">NHTSA Automated Vehicles Research Reports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2026-02-26T21:29:05.934Z</dcterms:created>
  <dcterms:modified xsi:type="dcterms:W3CDTF">2026-02-26T21:29:05.934Z</dcterms:modified>
</cp:coreProperties>
</file>

<file path=docProps/custom.xml><?xml version="1.0" encoding="utf-8"?>
<Properties xmlns="http://schemas.openxmlformats.org/officeDocument/2006/custom-properties" xmlns:vt="http://schemas.openxmlformats.org/officeDocument/2006/docPropsVTypes"/>
</file>