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rPr>
          <w:rFonts w:ascii="Arial" w:cs="Arial" w:eastAsia="Arial" w:hAnsi="Arial"/>
          <w:b/>
          <w:bCs/>
          <w:color w:val="1F4E79"/>
          <w:sz w:val="48"/>
          <w:szCs w:val="48"/>
        </w:rPr>
        <w:t xml:space="preserve">Digital Transformation Manager</w:t>
      </w:r>
    </w:p>
    <w:p>
      <w:pPr>
        <w:spacing w:before="0" w:after="40"/>
      </w:pPr>
      <w:r>
        <w:rPr>
          <w:rFonts w:ascii="Arial" w:cs="Arial" w:eastAsia="Arial" w:hAnsi="Arial"/>
          <w:i/>
          <w:iCs/>
          <w:color w:val="666666"/>
          <w:sz w:val="22"/>
          <w:szCs w:val="22"/>
        </w:rPr>
        <w:t xml:space="preserve">IT Workforce Profile | 10-Year Outlook (2025–2035)</w:t>
      </w:r>
    </w:p>
    <w:p>
      <w:pPr>
        <w:pBdr>
          <w:bottom w:val="single" w:color="2E75B6" w:sz="6" w:space="1"/>
        </w:pBdr>
        <w:spacing w:before="80" w:after="80"/>
      </w:pPr>
      <w:r>
        <w:rPr>
          <w:rFonts w:ascii="Arial" w:cs="Arial" w:eastAsia="Arial" w:hAnsi="Arial"/>
        </w:rPr>
        <w:t xml:space="preserve"/>
      </w:r>
    </w:p>
    <w:p>
      <w:pPr>
        <w:spacing w:before="12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Role Category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Management &amp; Strategy</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22"/>
                <w:szCs w:val="22"/>
              </w:rPr>
              <w:t xml:space="preserve">Salary Growth (YoY)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See Salary section below</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Remote Friendly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(majority of roles)</w:t>
            </w:r>
          </w:p>
        </w:tc>
      </w:tr>
    </w:tbl>
    <w:p>
      <w:pPr>
        <w:spacing w:before="200" w:after="0"/>
      </w:pPr>
    </w:p>
    <w:p>
      <w:pPr>
        <w:pStyle w:val="Heading2"/>
        <w:spacing w:before="280" w:after="120"/>
      </w:pPr>
      <w:r>
        <w:rPr>
          <w:rFonts w:ascii="Arial" w:cs="Arial" w:eastAsia="Arial" w:hAnsi="Arial"/>
          <w:b/>
          <w:bCs/>
          <w:color w:val="2E75B6"/>
          <w:sz w:val="28"/>
          <w:szCs w:val="28"/>
        </w:rPr>
        <w:t xml:space="preserve">Overview</w:t>
      </w:r>
    </w:p>
    <w:p>
      <w:pPr>
        <w:spacing w:before="0" w:after="200" w:line="280" w:lineRule="auto"/>
        <w:jc w:val="left"/>
      </w:pPr>
      <w:r>
        <w:rPr>
          <w:rFonts w:ascii="Arial" w:cs="Arial" w:eastAsia="Arial" w:hAnsi="Arial"/>
          <w:b w:val="false"/>
          <w:bCs w:val="false"/>
          <w:color w:val="000000"/>
          <w:sz w:val="24"/>
          <w:szCs w:val="24"/>
        </w:rPr>
        <w:t xml:space="preserve">Digital Transformation Managers lead the organizational change initiatives that help businesses adopt new technologies, rethink processes, and develop digital capabilities. Unlike pure technology projects, digital transformation requires managing the human dimensions of change—culture, capability building, resistance to change, and new ways of working. As AI, cloud, and automation reshape every industry, organizations that can execute transformation effectively will outcompete those that cannot, making this role increasingly strategic.</w:t>
      </w:r>
    </w:p>
    <w:p>
      <w:pPr>
        <w:pStyle w:val="Heading2"/>
        <w:spacing w:before="280" w:after="120"/>
      </w:pPr>
      <w:r>
        <w:rPr>
          <w:rFonts w:ascii="Arial" w:cs="Arial" w:eastAsia="Arial" w:hAnsi="Arial"/>
          <w:b/>
          <w:bCs/>
          <w:color w:val="2E75B6"/>
          <w:sz w:val="28"/>
          <w:szCs w:val="28"/>
        </w:rPr>
        <w:t xml:space="preserve">What the Role Involves</w:t>
      </w:r>
    </w:p>
    <w:p>
      <w:pPr>
        <w:spacing w:before="0" w:after="200" w:line="280" w:lineRule="auto"/>
        <w:jc w:val="left"/>
      </w:pPr>
      <w:r>
        <w:rPr>
          <w:rFonts w:ascii="Arial" w:cs="Arial" w:eastAsia="Arial" w:hAnsi="Arial"/>
          <w:b w:val="false"/>
          <w:bCs w:val="false"/>
          <w:color w:val="000000"/>
          <w:sz w:val="24"/>
          <w:szCs w:val="24"/>
        </w:rPr>
        <w:t xml:space="preserve">Work encompasses diagnosing organizational digital maturity, designing transformation roadmaps aligned with business strategy, managing a portfolio of digital initiatives, facilitating cross-functional collaboration between IT, operations, HR, and finance, building internal digital capability (upskilling programs, centers of excellence), selecting and managing technology vendor relationships, measuring transformation impact through digital KPIs, and managing change communications. An increasing focus is on AI adoption strategies—building the organizational readiness to integrate AI across business functions.</w:t>
      </w:r>
    </w:p>
    <w:p>
      <w:pPr>
        <w:pStyle w:val="Heading2"/>
        <w:spacing w:before="280" w:after="120"/>
      </w:pPr>
      <w:r>
        <w:rPr>
          <w:rFonts w:ascii="Arial" w:cs="Arial" w:eastAsia="Arial" w:hAnsi="Arial"/>
          <w:b/>
          <w:bCs/>
          <w:color w:val="2E75B6"/>
          <w:sz w:val="28"/>
          <w:szCs w:val="28"/>
        </w:rPr>
        <w:t xml:space="preserve">Key Skills Required</w:t>
      </w:r>
    </w:p>
    <w:p>
      <w:pPr>
        <w:spacing w:before="0" w:after="200" w:line="280" w:lineRule="auto"/>
        <w:jc w:val="left"/>
      </w:pPr>
      <w:r>
        <w:rPr>
          <w:rFonts w:ascii="Arial" w:cs="Arial" w:eastAsia="Arial" w:hAnsi="Arial"/>
          <w:b w:val="false"/>
          <w:bCs w:val="false"/>
          <w:color w:val="000000"/>
          <w:sz w:val="24"/>
          <w:szCs w:val="24"/>
        </w:rPr>
        <w:t xml:space="preserve">Core competencies include change management frameworks (ADKAR, Kotter's 8-Step), project and program management, strategic planning, stakeholder management, and business analysis. Technology literacy—enough to evaluate vendor claims, understand implementation challenges, and converse with IT teams—is essential. Soft skills are particularly central to this role: executive presence, facilitation, coaching, conflict resolution, and the ability to inspire confidence during uncertainty are hallmarks of excellence.</w:t>
      </w:r>
    </w:p>
    <w:p>
      <w:pPr>
        <w:pStyle w:val="Heading2"/>
        <w:spacing w:before="280" w:after="120"/>
      </w:pPr>
      <w:r>
        <w:rPr>
          <w:rFonts w:ascii="Arial" w:cs="Arial" w:eastAsia="Arial" w:hAnsi="Arial"/>
          <w:b/>
          <w:bCs/>
          <w:color w:val="2E75B6"/>
          <w:sz w:val="28"/>
          <w:szCs w:val="28"/>
        </w:rPr>
        <w:t xml:space="preserve">What Kind of Person Tends to Succeed</w:t>
      </w:r>
    </w:p>
    <w:p>
      <w:pPr>
        <w:spacing w:before="0" w:after="200" w:line="280" w:lineRule="auto"/>
        <w:jc w:val="left"/>
      </w:pPr>
      <w:r>
        <w:rPr>
          <w:rFonts w:ascii="Arial" w:cs="Arial" w:eastAsia="Arial" w:hAnsi="Arial"/>
          <w:b w:val="false"/>
          <w:bCs w:val="false"/>
          <w:color w:val="000000"/>
          <w:sz w:val="24"/>
          <w:szCs w:val="24"/>
        </w:rPr>
        <w:t xml:space="preserve">Outstanding Digital Transformation Managers are natural change agents—energized rather than exhausted by uncertainty and organizational complexity. They combine technological enthusiasm with organizational empathy, understanding that technology adoption is fundamentally a human challenge. They are credible with both C-suite executives and front-line employees, and they know how to celebrate incremental wins while maintaining momentum toward long-term goals.</w:t>
      </w:r>
    </w:p>
    <w:p>
      <w:pPr>
        <w:pStyle w:val="Heading2"/>
        <w:spacing w:before="280" w:after="120"/>
      </w:pPr>
      <w:r>
        <w:rPr>
          <w:rFonts w:ascii="Arial" w:cs="Arial" w:eastAsia="Arial" w:hAnsi="Arial"/>
          <w:b/>
          <w:bCs/>
          <w:color w:val="2E75B6"/>
          <w:sz w:val="28"/>
          <w:szCs w:val="28"/>
        </w:rPr>
        <w:t xml:space="preserve">Career Progression</w:t>
      </w:r>
    </w:p>
    <w:p>
      <w:pPr>
        <w:spacing w:before="0" w:after="200" w:line="280" w:lineRule="auto"/>
        <w:jc w:val="left"/>
      </w:pPr>
      <w:r>
        <w:rPr>
          <w:rFonts w:ascii="Arial" w:cs="Arial" w:eastAsia="Arial" w:hAnsi="Arial"/>
          <w:b w:val="false"/>
          <w:bCs w:val="false"/>
          <w:color w:val="000000"/>
          <w:sz w:val="24"/>
          <w:szCs w:val="24"/>
        </w:rPr>
        <w:t xml:space="preserve">Business Analyst / IT Manager → Digital Transformation Manager → Senior Transformation Manager → Director of Digital Transformation → VP/SVP of Digital → Chief Digital Officer (CDO) or CTO. Consulting firm exits (Big 4, McKinsey, BCG) are also common, given the consulting-adjacent nature of the role.</w:t>
      </w:r>
    </w:p>
    <w:p>
      <w:pPr>
        <w:pStyle w:val="Heading2"/>
        <w:spacing w:before="280" w:after="120"/>
      </w:pPr>
      <w:r>
        <w:rPr>
          <w:rFonts w:ascii="Arial" w:cs="Arial" w:eastAsia="Arial" w:hAnsi="Arial"/>
          <w:b/>
          <w:bCs/>
          <w:color w:val="2E75B6"/>
          <w:sz w:val="28"/>
          <w:szCs w:val="28"/>
        </w:rPr>
        <w:t xml:space="preserve">Salary Range &amp; Annual Growth</w:t>
      </w:r>
    </w:p>
    <w:p>
      <w:pPr>
        <w:spacing w:before="0" w:after="300" w:line="280" w:lineRule="auto"/>
        <w:jc w:val="left"/>
      </w:pPr>
      <w:r>
        <w:rPr>
          <w:rFonts w:ascii="Arial" w:cs="Arial" w:eastAsia="Arial" w:hAnsi="Arial"/>
          <w:b w:val="false"/>
          <w:bCs w:val="false"/>
          <w:color w:val="000000"/>
          <w:sz w:val="24"/>
          <w:szCs w:val="24"/>
        </w:rPr>
        <w:t xml:space="preserve">U.S. salaries: $110,000–$145,000 (manager), $150,000–$195,000 (senior manager/director), $200,000–$320,000+ (VP/CDO with bonuses). Annual salary growth of 7–11% is projected, driven by sustained enterprise technology investment.</w:t>
      </w:r>
    </w:p>
    <w:p>
      <w:pPr>
        <w:pBdr>
          <w:bottom w:val="single" w:color="2E75B6" w:sz="6" w:space="1"/>
        </w:pBdr>
        <w:spacing w:before="80" w:after="80"/>
      </w:pPr>
      <w:r>
        <w:rPr>
          <w:rFonts w:ascii="Arial" w:cs="Arial" w:eastAsia="Arial" w:hAnsi="Arial"/>
        </w:rPr>
        <w:t xml:space="preserve"/>
      </w:r>
    </w:p>
    <w:p>
      <w:pPr>
        <w:pStyle w:val="Heading1"/>
        <w:spacing w:before="400" w:after="160"/>
      </w:pPr>
      <w:r>
        <w:rPr>
          <w:rFonts w:ascii="Arial" w:cs="Arial" w:eastAsia="Arial" w:hAnsi="Arial"/>
          <w:b/>
          <w:bCs/>
          <w:color w:val="1F4E79"/>
          <w:sz w:val="36"/>
          <w:szCs w:val="36"/>
        </w:rPr>
        <w:t xml:space="preserve">Data Sources</w:t>
      </w:r>
    </w:p>
    <w:p>
      <w:pPr>
        <w:pStyle w:val="ListParagraph"/>
        <w:numPr>
          <w:ilvl w:val="0"/>
          <w:numId w:val="2"/>
        </w:numPr>
        <w:spacing w:after="100"/>
      </w:pPr>
      <w:r>
        <w:rPr>
          <w:rFonts w:ascii="Arial" w:cs="Arial" w:eastAsia="Arial" w:hAnsi="Arial"/>
          <w:color w:val="444444"/>
          <w:sz w:val="22"/>
          <w:szCs w:val="22"/>
        </w:rPr>
        <w:t xml:space="preserve">McKinsey Digital – The Digital Transformation Gap (2024)</w:t>
      </w:r>
    </w:p>
    <w:p>
      <w:pPr>
        <w:pStyle w:val="ListParagraph"/>
        <w:numPr>
          <w:ilvl w:val="0"/>
          <w:numId w:val="2"/>
        </w:numPr>
        <w:spacing w:after="100"/>
      </w:pPr>
      <w:r>
        <w:rPr>
          <w:rFonts w:ascii="Arial" w:cs="Arial" w:eastAsia="Arial" w:hAnsi="Arial"/>
          <w:color w:val="444444"/>
          <w:sz w:val="22"/>
          <w:szCs w:val="22"/>
        </w:rPr>
        <w:t xml:space="preserve">Prosci Change Management Benchmarking Report (2024)</w:t>
      </w:r>
    </w:p>
    <w:p>
      <w:pPr>
        <w:pStyle w:val="ListParagraph"/>
        <w:numPr>
          <w:ilvl w:val="0"/>
          <w:numId w:val="2"/>
        </w:numPr>
        <w:spacing w:after="100"/>
      </w:pPr>
      <w:r>
        <w:rPr>
          <w:rFonts w:ascii="Arial" w:cs="Arial" w:eastAsia="Arial" w:hAnsi="Arial"/>
          <w:color w:val="444444"/>
          <w:sz w:val="22"/>
          <w:szCs w:val="22"/>
        </w:rPr>
        <w:t xml:space="preserve">Gartner – Chief Digital Officer Survey (2024)</w:t>
      </w:r>
    </w:p>
    <w:p>
      <w:pPr>
        <w:pStyle w:val="ListParagraph"/>
        <w:numPr>
          <w:ilvl w:val="0"/>
          <w:numId w:val="2"/>
        </w:numPr>
        <w:spacing w:after="100"/>
      </w:pPr>
      <w:r>
        <w:rPr>
          <w:rFonts w:ascii="Arial" w:cs="Arial" w:eastAsia="Arial" w:hAnsi="Arial"/>
          <w:color w:val="444444"/>
          <w:sz w:val="22"/>
          <w:szCs w:val="22"/>
        </w:rPr>
        <w:t xml:space="preserve">Glassdoor – Digital Transformation Manager Salaries (2024)</w:t>
      </w:r>
    </w:p>
    <w:p>
      <w:pPr>
        <w:pStyle w:val="ListParagraph"/>
        <w:numPr>
          <w:ilvl w:val="0"/>
          <w:numId w:val="2"/>
        </w:numPr>
        <w:spacing w:after="100"/>
      </w:pPr>
      <w:r>
        <w:rPr>
          <w:rFonts w:ascii="Arial" w:cs="Arial" w:eastAsia="Arial" w:hAnsi="Arial"/>
          <w:color w:val="444444"/>
          <w:sz w:val="22"/>
          <w:szCs w:val="22"/>
        </w:rPr>
        <w:t xml:space="preserve">Deloitte Digital Transformation Report (2024)</w:t>
      </w:r>
    </w:p>
    <w:p>
      <w:pPr>
        <w:pStyle w:val="ListParagraph"/>
        <w:numPr>
          <w:ilvl w:val="0"/>
          <w:numId w:val="2"/>
        </w:numPr>
        <w:spacing w:after="100"/>
      </w:pPr>
      <w:r>
        <w:rPr>
          <w:rFonts w:ascii="Arial" w:cs="Arial" w:eastAsia="Arial" w:hAnsi="Arial"/>
          <w:color w:val="444444"/>
          <w:sz w:val="22"/>
          <w:szCs w:val="22"/>
        </w:rPr>
        <w:t xml:space="preserve">World Economic Forum – Future of Jobs Report (2023)</w:t>
      </w:r>
    </w:p>
    <w:p>
      <w:pPr>
        <w:spacing w:before="200" w:after="0"/>
      </w:pPr>
    </w:p>
    <w:p>
      <w:pPr>
        <w:spacing w:before="80" w:after="0"/>
      </w:pPr>
      <w:r>
        <w:rPr>
          <w:rFonts w:ascii="Arial" w:cs="Arial" w:eastAsia="Arial" w:hAnsi="Arial"/>
          <w:i/>
          <w:iCs/>
          <w:color w:val="888888"/>
          <w:sz w:val="18"/>
          <w:szCs w:val="18"/>
        </w:rPr>
        <w:t xml:space="preserve">Note: Salary data reflects U.S. market conditions as of 2024–2025. Figures are approximate ranges based on aggregated market data. Compensation varies significantly by company size, geography, industry vertical, and individual experience. This document is intended for career planning and market research purposes.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2026-02-26T21:29:05.992Z</dcterms:created>
  <dcterms:modified xsi:type="dcterms:W3CDTF">2026-02-26T21:29:05.993Z</dcterms:modified>
</cp:coreProperties>
</file>

<file path=docProps/custom.xml><?xml version="1.0" encoding="utf-8"?>
<Properties xmlns="http://schemas.openxmlformats.org/officeDocument/2006/custom-properties" xmlns:vt="http://schemas.openxmlformats.org/officeDocument/2006/docPropsVTypes"/>
</file>