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Chief Information Security Officer (CISO)</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Leadership</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The Chief Information Security Officer is the executive responsible for an organization's information security strategy, risk management, compliance, and incident response program. As cyberattacks grow more sophisticated and frequent, and as regulatory requirements multiply globally (GDPR, NIS2, DORA, SEC cybersecurity disclosure rules), the CISO role has elevated from a technical specialist to a board-level strategic leader. CISOs at major organizations now report directly to the CEO or board and are central to every major technology and business decision.</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setting and executing the enterprise security strategy, managing security budgets, building and leading security teams, overseeing regulatory compliance programs, communicating cyber risk to the board and C-suite, managing cyber insurance, leading the response to major security incidents, and building the security culture across the organization. Modern CISOs also oversee AI security governance—managing risks from AI-powered threats and from the organization's own AI deployments. They engage with peer CISOs, government agencies, and industry groups on collective threat intelligence sharing.</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Broad technical security expertise combined with business acumen, executive communication, financial management, and leadership skills define the CISO. Certifications (CISSP, CISM, CRISC) and a track record of building security programs are standard credentials. The ability to quantify cyber risk in business terms (financial impact models), build board-level relationships, and lead organizational change are the qualities that separate exceptional CISOs from competent ones.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Exceptional CISOs are both technically credible and politically astute. They communicate risk without creating panic, influence without direct authority over business units, and maintain calm under the pressure of a major breach. They are life-long learners who stay ahead of evolving threats while running large, complex organizations. Integrity and trustworthiness are foundational—the CISO is the guardian of organizational trust.</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Security Engineer → Security Manager → VP/Director of Security → CISO. CISOs at major corporations often have 15–25 years of experience. Many work through consulting or advisory roles before taking on CISO positions. Board roles and advisory positions often follow senior CISO tenures.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$180,000–$240,000 (mid-market company CISO), $250,000–$400,000 (large enterprise CISO), $400,000–$700,000+ (Fortune 500 CISO with total compensation including equity). Annual salary growth of 9–13% is projected, driven by regulatory pressure and the increasing strategic value of cyber risk management.</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(ISC)² CISO Study (2024)</w:t>
      </w:r>
    </w:p>
    <w:p>
      <w:pPr>
        <w:pStyle w:val="ListParagraph"/>
        <w:numPr>
          <w:ilvl w:val="0"/>
          <w:numId w:val="2"/>
        </w:numPr>
        <w:spacing w:after="100"/>
      </w:pPr>
      <w:r>
        <w:rPr>
          <w:rFonts w:ascii="Arial" w:cs="Arial" w:eastAsia="Arial" w:hAnsi="Arial"/>
          <w:color w:val="444444"/>
          <w:sz w:val="22"/>
          <w:szCs w:val="22"/>
        </w:rPr>
        <w:t xml:space="preserve">Heidrick &amp; Struggles – CISO Compensation Benchmarking (2024)</w:t>
      </w:r>
    </w:p>
    <w:p>
      <w:pPr>
        <w:pStyle w:val="ListParagraph"/>
        <w:numPr>
          <w:ilvl w:val="0"/>
          <w:numId w:val="2"/>
        </w:numPr>
        <w:spacing w:after="100"/>
      </w:pPr>
      <w:r>
        <w:rPr>
          <w:rFonts w:ascii="Arial" w:cs="Arial" w:eastAsia="Arial" w:hAnsi="Arial"/>
          <w:color w:val="444444"/>
          <w:sz w:val="22"/>
          <w:szCs w:val="22"/>
        </w:rPr>
        <w:t xml:space="preserve">Gartner Security and Risk Management Summit (2024)</w:t>
      </w:r>
    </w:p>
    <w:p>
      <w:pPr>
        <w:pStyle w:val="ListParagraph"/>
        <w:numPr>
          <w:ilvl w:val="0"/>
          <w:numId w:val="2"/>
        </w:numPr>
        <w:spacing w:after="100"/>
      </w:pPr>
      <w:r>
        <w:rPr>
          <w:rFonts w:ascii="Arial" w:cs="Arial" w:eastAsia="Arial" w:hAnsi="Arial"/>
          <w:color w:val="444444"/>
          <w:sz w:val="22"/>
          <w:szCs w:val="22"/>
        </w:rPr>
        <w:t xml:space="preserve">PwC Global Digital Trust Insights (2024)</w:t>
      </w:r>
    </w:p>
    <w:p>
      <w:pPr>
        <w:pStyle w:val="ListParagraph"/>
        <w:numPr>
          <w:ilvl w:val="0"/>
          <w:numId w:val="2"/>
        </w:numPr>
        <w:spacing w:after="100"/>
      </w:pPr>
      <w:r>
        <w:rPr>
          <w:rFonts w:ascii="Arial" w:cs="Arial" w:eastAsia="Arial" w:hAnsi="Arial"/>
          <w:color w:val="444444"/>
          <w:sz w:val="22"/>
          <w:szCs w:val="22"/>
        </w:rPr>
        <w:t xml:space="preserve">SEC Cybersecurity Disclosure Rule (2023)</w:t>
      </w:r>
    </w:p>
    <w:p>
      <w:pPr>
        <w:pStyle w:val="ListParagraph"/>
        <w:numPr>
          <w:ilvl w:val="0"/>
          <w:numId w:val="2"/>
        </w:numPr>
        <w:spacing w:after="100"/>
      </w:pPr>
      <w:r>
        <w:rPr>
          <w:rFonts w:ascii="Arial" w:cs="Arial" w:eastAsia="Arial" w:hAnsi="Arial"/>
          <w:color w:val="444444"/>
          <w:sz w:val="22"/>
          <w:szCs w:val="22"/>
        </w:rPr>
        <w:t xml:space="preserve">CISA National Cybersecurity Strategy (2023)</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2026-02-26T21:29:06.000Z</dcterms:created>
  <dcterms:modified xsi:type="dcterms:W3CDTF">2026-02-26T21:29:06.000Z</dcterms:modified>
</cp:coreProperties>
</file>

<file path=docProps/custom.xml><?xml version="1.0" encoding="utf-8"?>
<Properties xmlns="http://schemas.openxmlformats.org/officeDocument/2006/custom-properties" xmlns:vt="http://schemas.openxmlformats.org/officeDocument/2006/docPropsVTypes"/>
</file>