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Solutions Architect</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Technical / Advisory</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Solutions Architects design technical solutions to specific customer or business problems, translating requirements into implementable architectures using a combination of technology components, platforms, and custom development. The role exists both within technology companies—as customer-facing technical advisors (pre-sales and post-sales)—and within enterprises, where internal Solutions Architects design cross-system solutions for complex business challenges. As technology stacks grow more complex and vendor landscapes more crowded, skilled Solutions Architects who can cut through complexity to pragmatic, well-designed solutions are in consistently high demand.</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Work includes conducting discovery sessions with stakeholders to understand business and technical requirements, designing end-to-end technical architectures, producing architecture documents and diagrams, evaluating and recommending technology platforms and vendors, creating proof-of-concept implementations, presenting solutions to technical and non-technical audiences, and guiding implementation teams during delivery. Customer-facing Solutions Architects also develop SOWs (Statements of Work), manage technical aspects of RFP responses, and act as trusted technical advisors throughout the customer lifecycle.</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Broad technical depth across at least one major domain (cloud, data, security, networking, AI) combined with excellent communication and presentation skills. The ability to whiteboard complex architectures, create clear technical documentation, and translate business requirements into technical designs is core. Customer-facing roles require consultative selling skills, executive presence, and the ability to build trust rapidly. Relevant certifications (AWS, GCP, Azure, Salesforce) and vertical industry knowledge add significant value.</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Solutions Architects are natural connectors—they enjoy the intellectual puzzle of fitting the right technology to a specific problem. They are excellent listeners who ask the right questions before jumping to solutions. They are comfortable presenting to both engineers and C-suite executives and can adjust their communication register accordingly. They are energized by variety, as each engagement brings different technical challenges and business contexts.</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Senior Engineer → Solutions Architect → Senior Solutions Architect → Principal Solutions Architect → Distinguished Architect or Director of Solutions Architecture. Customer-facing roles at cloud providers (AWS, GCP, Azure) are particularly prestigious and well-compensated.</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salaries: $120,000–$155,000 (associate/mid), $160,000–$210,000 (senior), $215,000–$300,000+ (principal with OTE including variable). Annual salary growth of 7–10% is projected, consistent with enterprise technology investment growth.</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AWS Solutions Architect Job Market Report (2024)</w:t>
      </w:r>
    </w:p>
    <w:p>
      <w:pPr>
        <w:pStyle w:val="ListParagraph"/>
        <w:numPr>
          <w:ilvl w:val="0"/>
          <w:numId w:val="2"/>
        </w:numPr>
        <w:spacing w:after="100"/>
      </w:pPr>
      <w:r>
        <w:rPr>
          <w:rFonts w:ascii="Arial" w:cs="Arial" w:eastAsia="Arial" w:hAnsi="Arial"/>
          <w:color w:val="444444"/>
          <w:sz w:val="22"/>
          <w:szCs w:val="22"/>
        </w:rPr>
        <w:t xml:space="preserve">Glassdoor – Solutions Architect Salary Data (2024)</w:t>
      </w:r>
    </w:p>
    <w:p>
      <w:pPr>
        <w:pStyle w:val="ListParagraph"/>
        <w:numPr>
          <w:ilvl w:val="0"/>
          <w:numId w:val="2"/>
        </w:numPr>
        <w:spacing w:after="100"/>
      </w:pPr>
      <w:r>
        <w:rPr>
          <w:rFonts w:ascii="Arial" w:cs="Arial" w:eastAsia="Arial" w:hAnsi="Arial"/>
          <w:color w:val="444444"/>
          <w:sz w:val="22"/>
          <w:szCs w:val="22"/>
        </w:rPr>
        <w:t xml:space="preserve">LinkedIn Jobs on the Rise Report (2024)</w:t>
      </w:r>
    </w:p>
    <w:p>
      <w:pPr>
        <w:pStyle w:val="ListParagraph"/>
        <w:numPr>
          <w:ilvl w:val="0"/>
          <w:numId w:val="2"/>
        </w:numPr>
        <w:spacing w:after="100"/>
      </w:pPr>
      <w:r>
        <w:rPr>
          <w:rFonts w:ascii="Arial" w:cs="Arial" w:eastAsia="Arial" w:hAnsi="Arial"/>
          <w:color w:val="444444"/>
          <w:sz w:val="22"/>
          <w:szCs w:val="22"/>
        </w:rPr>
        <w:t xml:space="preserve">Gartner Enterprise Architecture Trends (2024)</w:t>
      </w:r>
    </w:p>
    <w:p>
      <w:pPr>
        <w:pStyle w:val="ListParagraph"/>
        <w:numPr>
          <w:ilvl w:val="0"/>
          <w:numId w:val="2"/>
        </w:numPr>
        <w:spacing w:after="100"/>
      </w:pPr>
      <w:r>
        <w:rPr>
          <w:rFonts w:ascii="Arial" w:cs="Arial" w:eastAsia="Arial" w:hAnsi="Arial"/>
          <w:color w:val="444444"/>
          <w:sz w:val="22"/>
          <w:szCs w:val="22"/>
        </w:rPr>
        <w:t xml:space="preserve">Forrester – Enterprise Architecture Research (2024)</w:t>
      </w:r>
    </w:p>
    <w:p>
      <w:pPr>
        <w:pStyle w:val="ListParagraph"/>
        <w:numPr>
          <w:ilvl w:val="0"/>
          <w:numId w:val="2"/>
        </w:numPr>
        <w:spacing w:after="100"/>
      </w:pPr>
      <w:r>
        <w:rPr>
          <w:rFonts w:ascii="Arial" w:cs="Arial" w:eastAsia="Arial" w:hAnsi="Arial"/>
          <w:color w:val="444444"/>
          <w:sz w:val="22"/>
          <w:szCs w:val="22"/>
        </w:rPr>
        <w:t xml:space="preserve">CompTIA IT Industry Workforce Report (2024)</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2026-02-26T21:29:06.007Z</dcterms:created>
  <dcterms:modified xsi:type="dcterms:W3CDTF">2026-02-26T21:29:06.007Z</dcterms:modified>
</cp:coreProperties>
</file>

<file path=docProps/custom.xml><?xml version="1.0" encoding="utf-8"?>
<Properties xmlns="http://schemas.openxmlformats.org/officeDocument/2006/custom-properties" xmlns:vt="http://schemas.openxmlformats.org/officeDocument/2006/docPropsVTypes"/>
</file>