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rPr>
          <w:rFonts w:ascii="Arial" w:cs="Arial" w:eastAsia="Arial" w:hAnsi="Arial"/>
          <w:b/>
          <w:bCs/>
          <w:color w:val="1F4E79"/>
          <w:sz w:val="48"/>
          <w:szCs w:val="48"/>
        </w:rPr>
        <w:t xml:space="preserve">Data Governance Manager</w:t>
      </w:r>
    </w:p>
    <w:p>
      <w:pPr>
        <w:spacing w:before="0" w:after="40"/>
      </w:pPr>
      <w:r>
        <w:rPr>
          <w:rFonts w:ascii="Arial" w:cs="Arial" w:eastAsia="Arial" w:hAnsi="Arial"/>
          <w:i/>
          <w:iCs/>
          <w:color w:val="666666"/>
          <w:sz w:val="22"/>
          <w:szCs w:val="22"/>
        </w:rPr>
        <w:t xml:space="preserve">IT Workforce Profile | 10-Year Outlook (2025–2035)</w:t>
      </w:r>
    </w:p>
    <w:p>
      <w:pPr>
        <w:pBdr>
          <w:bottom w:val="single" w:color="2E75B6" w:sz="6" w:space="1"/>
        </w:pBdr>
        <w:spacing w:before="80" w:after="80"/>
      </w:pPr>
      <w:r>
        <w:rPr>
          <w:rFonts w:ascii="Arial" w:cs="Arial" w:eastAsia="Arial" w:hAnsi="Arial"/>
        </w:rPr>
        <w:t xml:space="preserve"/>
      </w:r>
    </w:p>
    <w:p>
      <w:pPr>
        <w:spacing w:before="12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Role Category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Management &amp; Strategy</w:t>
            </w:r>
          </w:p>
        </w:tc>
      </w:tr>
      <w:tr>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22"/>
                <w:szCs w:val="22"/>
              </w:rPr>
              <w:t xml:space="preserve">Salary Growth (YoY)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See Salary section below</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Remote Friendly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(majority of roles)</w:t>
            </w:r>
          </w:p>
        </w:tc>
      </w:tr>
    </w:tbl>
    <w:p>
      <w:pPr>
        <w:spacing w:before="200" w:after="0"/>
      </w:pPr>
    </w:p>
    <w:p>
      <w:pPr>
        <w:pStyle w:val="Heading2"/>
        <w:spacing w:before="280" w:after="120"/>
      </w:pPr>
      <w:r>
        <w:rPr>
          <w:rFonts w:ascii="Arial" w:cs="Arial" w:eastAsia="Arial" w:hAnsi="Arial"/>
          <w:b/>
          <w:bCs/>
          <w:color w:val="2E75B6"/>
          <w:sz w:val="28"/>
          <w:szCs w:val="28"/>
        </w:rPr>
        <w:t xml:space="preserve">Overview</w:t>
      </w:r>
    </w:p>
    <w:p>
      <w:pPr>
        <w:spacing w:before="0" w:after="200" w:line="280" w:lineRule="auto"/>
        <w:jc w:val="left"/>
      </w:pPr>
      <w:r>
        <w:rPr>
          <w:rFonts w:ascii="Arial" w:cs="Arial" w:eastAsia="Arial" w:hAnsi="Arial"/>
          <w:b w:val="false"/>
          <w:bCs w:val="false"/>
          <w:color w:val="000000"/>
          <w:sz w:val="24"/>
          <w:szCs w:val="24"/>
        </w:rPr>
        <w:t xml:space="preserve">Data Governance Managers establish and oversee the policies, standards, processes, and organizational structures that ensure data is accurate, available, consistent, secure, and used in compliance with regulations. As AI systems become increasingly data-dependent and privacy regulations proliferate globally (GDPR, CCPA, PDPA, and emerging AI-specific data laws), organizations must ensure they have trustworthy data governance foundations. The role has evolved from a largely bureaucratic compliance function to a strategic enabler of data-driven and AI-driven business.</w:t>
      </w:r>
    </w:p>
    <w:p>
      <w:pPr>
        <w:pStyle w:val="Heading2"/>
        <w:spacing w:before="280" w:after="120"/>
      </w:pPr>
      <w:r>
        <w:rPr>
          <w:rFonts w:ascii="Arial" w:cs="Arial" w:eastAsia="Arial" w:hAnsi="Arial"/>
          <w:b/>
          <w:bCs/>
          <w:color w:val="2E75B6"/>
          <w:sz w:val="28"/>
          <w:szCs w:val="28"/>
        </w:rPr>
        <w:t xml:space="preserve">What the Role Involves</w:t>
      </w:r>
    </w:p>
    <w:p>
      <w:pPr>
        <w:spacing w:before="0" w:after="200" w:line="280" w:lineRule="auto"/>
        <w:jc w:val="left"/>
      </w:pPr>
      <w:r>
        <w:rPr>
          <w:rFonts w:ascii="Arial" w:cs="Arial" w:eastAsia="Arial" w:hAnsi="Arial"/>
          <w:b w:val="false"/>
          <w:bCs w:val="false"/>
          <w:color w:val="000000"/>
          <w:sz w:val="24"/>
          <w:szCs w:val="24"/>
        </w:rPr>
        <w:t xml:space="preserve">Core responsibilities include designing and implementing data governance frameworks (policies, standards, data quality rules), managing data catalogs and business glossaries (Collibra, Alation, Microsoft Purview), establishing data stewardship networks across business units, overseeing data lineage and provenance tracking, managing regulatory data compliance programs (GDPR data mapping, data subject rights), defining data classification and handling policies, and measuring data quality metrics. Data Governance Managers increasingly oversee AI data governance—ensuring that training data for AI systems meets quality, fairness, and compliance requirements.</w:t>
      </w:r>
    </w:p>
    <w:p>
      <w:pPr>
        <w:pStyle w:val="Heading2"/>
        <w:spacing w:before="280" w:after="120"/>
      </w:pPr>
      <w:r>
        <w:rPr>
          <w:rFonts w:ascii="Arial" w:cs="Arial" w:eastAsia="Arial" w:hAnsi="Arial"/>
          <w:b/>
          <w:bCs/>
          <w:color w:val="2E75B6"/>
          <w:sz w:val="28"/>
          <w:szCs w:val="28"/>
        </w:rPr>
        <w:t xml:space="preserve">Key Skills Required</w:t>
      </w:r>
    </w:p>
    <w:p>
      <w:pPr>
        <w:spacing w:before="0" w:after="200" w:line="280" w:lineRule="auto"/>
        <w:jc w:val="left"/>
      </w:pPr>
      <w:r>
        <w:rPr>
          <w:rFonts w:ascii="Arial" w:cs="Arial" w:eastAsia="Arial" w:hAnsi="Arial"/>
          <w:b w:val="false"/>
          <w:bCs w:val="false"/>
          <w:color w:val="000000"/>
          <w:sz w:val="24"/>
          <w:szCs w:val="24"/>
        </w:rPr>
        <w:t xml:space="preserve">Knowledge of data management frameworks (DAMA-DMBOK), privacy regulations, data catalog tooling, SQL and basic data analysis, and enterprise data architecture is foundational. Experience with Collibra, Informatica, or similar data governance platforms, combined with change management skills for driving cultural adoption, is expected. Soft skills—particularly the ability to influence business stakeholders without direct authority and to make governance frameworks feel enabling rather than restrictive—are the defining competencies.</w:t>
      </w:r>
    </w:p>
    <w:p>
      <w:pPr>
        <w:pStyle w:val="Heading2"/>
        <w:spacing w:before="280" w:after="120"/>
      </w:pPr>
      <w:r>
        <w:rPr>
          <w:rFonts w:ascii="Arial" w:cs="Arial" w:eastAsia="Arial" w:hAnsi="Arial"/>
          <w:b/>
          <w:bCs/>
          <w:color w:val="2E75B6"/>
          <w:sz w:val="28"/>
          <w:szCs w:val="28"/>
        </w:rPr>
        <w:t xml:space="preserve">What Kind of Person Tends to Succeed</w:t>
      </w:r>
    </w:p>
    <w:p>
      <w:pPr>
        <w:spacing w:before="0" w:after="200" w:line="280" w:lineRule="auto"/>
        <w:jc w:val="left"/>
      </w:pPr>
      <w:r>
        <w:rPr>
          <w:rFonts w:ascii="Arial" w:cs="Arial" w:eastAsia="Arial" w:hAnsi="Arial"/>
          <w:b w:val="false"/>
          <w:bCs w:val="false"/>
          <w:color w:val="000000"/>
          <w:sz w:val="24"/>
          <w:szCs w:val="24"/>
        </w:rPr>
        <w:t xml:space="preserve">Effective Data Governance Managers combine the precision of a data professional with the organizational skills of a program manager. They are persistent in building data quality culture in organizations that have historically neglected it. They communicate the business value of governance clearly—connecting data quality to AI effectiveness, regulatory risk, and business decision quality—rather than advocating governance for its own sake.</w:t>
      </w:r>
    </w:p>
    <w:p>
      <w:pPr>
        <w:pStyle w:val="Heading2"/>
        <w:spacing w:before="280" w:after="120"/>
      </w:pPr>
      <w:r>
        <w:rPr>
          <w:rFonts w:ascii="Arial" w:cs="Arial" w:eastAsia="Arial" w:hAnsi="Arial"/>
          <w:b/>
          <w:bCs/>
          <w:color w:val="2E75B6"/>
          <w:sz w:val="28"/>
          <w:szCs w:val="28"/>
        </w:rPr>
        <w:t xml:space="preserve">Career Progression</w:t>
      </w:r>
    </w:p>
    <w:p>
      <w:pPr>
        <w:spacing w:before="0" w:after="200" w:line="280" w:lineRule="auto"/>
        <w:jc w:val="left"/>
      </w:pPr>
      <w:r>
        <w:rPr>
          <w:rFonts w:ascii="Arial" w:cs="Arial" w:eastAsia="Arial" w:hAnsi="Arial"/>
          <w:b w:val="false"/>
          <w:bCs w:val="false"/>
          <w:color w:val="000000"/>
          <w:sz w:val="24"/>
          <w:szCs w:val="24"/>
        </w:rPr>
        <w:t xml:space="preserve">Data Analyst / Business Analyst → Data Governance Analyst → Data Governance Manager → Director of Data Governance → VP/Head of Data Governance or Chief Data Officer (CDO).</w:t>
      </w:r>
    </w:p>
    <w:p>
      <w:pPr>
        <w:pStyle w:val="Heading2"/>
        <w:spacing w:before="280" w:after="120"/>
      </w:pPr>
      <w:r>
        <w:rPr>
          <w:rFonts w:ascii="Arial" w:cs="Arial" w:eastAsia="Arial" w:hAnsi="Arial"/>
          <w:b/>
          <w:bCs/>
          <w:color w:val="2E75B6"/>
          <w:sz w:val="28"/>
          <w:szCs w:val="28"/>
        </w:rPr>
        <w:t xml:space="preserve">Salary Range &amp; Annual Growth</w:t>
      </w:r>
    </w:p>
    <w:p>
      <w:pPr>
        <w:spacing w:before="0" w:after="300" w:line="280" w:lineRule="auto"/>
        <w:jc w:val="left"/>
      </w:pPr>
      <w:r>
        <w:rPr>
          <w:rFonts w:ascii="Arial" w:cs="Arial" w:eastAsia="Arial" w:hAnsi="Arial"/>
          <w:b w:val="false"/>
          <w:bCs w:val="false"/>
          <w:color w:val="000000"/>
          <w:sz w:val="24"/>
          <w:szCs w:val="24"/>
        </w:rPr>
        <w:t xml:space="preserve">U.S. salaries: $100,000–$135,000 (manager), $140,000–$180,000 (senior manager/director), $185,000–$280,000 (VP/CDO). Annual salary growth of 8–11% is projected, driven by AI data requirements and regulatory compliance pressure.</w:t>
      </w:r>
    </w:p>
    <w:p>
      <w:pPr>
        <w:pBdr>
          <w:bottom w:val="single" w:color="2E75B6" w:sz="6" w:space="1"/>
        </w:pBdr>
        <w:spacing w:before="80" w:after="80"/>
      </w:pPr>
      <w:r>
        <w:rPr>
          <w:rFonts w:ascii="Arial" w:cs="Arial" w:eastAsia="Arial" w:hAnsi="Arial"/>
        </w:rPr>
        <w:t xml:space="preserve"/>
      </w:r>
    </w:p>
    <w:p>
      <w:pPr>
        <w:pStyle w:val="Heading1"/>
        <w:spacing w:before="400" w:after="160"/>
      </w:pPr>
      <w:r>
        <w:rPr>
          <w:rFonts w:ascii="Arial" w:cs="Arial" w:eastAsia="Arial" w:hAnsi="Arial"/>
          <w:b/>
          <w:bCs/>
          <w:color w:val="1F4E79"/>
          <w:sz w:val="36"/>
          <w:szCs w:val="36"/>
        </w:rPr>
        <w:t xml:space="preserve">Data Sources</w:t>
      </w:r>
    </w:p>
    <w:p>
      <w:pPr>
        <w:pStyle w:val="ListParagraph"/>
        <w:numPr>
          <w:ilvl w:val="0"/>
          <w:numId w:val="2"/>
        </w:numPr>
        <w:spacing w:after="100"/>
      </w:pPr>
      <w:r>
        <w:rPr>
          <w:rFonts w:ascii="Arial" w:cs="Arial" w:eastAsia="Arial" w:hAnsi="Arial"/>
          <w:color w:val="444444"/>
          <w:sz w:val="22"/>
          <w:szCs w:val="22"/>
        </w:rPr>
        <w:t xml:space="preserve">DAMA International Data Management Body of Knowledge (DMBOK 3, 2023)</w:t>
      </w:r>
    </w:p>
    <w:p>
      <w:pPr>
        <w:pStyle w:val="ListParagraph"/>
        <w:numPr>
          <w:ilvl w:val="0"/>
          <w:numId w:val="2"/>
        </w:numPr>
        <w:spacing w:after="100"/>
      </w:pPr>
      <w:r>
        <w:rPr>
          <w:rFonts w:ascii="Arial" w:cs="Arial" w:eastAsia="Arial" w:hAnsi="Arial"/>
          <w:color w:val="444444"/>
          <w:sz w:val="22"/>
          <w:szCs w:val="22"/>
        </w:rPr>
        <w:t xml:space="preserve">Gartner Data Governance Market Guide (2024)</w:t>
      </w:r>
    </w:p>
    <w:p>
      <w:pPr>
        <w:pStyle w:val="ListParagraph"/>
        <w:numPr>
          <w:ilvl w:val="0"/>
          <w:numId w:val="2"/>
        </w:numPr>
        <w:spacing w:after="100"/>
      </w:pPr>
      <w:r>
        <w:rPr>
          <w:rFonts w:ascii="Arial" w:cs="Arial" w:eastAsia="Arial" w:hAnsi="Arial"/>
          <w:color w:val="444444"/>
          <w:sz w:val="22"/>
          <w:szCs w:val="22"/>
        </w:rPr>
        <w:t xml:space="preserve">Collibra State of Data Intelligence Report (2024)</w:t>
      </w:r>
    </w:p>
    <w:p>
      <w:pPr>
        <w:pStyle w:val="ListParagraph"/>
        <w:numPr>
          <w:ilvl w:val="0"/>
          <w:numId w:val="2"/>
        </w:numPr>
        <w:spacing w:after="100"/>
      </w:pPr>
      <w:r>
        <w:rPr>
          <w:rFonts w:ascii="Arial" w:cs="Arial" w:eastAsia="Arial" w:hAnsi="Arial"/>
          <w:color w:val="444444"/>
          <w:sz w:val="22"/>
          <w:szCs w:val="22"/>
        </w:rPr>
        <w:t xml:space="preserve">Glassdoor – Data Governance Manager Salaries (2024)</w:t>
      </w:r>
    </w:p>
    <w:p>
      <w:pPr>
        <w:pStyle w:val="ListParagraph"/>
        <w:numPr>
          <w:ilvl w:val="0"/>
          <w:numId w:val="2"/>
        </w:numPr>
        <w:spacing w:after="100"/>
      </w:pPr>
      <w:r>
        <w:rPr>
          <w:rFonts w:ascii="Arial" w:cs="Arial" w:eastAsia="Arial" w:hAnsi="Arial"/>
          <w:color w:val="444444"/>
          <w:sz w:val="22"/>
          <w:szCs w:val="22"/>
        </w:rPr>
        <w:t xml:space="preserve">IAPP Privacy Salary Survey (2024)</w:t>
      </w:r>
    </w:p>
    <w:p>
      <w:pPr>
        <w:pStyle w:val="ListParagraph"/>
        <w:numPr>
          <w:ilvl w:val="0"/>
          <w:numId w:val="2"/>
        </w:numPr>
        <w:spacing w:after="100"/>
      </w:pPr>
      <w:r>
        <w:rPr>
          <w:rFonts w:ascii="Arial" w:cs="Arial" w:eastAsia="Arial" w:hAnsi="Arial"/>
          <w:color w:val="444444"/>
          <w:sz w:val="22"/>
          <w:szCs w:val="22"/>
        </w:rPr>
        <w:t xml:space="preserve">Forrester – Data Governance Trends (2024)</w:t>
      </w:r>
    </w:p>
    <w:p>
      <w:pPr>
        <w:spacing w:before="200" w:after="0"/>
      </w:pPr>
    </w:p>
    <w:p>
      <w:pPr>
        <w:spacing w:before="80" w:after="0"/>
      </w:pPr>
      <w:r>
        <w:rPr>
          <w:rFonts w:ascii="Arial" w:cs="Arial" w:eastAsia="Arial" w:hAnsi="Arial"/>
          <w:i/>
          <w:iCs/>
          <w:color w:val="888888"/>
          <w:sz w:val="18"/>
          <w:szCs w:val="18"/>
        </w:rPr>
        <w:t xml:space="preserve">Note: Salary data reflects U.S. market conditions as of 2024–2025. Figures are approximate ranges based on aggregated market data. Compensation varies significantly by company size, geography, industry vertical, and individual experience. This document is intended for career planning and market research purposes.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2026-02-26T21:29:06.014Z</dcterms:created>
  <dcterms:modified xsi:type="dcterms:W3CDTF">2026-02-26T21:29:06.014Z</dcterms:modified>
</cp:coreProperties>
</file>

<file path=docProps/custom.xml><?xml version="1.0" encoding="utf-8"?>
<Properties xmlns="http://schemas.openxmlformats.org/officeDocument/2006/custom-properties" xmlns:vt="http://schemas.openxmlformats.org/officeDocument/2006/docPropsVTypes"/>
</file>