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Scrum Master / Agile Coach</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Process &amp; Culture</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Scrum Masters and Agile Coaches facilitate agile software development processes, helping teams and organizations adopt agile principles to deliver software more effectively. While the Scrum Master role is team-level—facilitating sprint ceremonies, removing impediments, and coaching the team on Scrum—the Agile Coach operates at an organizational level, transforming how entire departments or enterprises develop software. As distributed teams, complex multi-team programs, and AI-augmented development change how software is built, skilled facilitators of agile ways of working remain in demand.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For Scrum Masters: facilitating daily standups, sprint planning, retrospectives, and reviews; tracking sprint metrics (velocity, burndown); removing team impediments; coaching the team on self-organization and cross-functionality; shielding the team from external distractions. For Agile Coaches: designing and facilitating organizational agile transformations, implementing frameworks like SAFe, LeSS, or Disciplined Agile, coaching leadership on agile mindset, measuring and improving team performance metrics (lead time, cycle time, deployment frequency), and building internal agile coaching capability.</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Scrum certification (PSM, CSM) is typically expected for Scrum Masters; ICAgile (ICP-ACC), CEC (Certified Enterprise Coach), or SAFe credentials for Agile Coaches. Facilitation skills, conflict resolution, coaching and mentoring, and the ability to influence without authority are the core competencies. For Agile Coaches, organizational change management and business strategy literacy are important. Soft skills—patience, empathy, and the ability to hold space for a team's struggle without prescribing solutions—define excellence.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The best Scrum Masters and Agile Coaches are servant leaders who find satisfaction in enabling others rather than being the center of attention. They are psychologically secure—not threatened by team success that doesn't visibly reflect their contribution. They are curious, lifelong learners who experiment with new facilitation techniques and adjust their coaching approach to each team's unique context. They are also courageous in naming what is not working and holding teams accountable to their commitments.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Scrum Master → Scrum Master → Senior Scrum Master → Agile Coach → Senior Agile Coach → Enterprise Agile Coach → Head of Agile / VP of Engineering Effectiveness. Many transition into Engineering Management, Product Management, or organizational effectiveness consulting.</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$80,000–$110,000 (Scrum Master), $115,000–$155,000 (senior SM / junior Agile Coach), $160,000–$220,000 (senior/enterprise Agile Coach). Annual salary growth of 5–8% is projected, with enterprise coaching commands at the higher end.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Scrum Alliance State of Scrum Report (2024)</w:t>
      </w:r>
    </w:p>
    <w:p>
      <w:pPr>
        <w:pStyle w:val="ListParagraph"/>
        <w:numPr>
          <w:ilvl w:val="0"/>
          <w:numId w:val="2"/>
        </w:numPr>
        <w:spacing w:after="100"/>
      </w:pPr>
      <w:r>
        <w:rPr>
          <w:rFonts w:ascii="Arial" w:cs="Arial" w:eastAsia="Arial" w:hAnsi="Arial"/>
          <w:color w:val="444444"/>
          <w:sz w:val="22"/>
          <w:szCs w:val="22"/>
        </w:rPr>
        <w:t xml:space="preserve">VersionOne State of Agile Report (2024)</w:t>
      </w:r>
    </w:p>
    <w:p>
      <w:pPr>
        <w:pStyle w:val="ListParagraph"/>
        <w:numPr>
          <w:ilvl w:val="0"/>
          <w:numId w:val="2"/>
        </w:numPr>
        <w:spacing w:after="100"/>
      </w:pPr>
      <w:r>
        <w:rPr>
          <w:rFonts w:ascii="Arial" w:cs="Arial" w:eastAsia="Arial" w:hAnsi="Arial"/>
          <w:color w:val="444444"/>
          <w:sz w:val="22"/>
          <w:szCs w:val="22"/>
        </w:rPr>
        <w:t xml:space="preserve">Glassdoor – Scrum Master / Agile Coach Salaries (2024)</w:t>
      </w:r>
    </w:p>
    <w:p>
      <w:pPr>
        <w:pStyle w:val="ListParagraph"/>
        <w:numPr>
          <w:ilvl w:val="0"/>
          <w:numId w:val="2"/>
        </w:numPr>
        <w:spacing w:after="100"/>
      </w:pPr>
      <w:r>
        <w:rPr>
          <w:rFonts w:ascii="Arial" w:cs="Arial" w:eastAsia="Arial" w:hAnsi="Arial"/>
          <w:color w:val="444444"/>
          <w:sz w:val="22"/>
          <w:szCs w:val="22"/>
        </w:rPr>
        <w:t xml:space="preserve">LinkedIn Agile Practitioner Job Trends (2024)</w:t>
      </w:r>
    </w:p>
    <w:p>
      <w:pPr>
        <w:pStyle w:val="ListParagraph"/>
        <w:numPr>
          <w:ilvl w:val="0"/>
          <w:numId w:val="2"/>
        </w:numPr>
        <w:spacing w:after="100"/>
      </w:pPr>
      <w:r>
        <w:rPr>
          <w:rFonts w:ascii="Arial" w:cs="Arial" w:eastAsia="Arial" w:hAnsi="Arial"/>
          <w:color w:val="444444"/>
          <w:sz w:val="22"/>
          <w:szCs w:val="22"/>
        </w:rPr>
        <w:t xml:space="preserve">DORA State of DevOps Report (2024)</w:t>
      </w:r>
    </w:p>
    <w:p>
      <w:pPr>
        <w:pStyle w:val="ListParagraph"/>
        <w:numPr>
          <w:ilvl w:val="0"/>
          <w:numId w:val="2"/>
        </w:numPr>
        <w:spacing w:after="100"/>
      </w:pPr>
      <w:r>
        <w:rPr>
          <w:rFonts w:ascii="Arial" w:cs="Arial" w:eastAsia="Arial" w:hAnsi="Arial"/>
          <w:color w:val="444444"/>
          <w:sz w:val="22"/>
          <w:szCs w:val="22"/>
        </w:rPr>
        <w:t xml:space="preserve">Project Management Institute – Pulse of the Profession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2026-02-26T21:29:06.081Z</dcterms:created>
  <dcterms:modified xsi:type="dcterms:W3CDTF">2026-02-26T21:29:06.081Z</dcterms:modified>
</cp:coreProperties>
</file>

<file path=docProps/custom.xml><?xml version="1.0" encoding="utf-8"?>
<Properties xmlns="http://schemas.openxmlformats.org/officeDocument/2006/custom-properties" xmlns:vt="http://schemas.openxmlformats.org/officeDocument/2006/docPropsVTypes"/>
</file>